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CUST-014</w:t>
      </w:r>
    </w:p>
    <w:p>
      <w:r>
        <w:t>Collateral Type: Leasehold improvements</w:t>
      </w:r>
    </w:p>
    <w:p>
      <w:r>
        <w:t>Estimated Market Value: USD 45,000</w:t>
      </w:r>
    </w:p>
    <w:p>
      <w:r>
        <w:t>Requested Loan Amount: USD 70,000</w:t>
      </w:r>
    </w:p>
    <w:p>
      <w:r>
        <w:t>Calculated LTV: 155.6%</w:t>
      </w:r>
    </w:p>
    <w:p>
      <w:r>
        <w:t>Valuation Exception: Weak collateral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45,000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36,000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155.6%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