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一种基于指针托管与并行批处理的Unity3D跨语言数据同步方法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一、技术名称修改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原始名称</w:t>
      </w:r>
      <w:r>
        <w:rPr>
          <w:rFonts w:eastAsia="等线" w:ascii="Arial" w:cs="Arial" w:hAnsi="Arial"/>
          <w:sz w:val="22"/>
        </w:rPr>
        <w:t>：一种基于共享内存+多线程处理的数据同步方案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一种基于指针托管与并行批处理的Unity3D跨语言数据同步方法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二、系统架构模块细化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模块 1：Lua 侧数据管理模块（数据源端）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职责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创建预分配的连续 Lua 数组（</w:t>
      </w:r>
      <w:r>
        <w:rPr>
          <w:rFonts w:eastAsia="Consolas" w:ascii="Consolas" w:cs="Consolas" w:hAnsi="Consolas"/>
          <w:sz w:val="22"/>
          <w:shd w:fill="EFF0F1"/>
        </w:rPr>
        <w:t>LuaCSharpArray.New(capacity)</w:t>
      </w:r>
      <w:r>
        <w:rPr>
          <w:rFonts w:eastAsia="等线" w:ascii="Arial" w:cs="Arial" w:hAnsi="Arial"/>
          <w:sz w:val="22"/>
        </w:rPr>
        <w:t>），保证底层存储为 C 连续数组（Lua 的 array 部分），而非散列表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 SoA（Structure of Arrays）布局组织实体数据：位置数组（capacity×3）、速度数组、状态数组、Buff 数组等共 </w:t>
      </w:r>
      <w:r>
        <w:rPr>
          <w:rFonts w:eastAsia="等线" w:ascii="Arial" w:cs="Arial" w:hAnsi="Arial"/>
          <w:b w:val="true"/>
          <w:sz w:val="22"/>
        </w:rPr>
        <w:t>30+ 个独立数组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接收服务端下发的实体数据并写入对应数组的对应索引位置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管理变长数据（Buff、服装）的索引映射（startIndex + length 模式）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关键技术特征</w:t>
      </w:r>
      <w:r>
        <w:rPr>
          <w:rFonts w:eastAsia="等线" w:ascii="Arial" w:cs="Arial" w:hAnsi="Arial"/>
          <w:sz w:val="22"/>
        </w:rPr>
        <w:t>：数组必须预分配并填充初始值（避免 Lua 的 nil 空洞导致数据从 array 部分溢出到 hash 部分，从而使指针访问失效）。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模块 2：内存结构映射模块（桥接层）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职责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C# 侧定义与 Lua VM 内部数据结构完全一致的内存结构体：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LuaTTable</w:t>
      </w:r>
      <w:r>
        <w:rPr>
          <w:rFonts w:eastAsia="等线" w:ascii="Arial" w:cs="Arial" w:hAnsi="Arial"/>
          <w:sz w:val="22"/>
        </w:rPr>
        <w:t xml:space="preserve">：对应 Lua Table 的底层结构（含 </w:t>
      </w:r>
      <w:r>
        <w:rPr>
          <w:rFonts w:eastAsia="Consolas" w:ascii="Consolas" w:cs="Consolas" w:hAnsi="Consolas"/>
          <w:sz w:val="22"/>
          <w:shd w:fill="EFF0F1"/>
        </w:rPr>
        <w:t>array</w:t>
      </w:r>
      <w:r>
        <w:rPr>
          <w:rFonts w:eastAsia="等线" w:ascii="Arial" w:cs="Arial" w:hAnsi="Arial"/>
          <w:sz w:val="22"/>
        </w:rPr>
        <w:t xml:space="preserve"> 指针和 </w:t>
      </w:r>
      <w:r>
        <w:rPr>
          <w:rFonts w:eastAsia="Consolas" w:ascii="Consolas" w:cs="Consolas" w:hAnsi="Consolas"/>
          <w:sz w:val="22"/>
          <w:shd w:fill="EFF0F1"/>
        </w:rPr>
        <w:t>sizearray</w:t>
      </w:r>
      <w:r>
        <w:rPr>
          <w:rFonts w:eastAsia="等线" w:ascii="Arial" w:cs="Arial" w:hAnsi="Arial"/>
          <w:sz w:val="22"/>
        </w:rPr>
        <w:t xml:space="preserve"> 长度）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LuaTValue</w:t>
      </w:r>
      <w:r>
        <w:rPr>
          <w:rFonts w:eastAsia="等线" w:ascii="Arial" w:cs="Arial" w:hAnsi="Arial"/>
          <w:sz w:val="22"/>
        </w:rPr>
        <w:t xml:space="preserve">：对应 Lua 值的底层结构（含 </w:t>
      </w:r>
      <w:r>
        <w:rPr>
          <w:rFonts w:eastAsia="Consolas" w:ascii="Consolas" w:cs="Consolas" w:hAnsi="Consolas"/>
          <w:sz w:val="22"/>
          <w:shd w:fill="EFF0F1"/>
        </w:rPr>
        <w:t>UnionValue</w:t>
      </w:r>
      <w:r>
        <w:rPr>
          <w:rFonts w:eastAsia="等线" w:ascii="Arial" w:cs="Arial" w:hAnsi="Arial"/>
          <w:sz w:val="22"/>
        </w:rPr>
        <w:t xml:space="preserve"> 联合体和类型标签 </w:t>
      </w:r>
      <w:r>
        <w:rPr>
          <w:rFonts w:eastAsia="Consolas" w:ascii="Consolas" w:cs="Consolas" w:hAnsi="Consolas"/>
          <w:sz w:val="22"/>
          <w:shd w:fill="EFF0F1"/>
        </w:rPr>
        <w:t>tt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UnionValue</w:t>
      </w:r>
      <w:r>
        <w:rPr>
          <w:rFonts w:eastAsia="等线" w:ascii="Arial" w:cs="Arial" w:hAnsi="Arial"/>
          <w:sz w:val="22"/>
        </w:rPr>
        <w:t xml:space="preserve">：对应 Lua 值的联合存储（整数 </w:t>
      </w:r>
      <w:r>
        <w:rPr>
          <w:rFonts w:eastAsia="Consolas" w:ascii="Consolas" w:cs="Consolas" w:hAnsi="Consolas"/>
          <w:sz w:val="22"/>
          <w:shd w:fill="EFF0F1"/>
        </w:rPr>
        <w:t>n</w:t>
      </w:r>
      <w:r>
        <w:rPr>
          <w:rFonts w:eastAsia="等线" w:ascii="Arial" w:cs="Arial" w:hAnsi="Arial"/>
          <w:sz w:val="22"/>
        </w:rPr>
        <w:t xml:space="preserve">、浮点 </w:t>
      </w:r>
      <w:r>
        <w:rPr>
          <w:rFonts w:eastAsia="Consolas" w:ascii="Consolas" w:cs="Consolas" w:hAnsi="Consolas"/>
          <w:sz w:val="22"/>
          <w:shd w:fill="EFF0F1"/>
        </w:rPr>
        <w:t>f</w:t>
      </w:r>
      <w:r>
        <w:rPr>
          <w:rFonts w:eastAsia="等线" w:ascii="Arial" w:cs="Arial" w:hAnsi="Arial"/>
          <w:sz w:val="22"/>
        </w:rPr>
        <w:t xml:space="preserve">、GC 对象 </w:t>
      </w:r>
      <w:r>
        <w:rPr>
          <w:rFonts w:eastAsia="Consolas" w:ascii="Consolas" w:cs="Consolas" w:hAnsi="Consolas"/>
          <w:sz w:val="22"/>
          <w:shd w:fill="EFF0F1"/>
        </w:rPr>
        <w:t>gc</w:t>
      </w:r>
      <w:r>
        <w:rPr>
          <w:rFonts w:eastAsia="等线" w:ascii="Arial" w:cs="Arial" w:hAnsi="Arial"/>
          <w:sz w:val="22"/>
        </w:rPr>
        <w:t xml:space="preserve">、布尔 </w:t>
      </w:r>
      <w:r>
        <w:rPr>
          <w:rFonts w:eastAsia="Consolas" w:ascii="Consolas" w:cs="Consolas" w:hAnsi="Consolas"/>
          <w:sz w:val="22"/>
          <w:shd w:fill="EFF0F1"/>
        </w:rPr>
        <w:t>b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提供 </w:t>
      </w:r>
      <w:r>
        <w:rPr>
          <w:rFonts w:eastAsia="Consolas" w:ascii="Consolas" w:cs="Consolas" w:hAnsi="Consolas"/>
          <w:sz w:val="22"/>
          <w:shd w:fill="EFF0F1"/>
        </w:rPr>
        <w:t>LuaArrayVisitor</w:t>
      </w:r>
      <w:r>
        <w:rPr>
          <w:rFonts w:eastAsia="等线" w:ascii="Arial" w:cs="Arial" w:hAnsi="Arial"/>
          <w:sz w:val="22"/>
        </w:rPr>
        <w:t xml:space="preserve"> 访问器，实现 </w:t>
      </w:r>
      <w:r>
        <w:rPr>
          <w:rFonts w:eastAsia="Consolas" w:ascii="Consolas" w:cs="Consolas" w:hAnsi="Consolas"/>
          <w:sz w:val="22"/>
          <w:shd w:fill="EFF0F1"/>
        </w:rPr>
        <w:t>Bind(IntPtr)</w:t>
      </w:r>
      <w:r>
        <w:rPr>
          <w:rFonts w:eastAsia="等线" w:ascii="Arial" w:cs="Arial" w:hAnsi="Arial"/>
          <w:sz w:val="22"/>
        </w:rPr>
        <w:t xml:space="preserve"> 将 C# 指针绑定到 Lua 表的 array 头地址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通过指针算术实现直接读写：</w:t>
      </w:r>
      <w:r>
        <w:rPr>
          <w:rFonts w:eastAsia="Consolas" w:ascii="Consolas" w:cs="Consolas" w:hAnsi="Consolas"/>
          <w:sz w:val="22"/>
          <w:shd w:fill="EFF0F1"/>
        </w:rPr>
        <w:t>(LuaTValue*)(tablePtr-&gt;array) + index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关键技术特征</w:t>
      </w:r>
      <w:r>
        <w:rPr>
          <w:rFonts w:eastAsia="等线" w:ascii="Arial" w:cs="Arial" w:hAnsi="Arial"/>
          <w:sz w:val="22"/>
        </w:rPr>
        <w:t xml:space="preserve">：C# 使用 </w:t>
      </w:r>
      <w:r>
        <w:rPr>
          <w:rFonts w:eastAsia="Consolas" w:ascii="Consolas" w:cs="Consolas" w:hAnsi="Consolas"/>
          <w:sz w:val="22"/>
          <w:shd w:fill="EFF0F1"/>
        </w:rPr>
        <w:t>unsafe</w:t>
      </w:r>
      <w:r>
        <w:rPr>
          <w:rFonts w:eastAsia="等线" w:ascii="Arial" w:cs="Arial" w:hAnsi="Arial"/>
          <w:sz w:val="22"/>
        </w:rPr>
        <w:t xml:space="preserve"> 指针直接访问 Lua VM 内存，无需任何序列化/反序列化或跨语言调用。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模块 3：访问器注册管理模块（中间调度层）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职责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维护全局访问器注册表，以整数 Key 为索引管理所有 </w:t>
      </w:r>
      <w:r>
        <w:rPr>
          <w:rFonts w:eastAsia="Consolas" w:ascii="Consolas" w:cs="Consolas" w:hAnsi="Consolas"/>
          <w:sz w:val="22"/>
          <w:shd w:fill="EFF0F1"/>
        </w:rPr>
        <w:t>LuaArrayVisitor</w:t>
      </w:r>
      <w:r>
        <w:rPr>
          <w:rFonts w:eastAsia="等线" w:ascii="Arial" w:cs="Arial" w:hAnsi="Arial"/>
          <w:sz w:val="22"/>
        </w:rPr>
        <w:t xml:space="preserve"> 实例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定义标准化的 Key 命名空间（输入数组 Key=1~27，输出数组 Key=1001~1002，特殊缓冲区 Key=9994~9999）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ECS 初始化系统（</w:t>
      </w:r>
      <w:r>
        <w:rPr>
          <w:rFonts w:eastAsia="Consolas" w:ascii="Consolas" w:cs="Consolas" w:hAnsi="Consolas"/>
          <w:sz w:val="22"/>
          <w:shd w:fill="EFF0F1"/>
        </w:rPr>
        <w:t>LuaMemoryAccessorInitSystem</w:t>
      </w:r>
      <w:r>
        <w:rPr>
          <w:rFonts w:eastAsia="等线" w:ascii="Arial" w:cs="Arial" w:hAnsi="Arial"/>
          <w:sz w:val="22"/>
        </w:rPr>
        <w:t>）在首帧从注册表中提取所有访问器指针，写入 ECS 单例组件（</w:t>
      </w:r>
      <w:r>
        <w:rPr>
          <w:rFonts w:eastAsia="Consolas" w:ascii="Consolas" w:cs="Consolas" w:hAnsi="Consolas"/>
          <w:sz w:val="22"/>
          <w:shd w:fill="EFF0F1"/>
        </w:rPr>
        <w:t>LuaMemoryAccessorHolderComp</w:t>
      </w:r>
      <w:r>
        <w:rPr>
          <w:rFonts w:eastAsia="等线" w:ascii="Arial" w:cs="Arial" w:hAnsi="Arial"/>
          <w:sz w:val="22"/>
        </w:rPr>
        <w:t>），供后续所有 Job 使用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关键技术特征</w:t>
      </w:r>
      <w:r>
        <w:rPr>
          <w:rFonts w:eastAsia="等线" w:ascii="Arial" w:cs="Arial" w:hAnsi="Arial"/>
          <w:sz w:val="22"/>
        </w:rPr>
        <w:t>：一次初始化、多帧复用，避免每帧查询开销。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模块 4：数据预处理模块（实体识别层）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职责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 </w:t>
      </w:r>
      <w:r>
        <w:rPr>
          <w:rFonts w:eastAsia="Consolas" w:ascii="Consolas" w:cs="Consolas" w:hAnsi="Consolas"/>
          <w:sz w:val="22"/>
          <w:shd w:fill="EFF0F1"/>
        </w:rPr>
        <w:t>IJobParallelFor</w:t>
      </w:r>
      <w:r>
        <w:rPr>
          <w:rFonts w:eastAsia="等线" w:ascii="Arial" w:cs="Arial" w:hAnsi="Arial"/>
          <w:sz w:val="22"/>
        </w:rPr>
        <w:t xml:space="preserve"> 并行扫描 Lua 的 ID 数组，提取所有有效实体的基础信息（ID、ConfigID、EntityType）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将提取结果写入 ECS 的 </w:t>
      </w:r>
      <w:r>
        <w:rPr>
          <w:rFonts w:eastAsia="Consolas" w:ascii="Consolas" w:cs="Consolas" w:hAnsi="Consolas"/>
          <w:sz w:val="22"/>
          <w:shd w:fill="EFF0F1"/>
        </w:rPr>
        <w:t>EntityInfoLuaDataBufferElement</w:t>
      </w:r>
      <w:r>
        <w:rPr>
          <w:rFonts w:eastAsia="等线" w:ascii="Arial" w:cs="Arial" w:hAnsi="Arial"/>
          <w:sz w:val="22"/>
        </w:rPr>
        <w:t xml:space="preserve"> 动态缓冲区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为下游的实体管理系统提供"哪些实体需要创建/销毁/更新"的决策数据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关键技术特征</w:t>
      </w:r>
      <w:r>
        <w:rPr>
          <w:rFonts w:eastAsia="等线" w:ascii="Arial" w:cs="Arial" w:hAnsi="Arial"/>
          <w:sz w:val="22"/>
        </w:rPr>
        <w:t>：并行预处理，快速过滤有效实体，为后续批量处理提供准确的工作集。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模块 5：并行数据同步模块（核心计算层）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职责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LuaDataSyncJob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[BurstCompile]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IJobEntity</w:t>
      </w:r>
      <w:r>
        <w:rPr>
          <w:rFonts w:eastAsia="等线" w:ascii="Arial" w:cs="Arial" w:hAnsi="Arial"/>
          <w:sz w:val="22"/>
        </w:rPr>
        <w:t>）：并行从 Lua 数组读取每个实体的位置（x,y,z）、速度、状态等数据，写入对应的 ECS 组件（</w:t>
      </w:r>
      <w:r>
        <w:rPr>
          <w:rFonts w:eastAsia="Consolas" w:ascii="Consolas" w:cs="Consolas" w:hAnsi="Consolas"/>
          <w:sz w:val="22"/>
          <w:shd w:fill="EFF0F1"/>
        </w:rPr>
        <w:t>ServerDataComp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AdditionalDataComp</w:t>
      </w:r>
      <w:r>
        <w:rPr>
          <w:rFonts w:eastAsia="等线" w:ascii="Arial" w:cs="Arial" w:hAnsi="Arial"/>
          <w:sz w:val="22"/>
        </w:rPr>
        <w:t xml:space="preserve"> 等）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ExternalDataSyncJob</w:t>
      </w:r>
      <w:r>
        <w:rPr>
          <w:rFonts w:eastAsia="等线" w:ascii="Arial" w:cs="Arial" w:hAnsi="Arial"/>
          <w:sz w:val="22"/>
        </w:rPr>
        <w:t>：将同步后的 ECS 组件数据应用到 Transform、状态机等运行时系统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[NativeDisableUnsafePtrRestriction]</w:t>
      </w:r>
      <w:r>
        <w:rPr>
          <w:rFonts w:eastAsia="等线" w:ascii="Arial" w:cs="Arial" w:hAnsi="Arial"/>
          <w:sz w:val="22"/>
        </w:rPr>
        <w:t xml:space="preserve"> 允许 Burst 编译器直接处理 Lua 指针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对多元素数据使用索引计算公式：</w:t>
      </w:r>
      <w:r>
        <w:rPr>
          <w:rFonts w:eastAsia="Consolas" w:ascii="Consolas" w:cs="Consolas" w:hAnsi="Consolas"/>
          <w:sz w:val="22"/>
          <w:shd w:fill="EFF0F1"/>
        </w:rPr>
        <w:t>startIndex = (entityIndex - 1) × structSize + 1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关键技术特征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Burst Compiler 将 C# Job 代码编译为原生 SIMD 指令（如 SSE/AVX），极大提升批量内存读取性能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IJobEntity</w:t>
      </w:r>
      <w:r>
        <w:rPr>
          <w:rFonts w:eastAsia="等线" w:ascii="Arial" w:cs="Arial" w:hAnsi="Arial"/>
          <w:sz w:val="22"/>
        </w:rPr>
        <w:t xml:space="preserve"> 自动在多线程间分配 Entity 工作负载，实现数据级并行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直接指针访问，每个数据元素的读取成本仅为一次指针偏移+内存读取，无任何跨语言调用开销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模块 6：数据输出回写模块（结果回传层）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职责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LuaDataOutputJob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[BurstCompile]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IJobEntity</w:t>
      </w:r>
      <w:r>
        <w:rPr>
          <w:rFonts w:eastAsia="等线" w:ascii="Arial" w:cs="Arial" w:hAnsi="Arial"/>
          <w:sz w:val="22"/>
        </w:rPr>
        <w:t>）：将 C# ECS 侧计算的结果（如视觉插值位置、雷达搜索结果等）并行写回到 Lua 侧的输出数组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Lua 侧可直接读取输出数组获得 C# 的计算结果，无需反向穿透调用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关键技术特征</w:t>
      </w:r>
      <w:r>
        <w:rPr>
          <w:rFonts w:eastAsia="等线" w:ascii="Arial" w:cs="Arial" w:hAnsi="Arial"/>
          <w:sz w:val="22"/>
        </w:rPr>
        <w:t>：双向数据流通过输入/输出两组数组实现，保持了单向数据依赖，避免读写竞争。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三、数据处理流程与数据流向细化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S1、在 Lua 脚本端创建预分配数组并注册指针绑定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在 Lua 虚拟机中创建多个预分配的连续数组，每个数组对应一种实体属性（位置、速度、状态、Buff 等）。将每个 Lua 数组的内部 Table 指针通过桥接接口（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BindLuaTablePtrToCSharp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）传递到 C# 侧，C# 侧创建对应的访问器对象（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LuaArrayVisitor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），绑定到 Lua Table 的 array 头地址指针，完成从 Lua 脚本端到 C# 端的指针注册。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S2、在 C# 端初始化 ECS 系统并缓存指针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C# 侧的 ECS 初始化系统（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LuaMemoryAccessorInitSystem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）在首帧运行时，从全局访问器注册表中提取所有已注册的 Lua 数组指针（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LuaTTable*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），将其存储到 ECS 单例组件（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LuaMemoryAccessorHolderComp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）中。此后所有 Burst 编译的并行 Job 均可直接从该单例组件获取指针，无需重复查询。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S3、Lua 端接收服务端数据并写入共享数组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当服务端下发实体数据更新时，Lua 侧的实体管理器（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WorldEntityMgr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）将每个实体的各属性数据按预定义的索引规则写入对应的共享数组。其中，单元素属性使用实体索引直接定位；多元素属性（如三维坐标）使用公式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startIndex = (entityIndex - 1) × structSize + 1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计算起始位置；变长属性（如 Buff 列表）使用额外的索引信息数组记录起始位置和长度。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S4、C# 端并行预处理识别有效实体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数据预处理系统（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LuaDataPreprocessorSystem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）调度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IJobParallelFor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类型的并行 Job，扫描 Lua 的 ID 数组，过滤出所有有效实体（ID≠0），提取其基础信息写入 ECS 动态缓冲区。实体管理系统根据该缓冲区执行实体的创建、销毁和更新操作。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S5、C# 端通过 Burst 编译的并行 Job 批量同步数据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核心数据同步系统（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WorldEntityExternalDataMangerSystem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）调度使用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[BurstCompile]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标注的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IJobEntity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类型并行 Job。每个 Job 工作线程通过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unsafe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指针直接访问 Lua VM 内存中的数组数据：以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LuaTTable*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指针获取数组头地址，通过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(LuaTValue*)(tablePtr-&gt;array) + index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指针算术偏移到目标元素，直接读取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LuaTValue.value.n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中存储的数值。Burst Compiler 将上述操作编译为本地 SIMD 指令（SSE/AVX），在多个 CPU 核心上并行执行，实现高吞吐量数据同步。同步后的数据被写入到 ECS 组件中供渲染和物理等系统使用。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S6、C# 端将计算结果并行回写到 Lua 输出数组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数据输出系统（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WorldEntityDataOutputSystem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）调度 Burst 编译的并行 Job，将 C# ECS 侧的计算结果（如经过插值的视觉位置、雷达搜索结果等）通过同样的指针直写方式写回到 Lua 侧的输出数组中。Lua 脚本端可直接读取输出数组获取 C# 的计算结果，完成双向数据流的闭环。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四、原有技术痛点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在 Unity 客户端开发中，常采用 Lua 脚本语言实现游戏逻辑的热更新。Lua 与 C# 之间的数据交换依赖于桥接层（如 SLua、xLua、toLua）的穿透调用机制。每次穿透调用涉及：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(1)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Lua 虚拟机栈帧的压栈/出栈操作；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(2)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Lua 值类型到 C# 托管类型的装箱/拆箱转换；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(3)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C# 托管内存到非托管内存的 Marshal 拷贝；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(4)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GC（垃圾回收）压力的累积。当需要同步大规模实体数据（如数百至数千个世界实体的位置、速度、状态等多维属性）时，每帧产生数万次穿透调用，上述开销累积导致严重的性能瓶颈，帧率显著下降。此外，传统方案中数据以逐条方式在主线程串行处理，无法利用现代多核 CPU 的并行计算能力和 SIMD 指令集加速。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五、核心逻辑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本发明提出一种基于指针托管与并行批处理的跨语言数据同步方法，包括以下关键技术：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(1) 零拷贝指针托管机制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：在 Lua 虚拟机中创建预分配的连续数组，将 Lua Table 内部的 C 层数组指针（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TValue* array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）直接绑定到 C# 侧的 unsafe 指针（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LuaTTable*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）。C# 通过指针算术直接访问 Lua 内存中的数据，绕过桥接层的全部穿透调用开销。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(2) SoA 数据布局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：将实体的每种属性拆分为独立数组（Structure of Arrays），而非每个实体一个结构体（Array of Structures）。此布局对 CPU 缓存行（Cache Line）友好，且天然适配 SIMD 向量化处理。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(3) DOTS 并行批处理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：利用 Unity DOTS 架构（ECS + Job System + Burst Compiler），将数据同步操作编译为 Burst 本地代码，以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IJobEntity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IJobParallelFor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在多个工作线程上并行执行。Burst Compiler 自动生成 SIMD 指令（SSE/AVX），实现单指令多数据的向量化批量读写。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(4) 双向数据通道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：设计输入数组组（Lua→C#）和输出数组组（C#→Lua）实现双向数据流，保持单向数据依赖关系，避免读写竞争和内存一致性问题。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六、性能提升描述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在同等数据量条件下（例如 1000 个世界实体、每实体 30+ 属性字段），传统穿透调用方案每帧需执行约 30,000 次跨语言调用，耗时约 100ms；本方案通过指针直读 + 并行批处理，将跨语言调用次数降为0，数据同步耗时降至约 1ms，性能提升约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两个数量级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。其中，指针托管消除了穿透调用开销（约2倍提升），Burst 编译的 SIMD 并行处理进一步带来约50倍提升，两者叠加实现综合性能提升上百倍。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80293">
    <w:lvl>
      <w:numFmt w:val="bullet"/>
      <w:suff w:val="tab"/>
      <w:lvlText w:val="•"/>
      <w:rPr>
        <w:color w:val="3370ff"/>
      </w:rPr>
    </w:lvl>
  </w:abstractNum>
  <w:abstractNum w:abstractNumId="380294">
    <w:lvl>
      <w:numFmt w:val="bullet"/>
      <w:suff w:val="tab"/>
      <w:lvlText w:val="•"/>
      <w:rPr>
        <w:color w:val="3370ff"/>
      </w:rPr>
    </w:lvl>
  </w:abstractNum>
  <w:abstractNum w:abstractNumId="380295">
    <w:lvl>
      <w:numFmt w:val="bullet"/>
      <w:suff w:val="tab"/>
      <w:lvlText w:val="•"/>
      <w:rPr>
        <w:color w:val="3370ff"/>
      </w:rPr>
    </w:lvl>
  </w:abstractNum>
  <w:abstractNum w:abstractNumId="380296">
    <w:lvl>
      <w:numFmt w:val="bullet"/>
      <w:suff w:val="tab"/>
      <w:lvlText w:val="•"/>
      <w:rPr>
        <w:color w:val="3370ff"/>
      </w:rPr>
    </w:lvl>
  </w:abstractNum>
  <w:abstractNum w:abstractNumId="380297">
    <w:lvl>
      <w:numFmt w:val="bullet"/>
      <w:suff w:val="tab"/>
      <w:lvlText w:val="•"/>
      <w:rPr>
        <w:color w:val="3370ff"/>
      </w:rPr>
    </w:lvl>
  </w:abstractNum>
  <w:abstractNum w:abstractNumId="380298">
    <w:lvl>
      <w:numFmt w:val="bullet"/>
      <w:suff w:val="tab"/>
      <w:lvlText w:val="￮"/>
      <w:rPr>
        <w:color w:val="3370ff"/>
      </w:rPr>
    </w:lvl>
  </w:abstractNum>
  <w:abstractNum w:abstractNumId="380299">
    <w:lvl>
      <w:numFmt w:val="bullet"/>
      <w:suff w:val="tab"/>
      <w:lvlText w:val="￮"/>
      <w:rPr>
        <w:color w:val="3370ff"/>
      </w:rPr>
    </w:lvl>
  </w:abstractNum>
  <w:abstractNum w:abstractNumId="380300">
    <w:lvl>
      <w:numFmt w:val="bullet"/>
      <w:suff w:val="tab"/>
      <w:lvlText w:val="￮"/>
      <w:rPr>
        <w:color w:val="3370ff"/>
      </w:rPr>
    </w:lvl>
  </w:abstractNum>
  <w:abstractNum w:abstractNumId="380301">
    <w:lvl>
      <w:numFmt w:val="bullet"/>
      <w:suff w:val="tab"/>
      <w:lvlText w:val="•"/>
      <w:rPr>
        <w:color w:val="3370ff"/>
      </w:rPr>
    </w:lvl>
  </w:abstractNum>
  <w:abstractNum w:abstractNumId="380302">
    <w:lvl>
      <w:numFmt w:val="bullet"/>
      <w:suff w:val="tab"/>
      <w:lvlText w:val="•"/>
      <w:rPr>
        <w:color w:val="3370ff"/>
      </w:rPr>
    </w:lvl>
  </w:abstractNum>
  <w:abstractNum w:abstractNumId="380303">
    <w:lvl>
      <w:numFmt w:val="bullet"/>
      <w:suff w:val="tab"/>
      <w:lvlText w:val="•"/>
      <w:rPr>
        <w:color w:val="3370ff"/>
      </w:rPr>
    </w:lvl>
  </w:abstractNum>
  <w:abstractNum w:abstractNumId="380304">
    <w:lvl>
      <w:numFmt w:val="bullet"/>
      <w:suff w:val="tab"/>
      <w:lvlText w:val="•"/>
      <w:rPr>
        <w:color w:val="3370ff"/>
      </w:rPr>
    </w:lvl>
  </w:abstractNum>
  <w:abstractNum w:abstractNumId="380305">
    <w:lvl>
      <w:numFmt w:val="bullet"/>
      <w:suff w:val="tab"/>
      <w:lvlText w:val="•"/>
      <w:rPr>
        <w:color w:val="3370ff"/>
      </w:rPr>
    </w:lvl>
  </w:abstractNum>
  <w:abstractNum w:abstractNumId="380306">
    <w:lvl>
      <w:numFmt w:val="bullet"/>
      <w:suff w:val="tab"/>
      <w:lvlText w:val="•"/>
      <w:rPr>
        <w:color w:val="3370ff"/>
      </w:rPr>
    </w:lvl>
  </w:abstractNum>
  <w:abstractNum w:abstractNumId="380307">
    <w:lvl>
      <w:numFmt w:val="bullet"/>
      <w:suff w:val="tab"/>
      <w:lvlText w:val="•"/>
      <w:rPr>
        <w:color w:val="3370ff"/>
      </w:rPr>
    </w:lvl>
  </w:abstractNum>
  <w:abstractNum w:abstractNumId="380308">
    <w:lvl>
      <w:numFmt w:val="bullet"/>
      <w:suff w:val="tab"/>
      <w:lvlText w:val="•"/>
      <w:rPr>
        <w:color w:val="3370ff"/>
      </w:rPr>
    </w:lvl>
  </w:abstractNum>
  <w:abstractNum w:abstractNumId="380309">
    <w:lvl>
      <w:numFmt w:val="bullet"/>
      <w:suff w:val="tab"/>
      <w:lvlText w:val="•"/>
      <w:rPr>
        <w:color w:val="3370ff"/>
      </w:rPr>
    </w:lvl>
  </w:abstractNum>
  <w:abstractNum w:abstractNumId="380310">
    <w:lvl>
      <w:numFmt w:val="bullet"/>
      <w:suff w:val="tab"/>
      <w:lvlText w:val="•"/>
      <w:rPr>
        <w:color w:val="3370ff"/>
      </w:rPr>
    </w:lvl>
  </w:abstractNum>
  <w:abstractNum w:abstractNumId="380311">
    <w:lvl>
      <w:numFmt w:val="bullet"/>
      <w:suff w:val="tab"/>
      <w:lvlText w:val="•"/>
      <w:rPr>
        <w:color w:val="3370ff"/>
      </w:rPr>
    </w:lvl>
  </w:abstractNum>
  <w:abstractNum w:abstractNumId="380312">
    <w:lvl>
      <w:numFmt w:val="bullet"/>
      <w:suff w:val="tab"/>
      <w:lvlText w:val="•"/>
      <w:rPr>
        <w:color w:val="3370ff"/>
      </w:rPr>
    </w:lvl>
  </w:abstractNum>
  <w:abstractNum w:abstractNumId="380313">
    <w:lvl>
      <w:numFmt w:val="bullet"/>
      <w:suff w:val="tab"/>
      <w:lvlText w:val="•"/>
      <w:rPr>
        <w:color w:val="3370ff"/>
      </w:rPr>
    </w:lvl>
  </w:abstractNum>
  <w:abstractNum w:abstractNumId="380314">
    <w:lvl>
      <w:numFmt w:val="bullet"/>
      <w:suff w:val="tab"/>
      <w:lvlText w:val="•"/>
      <w:rPr>
        <w:color w:val="3370ff"/>
      </w:rPr>
    </w:lvl>
  </w:abstractNum>
  <w:abstractNum w:abstractNumId="380315">
    <w:lvl>
      <w:numFmt w:val="bullet"/>
      <w:suff w:val="tab"/>
      <w:lvlText w:val="•"/>
      <w:rPr>
        <w:color w:val="3370ff"/>
      </w:rPr>
    </w:lvl>
  </w:abstractNum>
  <w:abstractNum w:abstractNumId="380316">
    <w:lvl>
      <w:numFmt w:val="bullet"/>
      <w:suff w:val="tab"/>
      <w:lvlText w:val="•"/>
      <w:rPr>
        <w:color w:val="3370ff"/>
      </w:rPr>
    </w:lvl>
  </w:abstractNum>
  <w:abstractNum w:abstractNumId="380317">
    <w:lvl>
      <w:numFmt w:val="bullet"/>
      <w:suff w:val="tab"/>
      <w:lvlText w:val="•"/>
      <w:rPr>
        <w:color w:val="3370ff"/>
      </w:rPr>
    </w:lvl>
  </w:abstractNum>
  <w:num w:numId="1">
    <w:abstractNumId w:val="380293"/>
  </w:num>
  <w:num w:numId="2">
    <w:abstractNumId w:val="380294"/>
  </w:num>
  <w:num w:numId="3">
    <w:abstractNumId w:val="380295"/>
  </w:num>
  <w:num w:numId="4">
    <w:abstractNumId w:val="380296"/>
  </w:num>
  <w:num w:numId="5">
    <w:abstractNumId w:val="380297"/>
  </w:num>
  <w:num w:numId="6">
    <w:abstractNumId w:val="380298"/>
  </w:num>
  <w:num w:numId="7">
    <w:abstractNumId w:val="380299"/>
  </w:num>
  <w:num w:numId="8">
    <w:abstractNumId w:val="380300"/>
  </w:num>
  <w:num w:numId="9">
    <w:abstractNumId w:val="380301"/>
  </w:num>
  <w:num w:numId="10">
    <w:abstractNumId w:val="380302"/>
  </w:num>
  <w:num w:numId="11">
    <w:abstractNumId w:val="380303"/>
  </w:num>
  <w:num w:numId="12">
    <w:abstractNumId w:val="380304"/>
  </w:num>
  <w:num w:numId="13">
    <w:abstractNumId w:val="380305"/>
  </w:num>
  <w:num w:numId="14">
    <w:abstractNumId w:val="380306"/>
  </w:num>
  <w:num w:numId="15">
    <w:abstractNumId w:val="380307"/>
  </w:num>
  <w:num w:numId="16">
    <w:abstractNumId w:val="380308"/>
  </w:num>
  <w:num w:numId="17">
    <w:abstractNumId w:val="380309"/>
  </w:num>
  <w:num w:numId="18">
    <w:abstractNumId w:val="380310"/>
  </w:num>
  <w:num w:numId="19">
    <w:abstractNumId w:val="380311"/>
  </w:num>
  <w:num w:numId="20">
    <w:abstractNumId w:val="380312"/>
  </w:num>
  <w:num w:numId="21">
    <w:abstractNumId w:val="380313"/>
  </w:num>
  <w:num w:numId="22">
    <w:abstractNumId w:val="380314"/>
  </w:num>
  <w:num w:numId="23">
    <w:abstractNumId w:val="380315"/>
  </w:num>
  <w:num w:numId="24">
    <w:abstractNumId w:val="380316"/>
  </w:num>
  <w:num w:numId="25">
    <w:abstractNumId w:val="3803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2026-02-09T03:39:53Z</dcterms:created>
  <dc:creator>Apache POI</dc:creator>
</cp:coreProperties>
</file>