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Manual de Usuario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LIGACOIN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 AGENDA DEPORTIVA Y APUESTAS VIRTUALES</w:t>
      </w: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008000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Pantalla de bienvenida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Al abrir la aplicación aparece una ventana de presentación con una breve descripción de LigaCoin. Hacé clic en "¡Empezar!" para ingresar al programa.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344" w:dyaOrig="5760">
          <v:rect xmlns:o="urn:schemas-microsoft-com:office:office" xmlns:v="urn:schemas-microsoft-com:vml" id="rectole0000000000" style="width:367.200000pt;height:28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Pantalla principal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La pantalla principal se divide en tres zonas: el encabezado, con el nombre de la app y el saldo de LigaCoins; el panel izquierdo, con la lista de partidos; y el panel derecho, con el formulario de apuestas y el historial.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286" w:dyaOrig="5760">
          <v:rect xmlns:o="urn:schemas-microsoft-com:office:office" xmlns:v="urn:schemas-microsoft-com:vml" id="rectole0000000001" style="width:364.300000pt;height:288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Seleccionar un partido y elegir el equipo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Hacé clic sobre cualquier fila de la lista de partidos para seleccionarlo. El menú desplegable "Apostá al ganador" se completa con los dos equipos de ese partido. Elegi a cuál de los dos le querés apostar.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435" w:dyaOrig="3326">
          <v:rect xmlns:o="urn:schemas-microsoft-com:office:office" xmlns:v="urn:schemas-microsoft-com:vml" id="rectole0000000002" style="width:221.750000pt;height:166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4.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Elegir el monto a apostar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Escribí en "Cantidad (LigaCoins)" cuántas LigaCoins querés apostar. No se puede apostar más de lo disponible en el saldo.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392" w:dyaOrig="3297">
          <v:rect xmlns:o="urn:schemas-microsoft-com:office:office" xmlns:v="urn:schemas-microsoft-com:vml" id="rectole0000000003" style="width:219.600000pt;height:164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5.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Confirmar la apuesta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Hacé clic en el botón "Apostar". Si todo está correcto, aparece un mensaje de confirmación, el saldo se descuenta automáticamente y la apuesta queda registrada en el Historial de Apuestas.</w:t>
      </w:r>
    </w:p>
    <w:p>
      <w:pPr>
        <w:spacing w:before="0" w:after="20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1450B4"/>
          <w:spacing w:val="0"/>
          <w:position w:val="0"/>
          <w:sz w:val="24"/>
          <w:shd w:fill="auto" w:val="clear"/>
        </w:rPr>
        <w:t xml:space="preserve">Nota: no se puede apostar a un partido que ya finalizó.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291" w:dyaOrig="5284">
          <v:rect xmlns:o="urn:schemas-microsoft-com:office:office" xmlns:v="urn:schemas-microsoft-com:vml" id="rectole0000000004" style="width:214.550000pt;height:264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6.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Iniciar la simulación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Con el partido ya seleccionado y la apuesta guardada, hacé clic en "Iniciar Simulación" para que el partido empiece a jugarse.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344" w:dyaOrig="5760">
          <v:rect xmlns:o="urn:schemas-microsoft-com:office:office" xmlns:v="urn:schemas-microsoft-com:vml" id="rectole0000000005" style="width:367.200000pt;height:28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7.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Partido en juego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Mientras se simula, el estado cambia a "En juego" y se puede seguir el minuto y el marcador en tiempo real. Los goles se generan de forma aleatoria a medida que avanzan los minutos.</w:t>
      </w:r>
    </w:p>
    <w:p>
      <w:pPr>
        <w:spacing w:before="0" w:after="20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1450B4"/>
          <w:spacing w:val="0"/>
          <w:position w:val="0"/>
          <w:sz w:val="24"/>
          <w:shd w:fill="auto" w:val="clear"/>
        </w:rPr>
        <w:t xml:space="preserve">Nota: mientras un partido se está simulando, no se puede iniciar otra simulación al mismo tiempo.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113" w:dyaOrig="5760">
          <v:rect xmlns:o="urn:schemas-microsoft-com:office:office" xmlns:v="urn:schemas-microsoft-com:vml" id="rectole0000000006" style="width:355.650000pt;height:288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8.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Resultado del partido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Al llegar al minuto 90, el partido finaliza y aparece una ventana con el resultado. Si se acertó el equipo ganador, se acreditan el doble de las LigaCoins apostadas; si no, el mensaje avisa que no se ganó esta vez.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185" w:dyaOrig="5760">
          <v:rect xmlns:o="urn:schemas-microsoft-com:office:office" xmlns:v="urn:schemas-microsoft-com:vml" id="rectole0000000007" style="width:359.250000pt;height:288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000"/>
          <w:spacing w:val="0"/>
          <w:position w:val="0"/>
          <w:sz w:val="24"/>
          <w:shd w:fill="auto" w:val="clear"/>
        </w:rPr>
        <w:t xml:space="preserve">9. </w:t>
      </w:r>
      <w:r>
        <w:rPr>
          <w:rFonts w:ascii="Arial" w:hAnsi="Arial" w:cs="Arial" w:eastAsia="Arial"/>
          <w:b/>
          <w:color w:val="165A16"/>
          <w:spacing w:val="0"/>
          <w:position w:val="0"/>
          <w:sz w:val="24"/>
          <w:shd w:fill="auto" w:val="clear"/>
        </w:rPr>
        <w:t xml:space="preserve">Reiniciar la temporada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A2A2A"/>
          <w:spacing w:val="0"/>
          <w:position w:val="0"/>
          <w:sz w:val="24"/>
          <w:shd w:fill="auto" w:val="clear"/>
        </w:rPr>
        <w:t xml:space="preserve">Para empezar de cero, hacé clic en "Reiniciar Temporada". Esto genera un nuevo calendario de partidos, restaura el saldo a 1000 LC y borra el historial de apuestas.</w:t>
      </w:r>
    </w:p>
    <w:p>
      <w:pPr>
        <w:spacing w:before="12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171" w:dyaOrig="5760">
          <v:rect xmlns:o="urn:schemas-microsoft-com:office:office" xmlns:v="urn:schemas-microsoft-com:vml" id="rectole0000000008" style="width:358.550000pt;height:288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