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F8D1" w14:textId="60B08A0E" w:rsidR="00127762" w:rsidRPr="00165A17" w:rsidRDefault="00000000" w:rsidP="00165A17">
      <w:pPr>
        <w:pStyle w:val="Heading1"/>
        <w:spacing w:line="360" w:lineRule="auto"/>
        <w:jc w:val="center"/>
        <w:rPr>
          <w:rFonts w:ascii="Times New Roman" w:hAnsi="Times New Roman" w:cs="Times New Roman"/>
        </w:rPr>
      </w:pPr>
      <w:r w:rsidRPr="00165A17">
        <w:rPr>
          <w:rFonts w:ascii="Times New Roman" w:hAnsi="Times New Roman" w:cs="Times New Roman"/>
        </w:rPr>
        <w:t>Regulatory Compliance Navigator</w:t>
      </w:r>
    </w:p>
    <w:p w14:paraId="32D61948" w14:textId="77777777" w:rsidR="00127762" w:rsidRPr="00165A17" w:rsidRDefault="00000000" w:rsidP="00165A17">
      <w:pPr>
        <w:spacing w:after="240" w:line="360" w:lineRule="auto"/>
        <w:jc w:val="center"/>
        <w:rPr>
          <w:rFonts w:ascii="Times New Roman" w:hAnsi="Times New Roman" w:cs="Times New Roman"/>
        </w:rPr>
      </w:pPr>
      <w:r w:rsidRPr="00165A17">
        <w:rPr>
          <w:rFonts w:ascii="Times New Roman" w:hAnsi="Times New Roman" w:cs="Times New Roman"/>
          <w:i/>
          <w:iCs/>
        </w:rPr>
        <w:t>Automated Agriculture &amp; Forestry Compliance Management System</w:t>
      </w:r>
    </w:p>
    <w:p w14:paraId="5A94B134" w14:textId="77777777" w:rsidR="00127762" w:rsidRPr="00165A17" w:rsidRDefault="00000000" w:rsidP="00165A17">
      <w:pPr>
        <w:pStyle w:val="Heading2"/>
        <w:spacing w:line="360" w:lineRule="auto"/>
        <w:jc w:val="both"/>
        <w:rPr>
          <w:rFonts w:ascii="Times New Roman" w:hAnsi="Times New Roman" w:cs="Times New Roman"/>
        </w:rPr>
      </w:pPr>
      <w:r w:rsidRPr="00165A17">
        <w:rPr>
          <w:rFonts w:ascii="Times New Roman" w:hAnsi="Times New Roman" w:cs="Times New Roman"/>
        </w:rPr>
        <w:t>Project Context</w:t>
      </w:r>
    </w:p>
    <w:p w14:paraId="155EEDC3" w14:textId="77777777" w:rsidR="00127762" w:rsidRPr="00165A17" w:rsidRDefault="00000000" w:rsidP="00165A17">
      <w:pPr>
        <w:spacing w:after="200" w:line="360" w:lineRule="auto"/>
        <w:jc w:val="both"/>
        <w:rPr>
          <w:rFonts w:ascii="Times New Roman" w:hAnsi="Times New Roman" w:cs="Times New Roman"/>
        </w:rPr>
      </w:pPr>
      <w:r w:rsidRPr="00165A17">
        <w:rPr>
          <w:rFonts w:ascii="Times New Roman" w:hAnsi="Times New Roman" w:cs="Times New Roman"/>
        </w:rPr>
        <w:t>This project addresses the challenge of automating and monitoring agricultural and forestry management to improve efficiency in resource production, use, and restoration across the European Union, aligned with circular and green economy principles.</w:t>
      </w:r>
    </w:p>
    <w:p w14:paraId="75D40B75" w14:textId="77777777" w:rsidR="00127762" w:rsidRPr="00165A17" w:rsidRDefault="00000000" w:rsidP="00165A17">
      <w:pPr>
        <w:pStyle w:val="Heading2"/>
        <w:spacing w:after="0" w:line="360" w:lineRule="auto"/>
        <w:jc w:val="both"/>
        <w:rPr>
          <w:rFonts w:ascii="Times New Roman" w:hAnsi="Times New Roman" w:cs="Times New Roman"/>
        </w:rPr>
      </w:pPr>
      <w:r w:rsidRPr="00165A17">
        <w:rPr>
          <w:rFonts w:ascii="Times New Roman" w:hAnsi="Times New Roman" w:cs="Times New Roman"/>
        </w:rPr>
        <w:t>Problem Statement</w:t>
      </w:r>
    </w:p>
    <w:p w14:paraId="62C87B7E" w14:textId="77777777" w:rsidR="00127762" w:rsidRPr="00165A17" w:rsidRDefault="00000000" w:rsidP="00165A17">
      <w:pPr>
        <w:spacing w:after="100" w:line="360" w:lineRule="auto"/>
        <w:jc w:val="both"/>
        <w:rPr>
          <w:rFonts w:ascii="Times New Roman" w:hAnsi="Times New Roman" w:cs="Times New Roman"/>
        </w:rPr>
      </w:pPr>
      <w:r w:rsidRPr="00165A17">
        <w:rPr>
          <w:rFonts w:ascii="Times New Roman" w:hAnsi="Times New Roman" w:cs="Times New Roman"/>
        </w:rPr>
        <w:t>Farmers and forest managers across the EU struggle to navigate complex environmental regulations under the Common Agricultural Policy (CAP), spending excessive time on manual reporting. This bureaucratic burden leads to three critical issues:</w:t>
      </w:r>
    </w:p>
    <w:p w14:paraId="40367182"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Missed subsidies: </w:t>
      </w:r>
      <w:r w:rsidRPr="00165A17">
        <w:rPr>
          <w:rFonts w:ascii="Times New Roman" w:hAnsi="Times New Roman" w:cs="Times New Roman"/>
        </w:rPr>
        <w:t>Small and medium operators often fail to access €98 billion in green economy incentives (CAP 2023-2027) due to information barriers</w:t>
      </w:r>
    </w:p>
    <w:p w14:paraId="03AD4ED0"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Compliance penalties: </w:t>
      </w:r>
      <w:r w:rsidRPr="00165A17">
        <w:rPr>
          <w:rFonts w:ascii="Times New Roman" w:hAnsi="Times New Roman" w:cs="Times New Roman"/>
        </w:rPr>
        <w:t>28% of European farmers have received penalties for non-compliance with direct payment regulations (Swiss study, 2024)</w:t>
      </w:r>
    </w:p>
    <w:p w14:paraId="2AB53916" w14:textId="77777777" w:rsidR="00127762" w:rsidRPr="00165A17" w:rsidRDefault="00000000" w:rsidP="00165A17">
      <w:pPr>
        <w:pStyle w:val="ListParagraph"/>
        <w:numPr>
          <w:ilvl w:val="0"/>
          <w:numId w:val="2"/>
        </w:numPr>
        <w:spacing w:after="200" w:line="360" w:lineRule="auto"/>
        <w:jc w:val="both"/>
        <w:rPr>
          <w:rFonts w:ascii="Times New Roman" w:hAnsi="Times New Roman" w:cs="Times New Roman"/>
        </w:rPr>
      </w:pPr>
      <w:r w:rsidRPr="00165A17">
        <w:rPr>
          <w:rFonts w:ascii="Times New Roman" w:hAnsi="Times New Roman" w:cs="Times New Roman"/>
          <w:b/>
          <w:bCs/>
        </w:rPr>
        <w:t xml:space="preserve">Administrative inefficiency: </w:t>
      </w:r>
      <w:r w:rsidRPr="00165A17">
        <w:rPr>
          <w:rFonts w:ascii="Times New Roman" w:hAnsi="Times New Roman" w:cs="Times New Roman"/>
        </w:rPr>
        <w:t>Up to 60% of administrative burden stems from Member States' implementation complexity, with significant portions deemed unnecessary (EU CAP Network Study, 2025)</w:t>
      </w:r>
    </w:p>
    <w:p w14:paraId="055BCB53" w14:textId="77777777" w:rsidR="00127762" w:rsidRPr="00165A17" w:rsidRDefault="00000000" w:rsidP="00165A17">
      <w:pPr>
        <w:pStyle w:val="Heading2"/>
        <w:spacing w:after="0" w:line="360" w:lineRule="auto"/>
        <w:jc w:val="both"/>
        <w:rPr>
          <w:rFonts w:ascii="Times New Roman" w:hAnsi="Times New Roman" w:cs="Times New Roman"/>
        </w:rPr>
      </w:pPr>
      <w:r w:rsidRPr="00165A17">
        <w:rPr>
          <w:rFonts w:ascii="Times New Roman" w:hAnsi="Times New Roman" w:cs="Times New Roman"/>
        </w:rPr>
        <w:t>EU-Wide Challenge (Primary Focus)</w:t>
      </w:r>
    </w:p>
    <w:p w14:paraId="2D93E9D3" w14:textId="77777777" w:rsidR="00127762" w:rsidRPr="00165A17" w:rsidRDefault="00000000" w:rsidP="00165A17">
      <w:pPr>
        <w:spacing w:after="100" w:line="360" w:lineRule="auto"/>
        <w:jc w:val="both"/>
        <w:rPr>
          <w:rFonts w:ascii="Times New Roman" w:hAnsi="Times New Roman" w:cs="Times New Roman"/>
        </w:rPr>
      </w:pPr>
      <w:r w:rsidRPr="00165A17">
        <w:rPr>
          <w:rFonts w:ascii="Times New Roman" w:hAnsi="Times New Roman" w:cs="Times New Roman"/>
        </w:rPr>
        <w:t>The Common Agricultural Policy compliance system affects all 27 EU Member States:</w:t>
      </w:r>
    </w:p>
    <w:p w14:paraId="1E7DFFBF"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Cross-compliance complexity: </w:t>
      </w:r>
      <w:r w:rsidRPr="00165A17">
        <w:rPr>
          <w:rFonts w:ascii="Times New Roman" w:hAnsi="Times New Roman" w:cs="Times New Roman"/>
        </w:rPr>
        <w:t>Farmers must meet statutory management requirements (SMR) and good agricultural and environmental conditions (GAECs) across environmental, public health, animal welfare domains</w:t>
      </w:r>
    </w:p>
    <w:p w14:paraId="62C90FC9"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Payment reduction mechanism: </w:t>
      </w:r>
      <w:r w:rsidRPr="00165A17">
        <w:rPr>
          <w:rFonts w:ascii="Times New Roman" w:hAnsi="Times New Roman" w:cs="Times New Roman"/>
        </w:rPr>
        <w:t>Farmers violating EU law see direct payments reduced systematically across all Member States, with penalties rarely fully enforced but creating fear and uncertainty</w:t>
      </w:r>
    </w:p>
    <w:p w14:paraId="566F8436"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lastRenderedPageBreak/>
        <w:t xml:space="preserve">Recent simplification efforts: </w:t>
      </w:r>
      <w:r w:rsidRPr="00165A17">
        <w:rPr>
          <w:rFonts w:ascii="Times New Roman" w:hAnsi="Times New Roman" w:cs="Times New Roman"/>
        </w:rPr>
        <w:t>EU adopted emergency measures in 2024-2025 exempting farms under 10 hectares from certain controls, acknowledging disproportionate administrative burden</w:t>
      </w:r>
    </w:p>
    <w:p w14:paraId="0F2FDE91" w14:textId="77777777" w:rsidR="00127762" w:rsidRPr="00165A17" w:rsidRDefault="00000000" w:rsidP="00165A17">
      <w:pPr>
        <w:pStyle w:val="ListParagraph"/>
        <w:numPr>
          <w:ilvl w:val="0"/>
          <w:numId w:val="2"/>
        </w:numPr>
        <w:spacing w:after="200" w:line="360" w:lineRule="auto"/>
        <w:jc w:val="both"/>
        <w:rPr>
          <w:rFonts w:ascii="Times New Roman" w:hAnsi="Times New Roman" w:cs="Times New Roman"/>
        </w:rPr>
      </w:pPr>
      <w:r w:rsidRPr="00165A17">
        <w:rPr>
          <w:rFonts w:ascii="Times New Roman" w:hAnsi="Times New Roman" w:cs="Times New Roman"/>
          <w:b/>
          <w:bCs/>
        </w:rPr>
        <w:t xml:space="preserve">Farmer reliance on external support: </w:t>
      </w:r>
      <w:r w:rsidRPr="00165A17">
        <w:rPr>
          <w:rFonts w:ascii="Times New Roman" w:hAnsi="Times New Roman" w:cs="Times New Roman"/>
        </w:rPr>
        <w:t>EU-wide study (27,000 participants) confirms farmers heavily rely on paid consultants for administrative tasks, adding significant costs</w:t>
      </w:r>
    </w:p>
    <w:p w14:paraId="3A7A1713" w14:textId="77777777" w:rsidR="00127762" w:rsidRPr="00165A17" w:rsidRDefault="00000000" w:rsidP="00165A17">
      <w:pPr>
        <w:pStyle w:val="Heading2"/>
        <w:spacing w:after="0" w:line="360" w:lineRule="auto"/>
        <w:jc w:val="both"/>
        <w:rPr>
          <w:rFonts w:ascii="Times New Roman" w:hAnsi="Times New Roman" w:cs="Times New Roman"/>
        </w:rPr>
      </w:pPr>
      <w:r w:rsidRPr="00165A17">
        <w:rPr>
          <w:rFonts w:ascii="Times New Roman" w:hAnsi="Times New Roman" w:cs="Times New Roman"/>
        </w:rPr>
        <w:t>Lithuanian Case Study</w:t>
      </w:r>
    </w:p>
    <w:p w14:paraId="78D408CB" w14:textId="77777777" w:rsidR="00127762" w:rsidRPr="00165A17" w:rsidRDefault="00000000" w:rsidP="00165A17">
      <w:pPr>
        <w:spacing w:after="100" w:line="360" w:lineRule="auto"/>
        <w:jc w:val="both"/>
        <w:rPr>
          <w:rFonts w:ascii="Times New Roman" w:hAnsi="Times New Roman" w:cs="Times New Roman"/>
        </w:rPr>
      </w:pPr>
      <w:r w:rsidRPr="00165A17">
        <w:rPr>
          <w:rFonts w:ascii="Times New Roman" w:hAnsi="Times New Roman" w:cs="Times New Roman"/>
        </w:rPr>
        <w:t>Lithuania exemplifies these challenges while demonstrating readiness for digital solutions:</w:t>
      </w:r>
    </w:p>
    <w:p w14:paraId="79624C3A"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Structural vulnerabilities: </w:t>
      </w:r>
      <w:r w:rsidRPr="00165A17">
        <w:rPr>
          <w:rFonts w:ascii="Times New Roman" w:hAnsi="Times New Roman" w:cs="Times New Roman"/>
        </w:rPr>
        <w:t>~150,300 holdings with 45% being small farms under 5 hectares, making compliance disproportionately costly</w:t>
      </w:r>
    </w:p>
    <w:p w14:paraId="4B135045"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Digital infrastructure precedent: </w:t>
      </w:r>
      <w:r w:rsidRPr="00165A17">
        <w:rPr>
          <w:rFonts w:ascii="Times New Roman" w:hAnsi="Times New Roman" w:cs="Times New Roman"/>
        </w:rPr>
        <w:t>Successfully implemented satellite-based CAP monitoring (CAPCON service, 2021), proving feasibility of automated compliance systems</w:t>
      </w:r>
    </w:p>
    <w:p w14:paraId="3EFB4301" w14:textId="77777777" w:rsidR="00127762" w:rsidRPr="00165A17" w:rsidRDefault="00000000" w:rsidP="00165A17">
      <w:pPr>
        <w:pStyle w:val="ListParagraph"/>
        <w:numPr>
          <w:ilvl w:val="0"/>
          <w:numId w:val="2"/>
        </w:numPr>
        <w:spacing w:after="200" w:line="360" w:lineRule="auto"/>
        <w:jc w:val="both"/>
        <w:rPr>
          <w:rFonts w:ascii="Times New Roman" w:hAnsi="Times New Roman" w:cs="Times New Roman"/>
        </w:rPr>
      </w:pPr>
      <w:r w:rsidRPr="00165A17">
        <w:rPr>
          <w:rFonts w:ascii="Times New Roman" w:hAnsi="Times New Roman" w:cs="Times New Roman"/>
          <w:b/>
          <w:bCs/>
        </w:rPr>
        <w:t xml:space="preserve">Testing ground potential: </w:t>
      </w:r>
      <w:r w:rsidRPr="00165A17">
        <w:rPr>
          <w:rFonts w:ascii="Times New Roman" w:hAnsi="Times New Roman" w:cs="Times New Roman"/>
        </w:rPr>
        <w:t>National Paying Agency already integrates advanced monitoring, making Lithuania ideal for pilot implementation before EU-wide scaling</w:t>
      </w:r>
    </w:p>
    <w:p w14:paraId="48465255" w14:textId="77777777" w:rsidR="00127762" w:rsidRPr="00165A17" w:rsidRDefault="00000000" w:rsidP="00165A17">
      <w:pPr>
        <w:pStyle w:val="Heading2"/>
        <w:spacing w:after="0" w:line="360" w:lineRule="auto"/>
        <w:jc w:val="both"/>
        <w:rPr>
          <w:rFonts w:ascii="Times New Roman" w:hAnsi="Times New Roman" w:cs="Times New Roman"/>
        </w:rPr>
      </w:pPr>
      <w:r w:rsidRPr="00165A17">
        <w:rPr>
          <w:rFonts w:ascii="Times New Roman" w:hAnsi="Times New Roman" w:cs="Times New Roman"/>
        </w:rPr>
        <w:t>Proposed Solution: Regulatory Compliance Navigator</w:t>
      </w:r>
    </w:p>
    <w:p w14:paraId="4CD15FF8" w14:textId="62DA6674" w:rsidR="00127762" w:rsidRPr="00165A17" w:rsidRDefault="00000000" w:rsidP="00165A17">
      <w:pPr>
        <w:spacing w:after="150" w:line="360" w:lineRule="auto"/>
        <w:jc w:val="both"/>
        <w:rPr>
          <w:rFonts w:ascii="Times New Roman" w:hAnsi="Times New Roman" w:cs="Times New Roman"/>
        </w:rPr>
      </w:pPr>
      <w:r w:rsidRPr="00165A17">
        <w:rPr>
          <w:rFonts w:ascii="Times New Roman" w:hAnsi="Times New Roman" w:cs="Times New Roman"/>
          <w:i/>
          <w:iCs/>
        </w:rPr>
        <w:t xml:space="preserve">An integrated software platform that automates compliance reporting and monitoring across EU Member States — </w:t>
      </w:r>
      <w:r w:rsidR="00165A17">
        <w:rPr>
          <w:rFonts w:ascii="Times New Roman" w:hAnsi="Times New Roman" w:cs="Times New Roman"/>
          <w:i/>
          <w:iCs/>
        </w:rPr>
        <w:t>“</w:t>
      </w:r>
      <w:r w:rsidRPr="00165A17">
        <w:rPr>
          <w:rFonts w:ascii="Times New Roman" w:hAnsi="Times New Roman" w:cs="Times New Roman"/>
          <w:i/>
          <w:iCs/>
        </w:rPr>
        <w:t>TurboTax for agricultural sustainability.</w:t>
      </w:r>
      <w:r w:rsidR="00165A17">
        <w:rPr>
          <w:rFonts w:ascii="Times New Roman" w:hAnsi="Times New Roman" w:cs="Times New Roman"/>
          <w:i/>
          <w:iCs/>
        </w:rPr>
        <w:t>”</w:t>
      </w:r>
    </w:p>
    <w:p w14:paraId="175B85D0" w14:textId="77777777" w:rsidR="00127762" w:rsidRPr="00165A17" w:rsidRDefault="00000000" w:rsidP="00165A17">
      <w:pPr>
        <w:spacing w:after="80" w:line="360" w:lineRule="auto"/>
        <w:jc w:val="both"/>
        <w:rPr>
          <w:rFonts w:ascii="Times New Roman" w:hAnsi="Times New Roman" w:cs="Times New Roman"/>
        </w:rPr>
      </w:pPr>
      <w:r w:rsidRPr="00165A17">
        <w:rPr>
          <w:rFonts w:ascii="Times New Roman" w:hAnsi="Times New Roman" w:cs="Times New Roman"/>
          <w:b/>
          <w:bCs/>
        </w:rPr>
        <w:t>Software Components (Informatics Team):</w:t>
      </w:r>
    </w:p>
    <w:p w14:paraId="2D293270"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rPr>
        <w:t>Centralized database of EU-wide CAP regulations, cross-compliance requirements (SMRs and GAECs), and subsidy eligibility criteria across all 27 Member States</w:t>
      </w:r>
    </w:p>
    <w:p w14:paraId="2080BD2B"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rPr>
        <w:t>Multi-language support for regulatory content with automated translation of technical legal language into plain language</w:t>
      </w:r>
    </w:p>
    <w:p w14:paraId="05E5E33B"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rPr>
        <w:t>Analytics engine processing farm/forest data from existing Member State systems (e.g., LPIS, IACS, satellite monitoring)</w:t>
      </w:r>
    </w:p>
    <w:p w14:paraId="5F4B0248"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rPr>
        <w:t>Automated report generation formatted for National Paying Agency submissions across different Member States</w:t>
      </w:r>
    </w:p>
    <w:p w14:paraId="5BA378AB" w14:textId="77777777" w:rsidR="00127762" w:rsidRPr="00165A17" w:rsidRDefault="00000000" w:rsidP="00165A17">
      <w:pPr>
        <w:pStyle w:val="ListParagraph"/>
        <w:numPr>
          <w:ilvl w:val="0"/>
          <w:numId w:val="2"/>
        </w:numPr>
        <w:spacing w:after="150" w:line="360" w:lineRule="auto"/>
        <w:jc w:val="both"/>
        <w:rPr>
          <w:rFonts w:ascii="Times New Roman" w:hAnsi="Times New Roman" w:cs="Times New Roman"/>
        </w:rPr>
      </w:pPr>
      <w:r w:rsidRPr="00165A17">
        <w:rPr>
          <w:rFonts w:ascii="Times New Roman" w:hAnsi="Times New Roman" w:cs="Times New Roman"/>
        </w:rPr>
        <w:t>Real-time compliance monitoring with alerts for upcoming deadlines and potential violations</w:t>
      </w:r>
    </w:p>
    <w:p w14:paraId="29592345" w14:textId="77777777" w:rsidR="00127762" w:rsidRPr="00165A17" w:rsidRDefault="00000000" w:rsidP="00165A17">
      <w:pPr>
        <w:spacing w:after="80" w:line="360" w:lineRule="auto"/>
        <w:jc w:val="both"/>
        <w:rPr>
          <w:rFonts w:ascii="Times New Roman" w:hAnsi="Times New Roman" w:cs="Times New Roman"/>
        </w:rPr>
      </w:pPr>
      <w:r w:rsidRPr="00165A17">
        <w:rPr>
          <w:rFonts w:ascii="Times New Roman" w:hAnsi="Times New Roman" w:cs="Times New Roman"/>
          <w:b/>
          <w:bCs/>
        </w:rPr>
        <w:t>User Experience Design (Communication Studies Team):</w:t>
      </w:r>
    </w:p>
    <w:p w14:paraId="5BAADE2A"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rPr>
        <w:lastRenderedPageBreak/>
        <w:t>User research with European farmers/foresters to identify universal compliance pain points and country-specific challenges</w:t>
      </w:r>
    </w:p>
    <w:p w14:paraId="4519D1C4" w14:textId="4F1FB004"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rPr>
        <w:t>Guided workflows translating EU legal jargon into actionable steps (</w:t>
      </w:r>
      <w:r w:rsidR="00165A17">
        <w:rPr>
          <w:rFonts w:ascii="Times New Roman" w:hAnsi="Times New Roman" w:cs="Times New Roman"/>
        </w:rPr>
        <w:t>“</w:t>
      </w:r>
      <w:r w:rsidRPr="00165A17">
        <w:rPr>
          <w:rFonts w:ascii="Times New Roman" w:hAnsi="Times New Roman" w:cs="Times New Roman"/>
        </w:rPr>
        <w:t>You need to do X by date Y to qualify for €Z subsidy</w:t>
      </w:r>
      <w:r w:rsidR="00165A17">
        <w:rPr>
          <w:rFonts w:ascii="Times New Roman" w:hAnsi="Times New Roman" w:cs="Times New Roman"/>
        </w:rPr>
        <w:t>”</w:t>
      </w:r>
      <w:r w:rsidRPr="00165A17">
        <w:rPr>
          <w:rFonts w:ascii="Times New Roman" w:hAnsi="Times New Roman" w:cs="Times New Roman"/>
        </w:rPr>
        <w:t>)</w:t>
      </w:r>
    </w:p>
    <w:p w14:paraId="0A91243F"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rPr>
        <w:t>Multi-lingual interface covering major EU languages with accessibility for users with varying digital literacy</w:t>
      </w:r>
    </w:p>
    <w:p w14:paraId="7D2848C5" w14:textId="77777777" w:rsidR="00127762" w:rsidRPr="00165A17" w:rsidRDefault="00000000" w:rsidP="00165A17">
      <w:pPr>
        <w:pStyle w:val="ListParagraph"/>
        <w:numPr>
          <w:ilvl w:val="0"/>
          <w:numId w:val="2"/>
        </w:numPr>
        <w:spacing w:after="200" w:line="360" w:lineRule="auto"/>
        <w:jc w:val="both"/>
        <w:rPr>
          <w:rFonts w:ascii="Times New Roman" w:hAnsi="Times New Roman" w:cs="Times New Roman"/>
        </w:rPr>
      </w:pPr>
      <w:r w:rsidRPr="00165A17">
        <w:rPr>
          <w:rFonts w:ascii="Times New Roman" w:hAnsi="Times New Roman" w:cs="Times New Roman"/>
        </w:rPr>
        <w:t>Educational content explaining regulatory rationale and connecting compliance to circular economy benefits</w:t>
      </w:r>
    </w:p>
    <w:p w14:paraId="0D7C9D23" w14:textId="77777777" w:rsidR="00127762" w:rsidRPr="00165A17" w:rsidRDefault="00000000" w:rsidP="00165A17">
      <w:pPr>
        <w:pStyle w:val="Heading2"/>
        <w:spacing w:after="0" w:line="360" w:lineRule="auto"/>
        <w:jc w:val="both"/>
        <w:rPr>
          <w:rFonts w:ascii="Times New Roman" w:hAnsi="Times New Roman" w:cs="Times New Roman"/>
        </w:rPr>
      </w:pPr>
      <w:r w:rsidRPr="00165A17">
        <w:rPr>
          <w:rFonts w:ascii="Times New Roman" w:hAnsi="Times New Roman" w:cs="Times New Roman"/>
        </w:rPr>
        <w:t>Connection to Circular &amp; Green Economy</w:t>
      </w:r>
    </w:p>
    <w:p w14:paraId="00A50D07" w14:textId="77777777" w:rsidR="00127762" w:rsidRPr="00165A17" w:rsidRDefault="00000000" w:rsidP="00165A17">
      <w:pPr>
        <w:spacing w:after="100" w:line="360" w:lineRule="auto"/>
        <w:jc w:val="both"/>
        <w:rPr>
          <w:rFonts w:ascii="Times New Roman" w:hAnsi="Times New Roman" w:cs="Times New Roman"/>
        </w:rPr>
      </w:pPr>
      <w:r w:rsidRPr="00165A17">
        <w:rPr>
          <w:rFonts w:ascii="Times New Roman" w:hAnsi="Times New Roman" w:cs="Times New Roman"/>
        </w:rPr>
        <w:t>By reducing administrative barriers, the platform enables:</w:t>
      </w:r>
    </w:p>
    <w:p w14:paraId="56F179B1"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Increased adoption of sustainable practices: </w:t>
      </w:r>
      <w:r w:rsidRPr="00165A17">
        <w:rPr>
          <w:rFonts w:ascii="Times New Roman" w:hAnsi="Times New Roman" w:cs="Times New Roman"/>
        </w:rPr>
        <w:t>Farmers can access agri-environmental schemes and eco-schemes more easily across the EU</w:t>
      </w:r>
    </w:p>
    <w:p w14:paraId="08D66554"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Resource efficiency: </w:t>
      </w:r>
      <w:r w:rsidRPr="00165A17">
        <w:rPr>
          <w:rFonts w:ascii="Times New Roman" w:hAnsi="Times New Roman" w:cs="Times New Roman"/>
        </w:rPr>
        <w:t>Monitoring features help optimize use of fertilizers, pesticides, and water according to GAEC standards</w:t>
      </w:r>
    </w:p>
    <w:p w14:paraId="23FA0748"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Green subsidy maximization: </w:t>
      </w:r>
      <w:r w:rsidRPr="00165A17">
        <w:rPr>
          <w:rFonts w:ascii="Times New Roman" w:hAnsi="Times New Roman" w:cs="Times New Roman"/>
        </w:rPr>
        <w:t>Small operators gain equal access to €98 billion in EU environmental and climate funding dedicated to voluntary actions</w:t>
      </w:r>
    </w:p>
    <w:p w14:paraId="49F61EBC" w14:textId="77777777" w:rsidR="00127762" w:rsidRPr="00165A17" w:rsidRDefault="00000000" w:rsidP="00165A17">
      <w:pPr>
        <w:pStyle w:val="ListParagraph"/>
        <w:numPr>
          <w:ilvl w:val="0"/>
          <w:numId w:val="2"/>
        </w:numPr>
        <w:spacing w:after="200" w:line="360" w:lineRule="auto"/>
        <w:jc w:val="both"/>
        <w:rPr>
          <w:rFonts w:ascii="Times New Roman" w:hAnsi="Times New Roman" w:cs="Times New Roman"/>
        </w:rPr>
      </w:pPr>
      <w:r w:rsidRPr="00165A17">
        <w:rPr>
          <w:rFonts w:ascii="Times New Roman" w:hAnsi="Times New Roman" w:cs="Times New Roman"/>
          <w:b/>
          <w:bCs/>
        </w:rPr>
        <w:t xml:space="preserve">Circular economy integration: </w:t>
      </w:r>
      <w:r w:rsidRPr="00165A17">
        <w:rPr>
          <w:rFonts w:ascii="Times New Roman" w:hAnsi="Times New Roman" w:cs="Times New Roman"/>
        </w:rPr>
        <w:t>Platform can track and report on waste reduction, biomass recycling, and resource circularity metrics required for emerging EU regulations</w:t>
      </w:r>
    </w:p>
    <w:p w14:paraId="0205FA60" w14:textId="77777777" w:rsidR="00127762" w:rsidRPr="00165A17" w:rsidRDefault="00000000" w:rsidP="00165A17">
      <w:pPr>
        <w:pStyle w:val="Heading2"/>
        <w:spacing w:after="0" w:line="360" w:lineRule="auto"/>
        <w:jc w:val="both"/>
        <w:rPr>
          <w:rFonts w:ascii="Times New Roman" w:hAnsi="Times New Roman" w:cs="Times New Roman"/>
        </w:rPr>
      </w:pPr>
      <w:r w:rsidRPr="00165A17">
        <w:rPr>
          <w:rFonts w:ascii="Times New Roman" w:hAnsi="Times New Roman" w:cs="Times New Roman"/>
        </w:rPr>
        <w:t>Team Composition &amp; Competitive Advantage</w:t>
      </w:r>
    </w:p>
    <w:p w14:paraId="3A62F3D1" w14:textId="77777777" w:rsidR="00127762" w:rsidRPr="00165A17" w:rsidRDefault="00000000" w:rsidP="00165A17">
      <w:pPr>
        <w:spacing w:after="100" w:line="360" w:lineRule="auto"/>
        <w:jc w:val="both"/>
        <w:rPr>
          <w:rFonts w:ascii="Times New Roman" w:hAnsi="Times New Roman" w:cs="Times New Roman"/>
        </w:rPr>
      </w:pPr>
      <w:r w:rsidRPr="00165A17">
        <w:rPr>
          <w:rFonts w:ascii="Times New Roman" w:hAnsi="Times New Roman" w:cs="Times New Roman"/>
        </w:rPr>
        <w:t>Our interdisciplinary team combines:</w:t>
      </w:r>
    </w:p>
    <w:p w14:paraId="01306296"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Informatics expertise: </w:t>
      </w:r>
      <w:r w:rsidRPr="00165A17">
        <w:rPr>
          <w:rFonts w:ascii="Times New Roman" w:hAnsi="Times New Roman" w:cs="Times New Roman"/>
        </w:rPr>
        <w:t>Database architecture, multi-language API integration, data analytics, EU system interoperability</w:t>
      </w:r>
    </w:p>
    <w:p w14:paraId="3842CDD0" w14:textId="77777777" w:rsidR="00127762" w:rsidRPr="00165A17" w:rsidRDefault="00000000" w:rsidP="00165A17">
      <w:pPr>
        <w:pStyle w:val="ListParagraph"/>
        <w:numPr>
          <w:ilvl w:val="0"/>
          <w:numId w:val="2"/>
        </w:numPr>
        <w:spacing w:line="360" w:lineRule="auto"/>
        <w:jc w:val="both"/>
        <w:rPr>
          <w:rFonts w:ascii="Times New Roman" w:hAnsi="Times New Roman" w:cs="Times New Roman"/>
        </w:rPr>
      </w:pPr>
      <w:r w:rsidRPr="00165A17">
        <w:rPr>
          <w:rFonts w:ascii="Times New Roman" w:hAnsi="Times New Roman" w:cs="Times New Roman"/>
          <w:b/>
          <w:bCs/>
        </w:rPr>
        <w:t xml:space="preserve">Communication Studies expertise: </w:t>
      </w:r>
      <w:r w:rsidRPr="00165A17">
        <w:rPr>
          <w:rFonts w:ascii="Times New Roman" w:hAnsi="Times New Roman" w:cs="Times New Roman"/>
        </w:rPr>
        <w:t>Cross-cultural user research, information design, stakeholder engagement, multilingual content strategy</w:t>
      </w:r>
    </w:p>
    <w:p w14:paraId="75DE7CAD" w14:textId="77777777" w:rsidR="00127762" w:rsidRDefault="00000000" w:rsidP="00165A17">
      <w:pPr>
        <w:spacing w:after="200" w:line="360" w:lineRule="auto"/>
        <w:jc w:val="both"/>
        <w:rPr>
          <w:rFonts w:ascii="Times New Roman" w:hAnsi="Times New Roman" w:cs="Times New Roman"/>
        </w:rPr>
      </w:pPr>
      <w:r w:rsidRPr="00165A17">
        <w:rPr>
          <w:rFonts w:ascii="Times New Roman" w:hAnsi="Times New Roman" w:cs="Times New Roman"/>
        </w:rPr>
        <w:t xml:space="preserve"> Unlike hardware-focused teams developing drones or robots, we address the human-system interaction gap — making complex EU regulations accessible and actionable across language and cultural barriers. Our differentiator is understanding </w:t>
      </w:r>
      <w:r w:rsidRPr="00165A17">
        <w:rPr>
          <w:rFonts w:ascii="Times New Roman" w:hAnsi="Times New Roman" w:cs="Times New Roman"/>
          <w:b/>
          <w:bCs/>
          <w:i/>
          <w:iCs/>
        </w:rPr>
        <w:t>how people actually use systems</w:t>
      </w:r>
      <w:r w:rsidRPr="00165A17">
        <w:rPr>
          <w:rFonts w:ascii="Times New Roman" w:hAnsi="Times New Roman" w:cs="Times New Roman"/>
        </w:rPr>
        <w:t>, not just backend logic.</w:t>
      </w:r>
    </w:p>
    <w:p w14:paraId="0117D562" w14:textId="77777777" w:rsidR="00165A17" w:rsidRPr="00165A17" w:rsidRDefault="00165A17" w:rsidP="00165A17">
      <w:pPr>
        <w:spacing w:after="200" w:line="360" w:lineRule="auto"/>
        <w:jc w:val="both"/>
        <w:rPr>
          <w:rFonts w:ascii="Times New Roman" w:hAnsi="Times New Roman" w:cs="Times New Roman"/>
        </w:rPr>
      </w:pPr>
    </w:p>
    <w:p w14:paraId="7361F587" w14:textId="77777777" w:rsidR="00127762" w:rsidRPr="00165A17" w:rsidRDefault="00000000" w:rsidP="00165A17">
      <w:pPr>
        <w:pStyle w:val="Heading2"/>
        <w:spacing w:after="0" w:line="360" w:lineRule="auto"/>
        <w:jc w:val="both"/>
        <w:rPr>
          <w:rFonts w:ascii="Times New Roman" w:hAnsi="Times New Roman" w:cs="Times New Roman"/>
        </w:rPr>
      </w:pPr>
      <w:r w:rsidRPr="00165A17">
        <w:rPr>
          <w:rFonts w:ascii="Times New Roman" w:hAnsi="Times New Roman" w:cs="Times New Roman"/>
        </w:rPr>
        <w:lastRenderedPageBreak/>
        <w:t>Key References</w:t>
      </w:r>
    </w:p>
    <w:p w14:paraId="10151F7A" w14:textId="7FDF7A50" w:rsidR="00127762" w:rsidRPr="00165A17" w:rsidRDefault="00000000" w:rsidP="00165A17">
      <w:pPr>
        <w:spacing w:after="60" w:line="360" w:lineRule="auto"/>
        <w:jc w:val="both"/>
        <w:rPr>
          <w:rFonts w:ascii="Times New Roman" w:hAnsi="Times New Roman" w:cs="Times New Roman"/>
        </w:rPr>
      </w:pPr>
      <w:r w:rsidRPr="00165A17">
        <w:rPr>
          <w:rFonts w:ascii="Times New Roman" w:hAnsi="Times New Roman" w:cs="Times New Roman"/>
          <w:b/>
          <w:bCs/>
        </w:rPr>
        <w:t xml:space="preserve">1. </w:t>
      </w:r>
      <w:r w:rsidRPr="00165A17">
        <w:rPr>
          <w:rFonts w:ascii="Times New Roman" w:hAnsi="Times New Roman" w:cs="Times New Roman"/>
        </w:rPr>
        <w:t>Study on simplification and administrative burden for farmers and other beneficiaries under the CAP. EU CAP Network (2025).</w:t>
      </w:r>
      <w:r w:rsidR="00165A17">
        <w:rPr>
          <w:rFonts w:ascii="Times New Roman" w:hAnsi="Times New Roman" w:cs="Times New Roman"/>
        </w:rPr>
        <w:t xml:space="preserve"> </w:t>
      </w:r>
      <w:hyperlink r:id="rId5" w:history="1">
        <w:r w:rsidR="00165A17" w:rsidRPr="00165A17">
          <w:rPr>
            <w:rStyle w:val="Hyperlink"/>
            <w:rFonts w:ascii="Times New Roman" w:hAnsi="Times New Roman" w:cs="Times New Roman"/>
          </w:rPr>
          <w:t>eu-cap-network.ec.europa.eu</w:t>
        </w:r>
      </w:hyperlink>
    </w:p>
    <w:p w14:paraId="1565404C" w14:textId="52EFBB4A" w:rsidR="00127762" w:rsidRPr="00165A17" w:rsidRDefault="00000000" w:rsidP="00165A17">
      <w:pPr>
        <w:spacing w:after="60" w:line="360" w:lineRule="auto"/>
        <w:jc w:val="both"/>
        <w:rPr>
          <w:rFonts w:ascii="Times New Roman" w:hAnsi="Times New Roman" w:cs="Times New Roman"/>
        </w:rPr>
      </w:pPr>
      <w:r w:rsidRPr="00165A17">
        <w:rPr>
          <w:rFonts w:ascii="Times New Roman" w:hAnsi="Times New Roman" w:cs="Times New Roman"/>
          <w:b/>
          <w:bCs/>
        </w:rPr>
        <w:t xml:space="preserve">2. </w:t>
      </w:r>
      <w:r w:rsidRPr="00165A17">
        <w:rPr>
          <w:rFonts w:ascii="Times New Roman" w:hAnsi="Times New Roman" w:cs="Times New Roman"/>
        </w:rPr>
        <w:t xml:space="preserve">Cross-compliance regulations. European Commission - Agriculture and Rural Development. </w:t>
      </w:r>
      <w:hyperlink r:id="rId6" w:history="1">
        <w:r w:rsidR="00165A17" w:rsidRPr="00165A17">
          <w:rPr>
            <w:rStyle w:val="Hyperlink"/>
            <w:rFonts w:ascii="Times New Roman" w:hAnsi="Times New Roman" w:cs="Times New Roman"/>
          </w:rPr>
          <w:t>agriculture.ec.europa.eu/common-agricultural-policy/income-support/cross-compliance_en</w:t>
        </w:r>
      </w:hyperlink>
    </w:p>
    <w:p w14:paraId="68606731" w14:textId="26051F85" w:rsidR="00127762" w:rsidRPr="00165A17" w:rsidRDefault="00000000" w:rsidP="00165A17">
      <w:pPr>
        <w:spacing w:after="60" w:line="360" w:lineRule="auto"/>
        <w:jc w:val="both"/>
        <w:rPr>
          <w:rFonts w:ascii="Times New Roman" w:hAnsi="Times New Roman" w:cs="Times New Roman"/>
        </w:rPr>
      </w:pPr>
      <w:r w:rsidRPr="00165A17">
        <w:rPr>
          <w:rFonts w:ascii="Times New Roman" w:hAnsi="Times New Roman" w:cs="Times New Roman"/>
          <w:b/>
          <w:bCs/>
        </w:rPr>
        <w:t xml:space="preserve">3. </w:t>
      </w:r>
      <w:r w:rsidRPr="00165A17">
        <w:rPr>
          <w:rFonts w:ascii="Times New Roman" w:hAnsi="Times New Roman" w:cs="Times New Roman"/>
        </w:rPr>
        <w:t xml:space="preserve">CAP simplification package: Omnibus on Agriculture. European Parliament (2025). </w:t>
      </w:r>
      <w:hyperlink r:id="rId7" w:history="1">
        <w:r w:rsidR="00165A17" w:rsidRPr="00165A17">
          <w:rPr>
            <w:rStyle w:val="Hyperlink"/>
            <w:rFonts w:ascii="Times New Roman" w:hAnsi="Times New Roman" w:cs="Times New Roman"/>
          </w:rPr>
          <w:t>europarl.europa.eu/legislative-train</w:t>
        </w:r>
      </w:hyperlink>
    </w:p>
    <w:p w14:paraId="5563BCDC" w14:textId="77777777" w:rsidR="00127762" w:rsidRPr="00165A17" w:rsidRDefault="00000000" w:rsidP="00165A17">
      <w:pPr>
        <w:spacing w:after="60" w:line="360" w:lineRule="auto"/>
        <w:jc w:val="both"/>
        <w:rPr>
          <w:rFonts w:ascii="Times New Roman" w:hAnsi="Times New Roman" w:cs="Times New Roman"/>
        </w:rPr>
      </w:pPr>
      <w:r w:rsidRPr="00165A17">
        <w:rPr>
          <w:rFonts w:ascii="Times New Roman" w:hAnsi="Times New Roman" w:cs="Times New Roman"/>
          <w:b/>
          <w:bCs/>
        </w:rPr>
        <w:t xml:space="preserve">4. </w:t>
      </w:r>
      <w:r w:rsidRPr="00165A17">
        <w:rPr>
          <w:rFonts w:ascii="Times New Roman" w:hAnsi="Times New Roman" w:cs="Times New Roman"/>
        </w:rPr>
        <w:t>Improving the understanding of farmers' non-compliance with agricultural policy regulations. Journal of Rural Studies (2024).</w:t>
      </w:r>
    </w:p>
    <w:p w14:paraId="3D94F154" w14:textId="58CE24F9" w:rsidR="00165A17" w:rsidRPr="00165A17" w:rsidRDefault="00000000" w:rsidP="00165A17">
      <w:pPr>
        <w:spacing w:line="360" w:lineRule="auto"/>
        <w:jc w:val="both"/>
        <w:rPr>
          <w:rFonts w:ascii="Times New Roman" w:hAnsi="Times New Roman" w:cs="Times New Roman"/>
        </w:rPr>
      </w:pPr>
      <w:r w:rsidRPr="00165A17">
        <w:rPr>
          <w:rFonts w:ascii="Times New Roman" w:hAnsi="Times New Roman" w:cs="Times New Roman"/>
          <w:b/>
          <w:bCs/>
        </w:rPr>
        <w:t xml:space="preserve">5. </w:t>
      </w:r>
      <w:r w:rsidRPr="00165A17">
        <w:rPr>
          <w:rFonts w:ascii="Times New Roman" w:hAnsi="Times New Roman" w:cs="Times New Roman"/>
        </w:rPr>
        <w:t xml:space="preserve">Lithuania CAP Strategic Plan (2023). European Commission. </w:t>
      </w:r>
      <w:hyperlink r:id="rId8" w:history="1">
        <w:r w:rsidR="00165A17" w:rsidRPr="00165A17">
          <w:rPr>
            <w:rStyle w:val="Hyperlink"/>
            <w:rFonts w:ascii="Times New Roman" w:hAnsi="Times New Roman" w:cs="Times New Roman"/>
          </w:rPr>
          <w:t>agriculture.ec.europa.eu/cap-my-country/cap-strategic-plans/lithuania_en</w:t>
        </w:r>
      </w:hyperlink>
    </w:p>
    <w:sectPr w:rsidR="00165A17" w:rsidRPr="00165A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950C8"/>
    <w:multiLevelType w:val="hybridMultilevel"/>
    <w:tmpl w:val="9A261980"/>
    <w:lvl w:ilvl="0" w:tplc="A1408D04">
      <w:start w:val="1"/>
      <w:numFmt w:val="bullet"/>
      <w:lvlText w:val="•"/>
      <w:lvlJc w:val="left"/>
      <w:pPr>
        <w:ind w:left="720" w:hanging="360"/>
      </w:pPr>
    </w:lvl>
    <w:lvl w:ilvl="1" w:tplc="5A06EA0E">
      <w:numFmt w:val="decimal"/>
      <w:lvlText w:val=""/>
      <w:lvlJc w:val="left"/>
    </w:lvl>
    <w:lvl w:ilvl="2" w:tplc="BF2EEEF8">
      <w:numFmt w:val="decimal"/>
      <w:lvlText w:val=""/>
      <w:lvlJc w:val="left"/>
    </w:lvl>
    <w:lvl w:ilvl="3" w:tplc="551A1E72">
      <w:numFmt w:val="decimal"/>
      <w:lvlText w:val=""/>
      <w:lvlJc w:val="left"/>
    </w:lvl>
    <w:lvl w:ilvl="4" w:tplc="50C4D0BC">
      <w:numFmt w:val="decimal"/>
      <w:lvlText w:val=""/>
      <w:lvlJc w:val="left"/>
    </w:lvl>
    <w:lvl w:ilvl="5" w:tplc="4162AB36">
      <w:numFmt w:val="decimal"/>
      <w:lvlText w:val=""/>
      <w:lvlJc w:val="left"/>
    </w:lvl>
    <w:lvl w:ilvl="6" w:tplc="BA803612">
      <w:numFmt w:val="decimal"/>
      <w:lvlText w:val=""/>
      <w:lvlJc w:val="left"/>
    </w:lvl>
    <w:lvl w:ilvl="7" w:tplc="D73CDA0A">
      <w:numFmt w:val="decimal"/>
      <w:lvlText w:val=""/>
      <w:lvlJc w:val="left"/>
    </w:lvl>
    <w:lvl w:ilvl="8" w:tplc="6D389D98">
      <w:numFmt w:val="decimal"/>
      <w:lvlText w:val=""/>
      <w:lvlJc w:val="left"/>
    </w:lvl>
  </w:abstractNum>
  <w:abstractNum w:abstractNumId="1" w15:restartNumberingAfterBreak="0">
    <w:nsid w:val="4A13714B"/>
    <w:multiLevelType w:val="hybridMultilevel"/>
    <w:tmpl w:val="404877D0"/>
    <w:lvl w:ilvl="0" w:tplc="CA469E64">
      <w:start w:val="1"/>
      <w:numFmt w:val="bullet"/>
      <w:lvlText w:val="●"/>
      <w:lvlJc w:val="left"/>
      <w:pPr>
        <w:ind w:left="720" w:hanging="360"/>
      </w:pPr>
    </w:lvl>
    <w:lvl w:ilvl="1" w:tplc="0F383054">
      <w:start w:val="1"/>
      <w:numFmt w:val="bullet"/>
      <w:lvlText w:val="○"/>
      <w:lvlJc w:val="left"/>
      <w:pPr>
        <w:ind w:left="1440" w:hanging="360"/>
      </w:pPr>
    </w:lvl>
    <w:lvl w:ilvl="2" w:tplc="4B86D34C">
      <w:start w:val="1"/>
      <w:numFmt w:val="bullet"/>
      <w:lvlText w:val="■"/>
      <w:lvlJc w:val="left"/>
      <w:pPr>
        <w:ind w:left="2160" w:hanging="360"/>
      </w:pPr>
    </w:lvl>
    <w:lvl w:ilvl="3" w:tplc="BE22AEA0">
      <w:start w:val="1"/>
      <w:numFmt w:val="bullet"/>
      <w:lvlText w:val="●"/>
      <w:lvlJc w:val="left"/>
      <w:pPr>
        <w:ind w:left="2880" w:hanging="360"/>
      </w:pPr>
    </w:lvl>
    <w:lvl w:ilvl="4" w:tplc="B91E3B56">
      <w:start w:val="1"/>
      <w:numFmt w:val="bullet"/>
      <w:lvlText w:val="○"/>
      <w:lvlJc w:val="left"/>
      <w:pPr>
        <w:ind w:left="3600" w:hanging="360"/>
      </w:pPr>
    </w:lvl>
    <w:lvl w:ilvl="5" w:tplc="A306AD72">
      <w:start w:val="1"/>
      <w:numFmt w:val="bullet"/>
      <w:lvlText w:val="■"/>
      <w:lvlJc w:val="left"/>
      <w:pPr>
        <w:ind w:left="4320" w:hanging="360"/>
      </w:pPr>
    </w:lvl>
    <w:lvl w:ilvl="6" w:tplc="92A4075A">
      <w:start w:val="1"/>
      <w:numFmt w:val="bullet"/>
      <w:lvlText w:val="●"/>
      <w:lvlJc w:val="left"/>
      <w:pPr>
        <w:ind w:left="5040" w:hanging="360"/>
      </w:pPr>
    </w:lvl>
    <w:lvl w:ilvl="7" w:tplc="7326E30A">
      <w:start w:val="1"/>
      <w:numFmt w:val="bullet"/>
      <w:lvlText w:val="●"/>
      <w:lvlJc w:val="left"/>
      <w:pPr>
        <w:ind w:left="5760" w:hanging="360"/>
      </w:pPr>
    </w:lvl>
    <w:lvl w:ilvl="8" w:tplc="8C18DCC0">
      <w:start w:val="1"/>
      <w:numFmt w:val="bullet"/>
      <w:lvlText w:val="●"/>
      <w:lvlJc w:val="left"/>
      <w:pPr>
        <w:ind w:left="6480" w:hanging="360"/>
      </w:pPr>
    </w:lvl>
  </w:abstractNum>
  <w:num w:numId="1" w16cid:durableId="656614615">
    <w:abstractNumId w:val="1"/>
    <w:lvlOverride w:ilvl="0">
      <w:startOverride w:val="1"/>
    </w:lvlOverride>
  </w:num>
  <w:num w:numId="2" w16cid:durableId="1665937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762"/>
    <w:rsid w:val="00127762"/>
    <w:rsid w:val="00165A17"/>
    <w:rsid w:val="00B76842"/>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decimalSymbol w:val=","/>
  <w:listSeparator w:val=","/>
  <w14:docId w14:val="371F347E"/>
  <w15:docId w15:val="{58080977-0AC8-4E48-AF82-4E4FF923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65A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Users/bllshrfv/Desktop/KTU/Semester%204/Product%20Development%20Project/agriculture.ec.europa.eu/cap-my-country/cap-strategic-plans/lithuania_en" TargetMode="External"/><Relationship Id="rId3" Type="http://schemas.openxmlformats.org/officeDocument/2006/relationships/settings" Target="settings.xml"/><Relationship Id="rId7" Type="http://schemas.openxmlformats.org/officeDocument/2006/relationships/hyperlink" Target="file:///Users/bllshrfv/Desktop/KTU/Semester%204/Product%20Development%20Project/europarl.europa.eu/legislative-t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Users/bllshrfv/Desktop/KTU/Semester%204/Product%20Development%20Project/agriculture.ec.europa.eu/common-agricultural-policy/income-support/cross-compliance_en" TargetMode="External"/><Relationship Id="rId5" Type="http://schemas.openxmlformats.org/officeDocument/2006/relationships/hyperlink" Target="file:///Users/bllshrfv/Desktop/KTU/Semester%204/Product%20Development%20Project/eu-cap-network.ec.europa.e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Bilal Ashrafov</cp:lastModifiedBy>
  <cp:revision>2</cp:revision>
  <dcterms:created xsi:type="dcterms:W3CDTF">2026-02-18T13:31:00Z</dcterms:created>
  <dcterms:modified xsi:type="dcterms:W3CDTF">2026-02-18T13:31:00Z</dcterms:modified>
</cp:coreProperties>
</file>