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CB" w:rsidRPr="003C7831" w:rsidRDefault="00980DCB" w:rsidP="00980DCB">
      <w:pPr>
        <w:spacing w:after="0"/>
        <w:rPr>
          <w:rFonts w:ascii="Tahoma" w:hAnsi="Tahoma" w:cs="Tahoma"/>
          <w:b/>
          <w:sz w:val="20"/>
          <w:szCs w:val="20"/>
        </w:rPr>
      </w:pPr>
      <w:r w:rsidRPr="003C7831">
        <w:rPr>
          <w:rFonts w:ascii="Tahoma" w:hAnsi="Tahoma" w:cs="Tahoma"/>
          <w:b/>
          <w:sz w:val="20"/>
          <w:szCs w:val="20"/>
        </w:rPr>
        <w:t xml:space="preserve">BI Start Date: </w:t>
      </w:r>
      <w:r w:rsidRPr="003C7831">
        <w:rPr>
          <w:rFonts w:ascii="Tahoma" w:hAnsi="Tahoma" w:cs="Tahoma"/>
          <w:sz w:val="20"/>
          <w:szCs w:val="20"/>
        </w:rPr>
        <w:t>April 1, 2021</w:t>
      </w:r>
    </w:p>
    <w:p w:rsidR="00980DCB" w:rsidRPr="003C7831" w:rsidRDefault="00980DCB" w:rsidP="00980DCB">
      <w:pPr>
        <w:spacing w:after="0"/>
        <w:rPr>
          <w:rFonts w:ascii="Tahoma" w:hAnsi="Tahoma" w:cs="Tahoma"/>
          <w:sz w:val="20"/>
          <w:szCs w:val="20"/>
        </w:rPr>
      </w:pPr>
      <w:r w:rsidRPr="003C7831">
        <w:rPr>
          <w:rFonts w:ascii="Tahoma" w:hAnsi="Tahoma" w:cs="Tahoma"/>
          <w:b/>
          <w:sz w:val="20"/>
          <w:szCs w:val="20"/>
        </w:rPr>
        <w:t xml:space="preserve">BI End Date: </w:t>
      </w:r>
      <w:r w:rsidR="004A76CE">
        <w:rPr>
          <w:rFonts w:ascii="Tahoma" w:hAnsi="Tahoma" w:cs="Tahoma"/>
          <w:b/>
          <w:sz w:val="20"/>
          <w:szCs w:val="20"/>
        </w:rPr>
        <w:tab/>
      </w:r>
      <w:r w:rsidR="00D7000E">
        <w:rPr>
          <w:rFonts w:ascii="Tahoma" w:hAnsi="Tahoma" w:cs="Tahoma"/>
          <w:sz w:val="20"/>
          <w:szCs w:val="20"/>
        </w:rPr>
        <w:t>March 31, 2022</w:t>
      </w:r>
    </w:p>
    <w:p w:rsidR="00980DCB" w:rsidRDefault="00980DCB" w:rsidP="00980DCB">
      <w:p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  <w:szCs w:val="20"/>
        </w:rPr>
        <w:t>Prepare</w:t>
      </w:r>
      <w:r w:rsidRPr="004A76CE">
        <w:rPr>
          <w:rFonts w:ascii="Tahoma" w:hAnsi="Tahoma" w:cs="Tahoma"/>
          <w:b/>
          <w:sz w:val="20"/>
          <w:szCs w:val="20"/>
        </w:rPr>
        <w:t>d:</w:t>
      </w:r>
      <w:r w:rsidRPr="003C7831">
        <w:rPr>
          <w:rFonts w:ascii="Tahoma" w:hAnsi="Tahoma" w:cs="Tahoma"/>
          <w:sz w:val="20"/>
          <w:szCs w:val="20"/>
        </w:rPr>
        <w:t xml:space="preserve"> </w:t>
      </w:r>
      <w:r w:rsidR="004A76CE">
        <w:rPr>
          <w:rFonts w:ascii="Tahoma" w:hAnsi="Tahoma" w:cs="Tahoma"/>
          <w:sz w:val="20"/>
          <w:szCs w:val="20"/>
        </w:rPr>
        <w:tab/>
      </w:r>
      <w:r w:rsidR="00A16E22">
        <w:rPr>
          <w:rFonts w:ascii="Tahoma" w:hAnsi="Tahoma" w:cs="Tahoma"/>
          <w:sz w:val="20"/>
          <w:szCs w:val="20"/>
        </w:rPr>
        <w:t>May 6</w:t>
      </w:r>
      <w:r>
        <w:rPr>
          <w:rFonts w:ascii="Tahoma" w:hAnsi="Tahoma" w:cs="Tahoma"/>
          <w:sz w:val="20"/>
        </w:rPr>
        <w:t>, 2021</w:t>
      </w:r>
    </w:p>
    <w:p w:rsidR="00980DCB" w:rsidRPr="00980DCB" w:rsidRDefault="00980DCB" w:rsidP="00980DCB">
      <w:p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Prepared B</w:t>
      </w:r>
      <w:r w:rsidRPr="004A76CE">
        <w:rPr>
          <w:rFonts w:ascii="Tahoma" w:hAnsi="Tahoma" w:cs="Tahoma"/>
          <w:b/>
          <w:sz w:val="20"/>
        </w:rPr>
        <w:t>y:</w:t>
      </w:r>
      <w:r>
        <w:rPr>
          <w:rFonts w:ascii="Tahoma" w:hAnsi="Tahoma" w:cs="Tahoma"/>
          <w:sz w:val="20"/>
        </w:rPr>
        <w:t xml:space="preserve"> </w:t>
      </w:r>
      <w:r w:rsidR="004A76CE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Nicholas </w:t>
      </w:r>
      <w:proofErr w:type="spellStart"/>
      <w:r>
        <w:rPr>
          <w:rFonts w:ascii="Tahoma" w:hAnsi="Tahoma" w:cs="Tahoma"/>
          <w:sz w:val="20"/>
        </w:rPr>
        <w:t>Schwabe</w:t>
      </w:r>
      <w:proofErr w:type="spellEnd"/>
      <w:r>
        <w:rPr>
          <w:rFonts w:ascii="Tahoma" w:hAnsi="Tahoma" w:cs="Tahoma"/>
          <w:sz w:val="20"/>
        </w:rPr>
        <w:t>, MSW RSW</w:t>
      </w:r>
      <w:r>
        <w:rPr>
          <w:rFonts w:ascii="Tahoma" w:hAnsi="Tahoma" w:cs="Tahoma"/>
          <w:sz w:val="20"/>
        </w:rPr>
        <w:br/>
      </w:r>
    </w:p>
    <w:p w:rsidR="00565A88" w:rsidRDefault="00980DCB" w:rsidP="00565A88">
      <w:p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The following table</w:t>
      </w:r>
      <w:r w:rsidR="00077B80">
        <w:rPr>
          <w:rFonts w:ascii="Tahoma" w:hAnsi="Tahoma" w:cs="Tahoma"/>
          <w:sz w:val="20"/>
        </w:rPr>
        <w:t>s summarize</w:t>
      </w:r>
      <w:r>
        <w:rPr>
          <w:rFonts w:ascii="Tahoma" w:hAnsi="Tahoma" w:cs="Tahoma"/>
          <w:sz w:val="20"/>
        </w:rPr>
        <w:t xml:space="preserve"> values from </w:t>
      </w:r>
      <w:r w:rsidR="00565A88">
        <w:rPr>
          <w:rFonts w:ascii="Tahoma" w:hAnsi="Tahoma" w:cs="Tahoma"/>
          <w:sz w:val="20"/>
        </w:rPr>
        <w:t>the Ontario Ministry of Health’s</w:t>
      </w:r>
      <w:r w:rsidR="003128B0">
        <w:rPr>
          <w:rFonts w:ascii="Tahoma" w:hAnsi="Tahoma" w:cs="Tahoma"/>
          <w:sz w:val="20"/>
        </w:rPr>
        <w:t xml:space="preserve"> (MOH)</w:t>
      </w:r>
      <w:r w:rsidR="00565A88">
        <w:rPr>
          <w:rFonts w:ascii="Tahoma" w:hAnsi="Tahoma" w:cs="Tahoma"/>
          <w:sz w:val="20"/>
        </w:rPr>
        <w:t xml:space="preserve"> Child and Youth Mental Health Business Intelligence Solution (CYMH BI Solution). </w:t>
      </w:r>
      <w:r>
        <w:rPr>
          <w:rFonts w:ascii="Tahoma" w:hAnsi="Tahoma" w:cs="Tahoma"/>
          <w:sz w:val="20"/>
        </w:rPr>
        <w:t>In an attempt to validate the CYMH BI Solution and identify technical and business process errors</w:t>
      </w:r>
      <w:r w:rsidR="00077B80">
        <w:rPr>
          <w:rStyle w:val="FootnoteReference"/>
          <w:rFonts w:ascii="Tahoma" w:hAnsi="Tahoma" w:cs="Tahoma"/>
          <w:sz w:val="20"/>
        </w:rPr>
        <w:footnoteReference w:id="1"/>
      </w:r>
      <w:r>
        <w:rPr>
          <w:rFonts w:ascii="Tahoma" w:hAnsi="Tahoma" w:cs="Tahoma"/>
          <w:sz w:val="20"/>
        </w:rPr>
        <w:t xml:space="preserve">, values from the CYMH BI Solution are compared to values calculated from data extracted directly from </w:t>
      </w:r>
      <w:proofErr w:type="spellStart"/>
      <w:r>
        <w:rPr>
          <w:rFonts w:ascii="Tahoma" w:hAnsi="Tahoma" w:cs="Tahoma"/>
          <w:sz w:val="20"/>
        </w:rPr>
        <w:t>EMHware</w:t>
      </w:r>
      <w:proofErr w:type="spellEnd"/>
      <w:r>
        <w:rPr>
          <w:rFonts w:ascii="Tahoma" w:hAnsi="Tahoma" w:cs="Tahoma"/>
          <w:sz w:val="20"/>
        </w:rPr>
        <w:t xml:space="preserve"> by Compass</w:t>
      </w:r>
      <w:r w:rsidR="009A40C5">
        <w:rPr>
          <w:rFonts w:ascii="Tahoma" w:hAnsi="Tahoma" w:cs="Tahoma"/>
          <w:sz w:val="20"/>
        </w:rPr>
        <w:t xml:space="preserve"> and processed in </w:t>
      </w:r>
      <w:r w:rsidR="00DC06AE">
        <w:rPr>
          <w:rFonts w:ascii="Tahoma" w:hAnsi="Tahoma" w:cs="Tahoma"/>
          <w:sz w:val="20"/>
        </w:rPr>
        <w:t>alignment</w:t>
      </w:r>
      <w:r w:rsidR="009A40C5">
        <w:rPr>
          <w:rFonts w:ascii="Tahoma" w:hAnsi="Tahoma" w:cs="Tahoma"/>
          <w:sz w:val="20"/>
        </w:rPr>
        <w:t xml:space="preserve"> with CYMH BI Solution filters and formulas</w:t>
      </w:r>
      <w:r>
        <w:rPr>
          <w:rFonts w:ascii="Tahoma" w:hAnsi="Tahoma" w:cs="Tahoma"/>
          <w:sz w:val="20"/>
        </w:rPr>
        <w:t>.</w:t>
      </w:r>
      <w:r w:rsidR="009A40C5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Differences exceeding 5% have been highlighted in orange.</w:t>
      </w:r>
      <w:r w:rsidR="009A40C5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The CYMH BI Solution</w:t>
      </w:r>
      <w:r w:rsidR="00565A88">
        <w:rPr>
          <w:rFonts w:ascii="Tahoma" w:hAnsi="Tahoma" w:cs="Tahoma"/>
          <w:sz w:val="20"/>
        </w:rPr>
        <w:t xml:space="preserve"> formulas continue to undergo changes as t</w:t>
      </w:r>
      <w:r w:rsidR="00077B80">
        <w:rPr>
          <w:rFonts w:ascii="Tahoma" w:hAnsi="Tahoma" w:cs="Tahoma"/>
          <w:sz w:val="20"/>
        </w:rPr>
        <w:t>he sector adopts this platform. Please note only metrics from th</w:t>
      </w:r>
      <w:r w:rsidR="00C06B78">
        <w:rPr>
          <w:rFonts w:ascii="Tahoma" w:hAnsi="Tahoma" w:cs="Tahoma"/>
          <w:sz w:val="20"/>
        </w:rPr>
        <w:t xml:space="preserve">e first page </w:t>
      </w:r>
      <w:r w:rsidR="00077B80">
        <w:rPr>
          <w:rFonts w:ascii="Tahoma" w:hAnsi="Tahoma" w:cs="Tahoma"/>
          <w:sz w:val="20"/>
        </w:rPr>
        <w:t xml:space="preserve">of the dashboard </w:t>
      </w:r>
      <w:r w:rsidR="00C06B78">
        <w:rPr>
          <w:rFonts w:ascii="Tahoma" w:hAnsi="Tahoma" w:cs="Tahoma"/>
          <w:sz w:val="20"/>
        </w:rPr>
        <w:t xml:space="preserve">are included. Before validating other KPIs in the </w:t>
      </w:r>
      <w:r w:rsidR="00DC06AE">
        <w:rPr>
          <w:rFonts w:ascii="Tahoma" w:hAnsi="Tahoma" w:cs="Tahoma"/>
          <w:sz w:val="20"/>
        </w:rPr>
        <w:t>dashboard,</w:t>
      </w:r>
      <w:r w:rsidR="00C06B78">
        <w:rPr>
          <w:rFonts w:ascii="Tahoma" w:hAnsi="Tahoma" w:cs="Tahoma"/>
          <w:sz w:val="20"/>
        </w:rPr>
        <w:t xml:space="preserve"> </w:t>
      </w:r>
      <w:r w:rsidR="00DC06AE">
        <w:rPr>
          <w:rFonts w:ascii="Tahoma" w:hAnsi="Tahoma" w:cs="Tahoma"/>
          <w:sz w:val="20"/>
        </w:rPr>
        <w:t>Compass values</w:t>
      </w:r>
      <w:r w:rsidR="00C06B78">
        <w:rPr>
          <w:rFonts w:ascii="Tahoma" w:hAnsi="Tahoma" w:cs="Tahoma"/>
          <w:sz w:val="20"/>
        </w:rPr>
        <w:t xml:space="preserve"> </w:t>
      </w:r>
      <w:r w:rsidR="00077B80">
        <w:rPr>
          <w:rFonts w:ascii="Tahoma" w:hAnsi="Tahoma" w:cs="Tahoma"/>
          <w:sz w:val="20"/>
        </w:rPr>
        <w:t>should</w:t>
      </w:r>
      <w:r w:rsidR="00C06B78">
        <w:rPr>
          <w:rFonts w:ascii="Tahoma" w:hAnsi="Tahoma" w:cs="Tahoma"/>
          <w:sz w:val="20"/>
        </w:rPr>
        <w:t xml:space="preserve"> be within 5% </w:t>
      </w:r>
      <w:r w:rsidR="00DC06AE">
        <w:rPr>
          <w:rFonts w:ascii="Tahoma" w:hAnsi="Tahoma" w:cs="Tahoma"/>
          <w:sz w:val="20"/>
        </w:rPr>
        <w:t xml:space="preserve">of CYMH BI Solution values </w:t>
      </w:r>
      <w:r w:rsidR="00C06B78">
        <w:rPr>
          <w:rFonts w:ascii="Tahoma" w:hAnsi="Tahoma" w:cs="Tahoma"/>
          <w:sz w:val="20"/>
        </w:rPr>
        <w:t>for the total unique clients</w:t>
      </w:r>
      <w:r w:rsidR="00DC06AE">
        <w:rPr>
          <w:rFonts w:ascii="Tahoma" w:hAnsi="Tahoma" w:cs="Tahoma"/>
          <w:sz w:val="20"/>
        </w:rPr>
        <w:t xml:space="preserve"> deemed eligible for service</w:t>
      </w:r>
      <w:r w:rsidR="00C06B78">
        <w:rPr>
          <w:rFonts w:ascii="Tahoma" w:hAnsi="Tahoma" w:cs="Tahoma"/>
          <w:sz w:val="20"/>
        </w:rPr>
        <w:t>.</w:t>
      </w:r>
    </w:p>
    <w:p w:rsidR="009A40C5" w:rsidRDefault="009A40C5" w:rsidP="00565A88">
      <w:pPr>
        <w:spacing w:after="0"/>
        <w:rPr>
          <w:rFonts w:ascii="Tahoma" w:hAnsi="Tahoma" w:cs="Tahoma"/>
          <w:sz w:val="20"/>
        </w:rPr>
      </w:pPr>
    </w:p>
    <w:p w:rsidR="009A40C5" w:rsidRPr="005602DA" w:rsidRDefault="005602DA" w:rsidP="00F921F9">
      <w:pPr>
        <w:rPr>
          <w:rFonts w:ascii="Tahoma" w:hAnsi="Tahoma" w:cs="Tahoma"/>
          <w:b/>
        </w:rPr>
      </w:pPr>
      <w:r w:rsidRPr="005602DA">
        <w:rPr>
          <w:rFonts w:ascii="Tahoma" w:hAnsi="Tahoma" w:cs="Tahoma"/>
          <w:b/>
        </w:rPr>
        <w:t>CHYMH BI Solution 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709"/>
      </w:tblGrid>
      <w:tr w:rsidR="009A40C5" w:rsidTr="009A40C5">
        <w:tc>
          <w:tcPr>
            <w:tcW w:w="4673" w:type="dxa"/>
          </w:tcPr>
          <w:p w:rsidR="009A40C5" w:rsidRPr="009A40C5" w:rsidRDefault="009A40C5" w:rsidP="00565A8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Total Number of Client Files Rejected:</w:t>
            </w:r>
          </w:p>
        </w:tc>
        <w:tc>
          <w:tcPr>
            <w:tcW w:w="709" w:type="dxa"/>
          </w:tcPr>
          <w:p w:rsidR="009A40C5" w:rsidRPr="009A40C5" w:rsidRDefault="009A40C5" w:rsidP="009A40C5">
            <w:pPr>
              <w:rPr>
                <w:rFonts w:ascii="Tahoma" w:hAnsi="Tahoma" w:cs="Tahoma"/>
                <w:sz w:val="20"/>
              </w:rPr>
            </w:pPr>
            <w:r w:rsidRPr="009A40C5">
              <w:rPr>
                <w:rFonts w:ascii="Tahoma" w:hAnsi="Tahoma" w:cs="Tahoma"/>
                <w:sz w:val="20"/>
              </w:rPr>
              <w:t>0</w:t>
            </w:r>
          </w:p>
        </w:tc>
      </w:tr>
      <w:tr w:rsidR="009A40C5" w:rsidTr="009A40C5">
        <w:tc>
          <w:tcPr>
            <w:tcW w:w="4673" w:type="dxa"/>
          </w:tcPr>
          <w:p w:rsidR="009A40C5" w:rsidRDefault="009A40C5" w:rsidP="00565A88">
            <w:pPr>
              <w:rPr>
                <w:rFonts w:ascii="Tahoma" w:hAnsi="Tahoma" w:cs="Tahoma"/>
                <w:b/>
                <w:sz w:val="20"/>
              </w:rPr>
            </w:pPr>
            <w:r w:rsidRPr="009A40C5">
              <w:rPr>
                <w:rFonts w:ascii="Tahoma" w:hAnsi="Tahoma" w:cs="Tahoma"/>
                <w:b/>
                <w:sz w:val="20"/>
              </w:rPr>
              <w:t>Total Number</w:t>
            </w:r>
            <w:r>
              <w:rPr>
                <w:rFonts w:ascii="Tahoma" w:hAnsi="Tahoma" w:cs="Tahoma"/>
                <w:b/>
                <w:sz w:val="20"/>
              </w:rPr>
              <w:t xml:space="preserve"> of Client Files with Warnings:</w:t>
            </w:r>
          </w:p>
        </w:tc>
        <w:tc>
          <w:tcPr>
            <w:tcW w:w="709" w:type="dxa"/>
          </w:tcPr>
          <w:p w:rsidR="009A40C5" w:rsidRPr="009A40C5" w:rsidRDefault="009F0039" w:rsidP="009A40C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</w:tr>
      <w:tr w:rsidR="009A40C5" w:rsidTr="009A40C5">
        <w:tc>
          <w:tcPr>
            <w:tcW w:w="4673" w:type="dxa"/>
          </w:tcPr>
          <w:p w:rsidR="009A40C5" w:rsidRDefault="009A40C5" w:rsidP="009A40C5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ab/>
              <w:t>Reason for Warnings</w:t>
            </w:r>
          </w:p>
          <w:p w:rsidR="009A40C5" w:rsidRPr="009A40C5" w:rsidRDefault="009A40C5" w:rsidP="009A40C5">
            <w:pPr>
              <w:ind w:left="720"/>
              <w:rPr>
                <w:rFonts w:ascii="Tahoma" w:hAnsi="Tahoma" w:cs="Tahoma"/>
                <w:sz w:val="20"/>
              </w:rPr>
            </w:pPr>
            <w:r w:rsidRPr="009A40C5">
              <w:rPr>
                <w:rFonts w:ascii="Tahoma" w:hAnsi="Tahoma" w:cs="Tahoma"/>
                <w:sz w:val="20"/>
              </w:rPr>
              <w:t xml:space="preserve">Multiple </w:t>
            </w:r>
            <w:r>
              <w:rPr>
                <w:rFonts w:ascii="Tahoma" w:hAnsi="Tahoma" w:cs="Tahoma"/>
                <w:sz w:val="20"/>
              </w:rPr>
              <w:t>Same-Day Intakes</w:t>
            </w:r>
          </w:p>
        </w:tc>
        <w:tc>
          <w:tcPr>
            <w:tcW w:w="709" w:type="dxa"/>
          </w:tcPr>
          <w:p w:rsidR="009A40C5" w:rsidRDefault="009A40C5" w:rsidP="009A40C5">
            <w:pPr>
              <w:rPr>
                <w:rFonts w:ascii="Tahoma" w:hAnsi="Tahoma" w:cs="Tahoma"/>
                <w:sz w:val="20"/>
              </w:rPr>
            </w:pPr>
          </w:p>
          <w:p w:rsidR="009A40C5" w:rsidRPr="009A40C5" w:rsidRDefault="009F0039" w:rsidP="009A40C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</w:tr>
    </w:tbl>
    <w:p w:rsidR="00565A88" w:rsidRDefault="00565A88" w:rsidP="00565A88">
      <w:pPr>
        <w:spacing w:after="0"/>
        <w:rPr>
          <w:rFonts w:ascii="Tahoma" w:hAnsi="Tahoma" w:cs="Tahoma"/>
          <w:b/>
        </w:rPr>
      </w:pPr>
    </w:p>
    <w:p w:rsidR="00565A88" w:rsidRPr="005602DA" w:rsidRDefault="005602DA" w:rsidP="00F921F9">
      <w:pPr>
        <w:rPr>
          <w:rFonts w:ascii="Tahoma" w:hAnsi="Tahoma" w:cs="Tahoma"/>
          <w:b/>
        </w:rPr>
      </w:pPr>
      <w:r w:rsidRPr="005602DA">
        <w:rPr>
          <w:rFonts w:ascii="Tahoma" w:hAnsi="Tahoma" w:cs="Tahoma"/>
          <w:b/>
        </w:rPr>
        <w:t xml:space="preserve">CHYMH BI Solution </w:t>
      </w:r>
      <w:r>
        <w:rPr>
          <w:rFonts w:ascii="Tahoma" w:hAnsi="Tahoma" w:cs="Tahoma"/>
          <w:b/>
        </w:rPr>
        <w:t>Data Validation</w:t>
      </w:r>
    </w:p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1945"/>
        <w:gridCol w:w="2449"/>
        <w:gridCol w:w="1276"/>
        <w:gridCol w:w="1637"/>
      </w:tblGrid>
      <w:tr w:rsidR="00896CAC" w:rsidTr="00E6460E">
        <w:trPr>
          <w:tblHeader/>
        </w:trPr>
        <w:tc>
          <w:tcPr>
            <w:tcW w:w="70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CAC" w:rsidRPr="00AA2F24" w:rsidRDefault="00896CAC" w:rsidP="00AA2F24">
            <w:pPr>
              <w:rPr>
                <w:rFonts w:ascii="Tahoma" w:hAnsi="Tahoma" w:cs="Tahoma"/>
                <w:b/>
                <w:noProof/>
                <w:sz w:val="20"/>
                <w:szCs w:val="20"/>
                <w:lang w:eastAsia="en-CA"/>
              </w:rPr>
            </w:pPr>
            <w:r w:rsidRPr="00AA2F24">
              <w:rPr>
                <w:rFonts w:ascii="Tahoma" w:hAnsi="Tahoma" w:cs="Tahoma"/>
                <w:b/>
                <w:noProof/>
                <w:sz w:val="20"/>
                <w:szCs w:val="20"/>
                <w:lang w:eastAsia="en-CA"/>
              </w:rPr>
              <w:t>Metric Name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6CAC" w:rsidRPr="00AA2F24" w:rsidRDefault="00896CAC" w:rsidP="00C06B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A2F24">
              <w:rPr>
                <w:rFonts w:ascii="Tahoma" w:hAnsi="Tahoma" w:cs="Tahoma"/>
                <w:b/>
                <w:sz w:val="20"/>
                <w:szCs w:val="20"/>
              </w:rPr>
              <w:t>CYMH BI Solution Value</w:t>
            </w:r>
          </w:p>
        </w:tc>
        <w:tc>
          <w:tcPr>
            <w:tcW w:w="2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CAC" w:rsidRPr="00AA2F24" w:rsidRDefault="00896CAC" w:rsidP="00C06B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A2F24">
              <w:rPr>
                <w:rFonts w:ascii="Tahoma" w:hAnsi="Tahoma" w:cs="Tahoma"/>
                <w:b/>
                <w:sz w:val="20"/>
                <w:szCs w:val="20"/>
              </w:rPr>
              <w:t>Compass Manually Calculated 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6CAC" w:rsidRPr="00AA2F24" w:rsidRDefault="00896CAC" w:rsidP="00C06B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A2F24">
              <w:rPr>
                <w:rFonts w:ascii="Tahoma" w:hAnsi="Tahoma" w:cs="Tahoma"/>
                <w:b/>
                <w:sz w:val="20"/>
                <w:szCs w:val="20"/>
              </w:rPr>
              <w:t>Difference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6CAC" w:rsidRPr="00AA2F24" w:rsidRDefault="00896CAC" w:rsidP="00C06B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Previously Recorded Diff</w:t>
            </w:r>
          </w:p>
        </w:tc>
      </w:tr>
      <w:tr w:rsidR="00896CAC" w:rsidTr="00E6460E">
        <w:tc>
          <w:tcPr>
            <w:tcW w:w="70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CAC" w:rsidRPr="00D7000E" w:rsidRDefault="00896CAC" w:rsidP="00896CAC">
            <w:pPr>
              <w:rPr>
                <w:rFonts w:ascii="Tahoma" w:hAnsi="Tahoma" w:cs="Tahoma"/>
                <w:sz w:val="20"/>
                <w:szCs w:val="20"/>
              </w:rPr>
            </w:pPr>
            <w:r w:rsidRPr="00D7000E">
              <w:rPr>
                <w:rFonts w:ascii="Tahoma" w:hAnsi="Tahoma" w:cs="Tahoma"/>
                <w:sz w:val="20"/>
                <w:szCs w:val="20"/>
              </w:rPr>
              <w:t>Number of Unique children/youth Deemed Eligible for Service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1,946</w:t>
            </w:r>
          </w:p>
        </w:tc>
        <w:tc>
          <w:tcPr>
            <w:tcW w:w="2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Pr="00AA2F24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13%</w:t>
            </w:r>
          </w:p>
        </w:tc>
      </w:tr>
      <w:tr w:rsidR="00896CAC" w:rsidTr="00E6460E">
        <w:tc>
          <w:tcPr>
            <w:tcW w:w="70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tabs>
                <w:tab w:val="left" w:pos="2112"/>
              </w:tabs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Children/youth Deemed Eligible for Service by Gender Ide</w:t>
            </w:r>
            <w:r>
              <w:rPr>
                <w:rFonts w:ascii="Tahoma" w:hAnsi="Tahoma" w:cs="Tahoma"/>
                <w:sz w:val="20"/>
                <w:szCs w:val="20"/>
              </w:rPr>
              <w:t>nt</w:t>
            </w:r>
            <w:r w:rsidRPr="00AA2F24">
              <w:rPr>
                <w:rFonts w:ascii="Tahoma" w:hAnsi="Tahoma" w:cs="Tahoma"/>
                <w:sz w:val="20"/>
                <w:szCs w:val="20"/>
              </w:rPr>
              <w:t>ity – Male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244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13%</w:t>
            </w:r>
          </w:p>
        </w:tc>
      </w:tr>
      <w:tr w:rsidR="00896CAC" w:rsidTr="00E6460E">
        <w:tc>
          <w:tcPr>
            <w:tcW w:w="7083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tabs>
                <w:tab w:val="left" w:pos="2112"/>
              </w:tabs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Children/youth Deemed Eligible for Service by Gender Ide</w:t>
            </w:r>
            <w:r>
              <w:rPr>
                <w:rFonts w:ascii="Tahoma" w:hAnsi="Tahoma" w:cs="Tahoma"/>
                <w:sz w:val="20"/>
                <w:szCs w:val="20"/>
              </w:rPr>
              <w:t>nt</w:t>
            </w:r>
            <w:r w:rsidRPr="00AA2F24">
              <w:rPr>
                <w:rFonts w:ascii="Tahoma" w:hAnsi="Tahoma" w:cs="Tahoma"/>
                <w:sz w:val="20"/>
                <w:szCs w:val="20"/>
              </w:rPr>
              <w:t>ity – Female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958</w:t>
            </w:r>
          </w:p>
        </w:tc>
        <w:tc>
          <w:tcPr>
            <w:tcW w:w="2449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905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637" w:type="dxa"/>
            <w:tcBorders>
              <w:left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  <w:tr w:rsidR="00896CAC" w:rsidTr="00E6460E">
        <w:tc>
          <w:tcPr>
            <w:tcW w:w="7083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tabs>
                <w:tab w:val="left" w:pos="2112"/>
              </w:tabs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Children/youth Deemed Eligible for Service by Gender Ide</w:t>
            </w:r>
            <w:r>
              <w:rPr>
                <w:rFonts w:ascii="Tahoma" w:hAnsi="Tahoma" w:cs="Tahoma"/>
                <w:sz w:val="20"/>
                <w:szCs w:val="20"/>
              </w:rPr>
              <w:t>nt</w:t>
            </w:r>
            <w:r w:rsidRPr="00AA2F24">
              <w:rPr>
                <w:rFonts w:ascii="Tahoma" w:hAnsi="Tahoma" w:cs="Tahoma"/>
                <w:sz w:val="20"/>
                <w:szCs w:val="20"/>
              </w:rPr>
              <w:t>ity – Another Gender Identity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449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637" w:type="dxa"/>
            <w:tcBorders>
              <w:left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9%</w:t>
            </w:r>
          </w:p>
        </w:tc>
      </w:tr>
      <w:tr w:rsidR="00896CAC" w:rsidTr="00E6460E">
        <w:tc>
          <w:tcPr>
            <w:tcW w:w="7083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tabs>
                <w:tab w:val="left" w:pos="2112"/>
              </w:tabs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Children/youth Deemed Eligible for Service by Age Group – 0-5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449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-1</w:t>
            </w: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637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0%</w:t>
            </w:r>
          </w:p>
        </w:tc>
      </w:tr>
      <w:tr w:rsidR="00896CAC" w:rsidTr="00E6460E">
        <w:tc>
          <w:tcPr>
            <w:tcW w:w="7083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tabs>
                <w:tab w:val="left" w:pos="2112"/>
              </w:tabs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Children/youth Deemed Eligible for Service by Age Group – 6-10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2449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637" w:type="dxa"/>
            <w:tcBorders>
              <w:left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  <w:tr w:rsidR="00896CAC" w:rsidTr="00E6460E">
        <w:tc>
          <w:tcPr>
            <w:tcW w:w="7083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tabs>
                <w:tab w:val="left" w:pos="2112"/>
              </w:tabs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Children/youth Deemed Eligible for Service by Age Group – 11-14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2449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637" w:type="dxa"/>
            <w:tcBorders>
              <w:left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13%</w:t>
            </w:r>
          </w:p>
        </w:tc>
      </w:tr>
      <w:tr w:rsidR="00896CAC" w:rsidTr="00E6460E">
        <w:tc>
          <w:tcPr>
            <w:tcW w:w="7083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tabs>
                <w:tab w:val="left" w:pos="2112"/>
              </w:tabs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Children/youth Deemed Eligible for Service by Age Group – 15-17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2449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637" w:type="dxa"/>
            <w:tcBorders>
              <w:left w:val="single" w:sz="4" w:space="0" w:color="auto"/>
            </w:tcBorders>
            <w:shd w:val="clear" w:color="auto" w:fill="F9DFDA" w:themeFill="accent1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13%</w:t>
            </w:r>
          </w:p>
        </w:tc>
      </w:tr>
      <w:tr w:rsidR="00896CAC" w:rsidTr="00E6460E">
        <w:tc>
          <w:tcPr>
            <w:tcW w:w="7083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Average Age at Intake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2449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~0%</w:t>
            </w:r>
          </w:p>
        </w:tc>
        <w:tc>
          <w:tcPr>
            <w:tcW w:w="1637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>~0%</w:t>
            </w:r>
          </w:p>
        </w:tc>
      </w:tr>
      <w:tr w:rsidR="00896CAC" w:rsidTr="00E6460E">
        <w:tc>
          <w:tcPr>
            <w:tcW w:w="7083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 xml:space="preserve">Number of Unique children/youth by Age Group – 0-5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449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-1</w:t>
            </w: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%</w:t>
            </w:r>
          </w:p>
        </w:tc>
        <w:tc>
          <w:tcPr>
            <w:tcW w:w="1637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-2%</w:t>
            </w:r>
          </w:p>
        </w:tc>
      </w:tr>
      <w:tr w:rsidR="00896CAC" w:rsidTr="00E6460E">
        <w:tc>
          <w:tcPr>
            <w:tcW w:w="7083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 xml:space="preserve">Number of Unique children/youth by Age Group – 6-10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2449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-2%</w:t>
            </w:r>
          </w:p>
        </w:tc>
        <w:tc>
          <w:tcPr>
            <w:tcW w:w="1637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center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-2%</w:t>
            </w:r>
          </w:p>
        </w:tc>
      </w:tr>
      <w:tr w:rsidR="00896CAC" w:rsidTr="00E6460E">
        <w:tc>
          <w:tcPr>
            <w:tcW w:w="7083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lastRenderedPageBreak/>
              <w:t>Number of Unique children/youth by Age Group – 11-14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vAlign w:val="bottom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2449" w:type="dxa"/>
            <w:tcBorders>
              <w:right w:val="single" w:sz="4" w:space="0" w:color="auto"/>
            </w:tcBorders>
            <w:vAlign w:val="bottom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bottom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~0%</w:t>
            </w:r>
          </w:p>
        </w:tc>
        <w:tc>
          <w:tcPr>
            <w:tcW w:w="1637" w:type="dxa"/>
            <w:tcBorders>
              <w:left w:val="single" w:sz="4" w:space="0" w:color="auto"/>
            </w:tcBorders>
            <w:shd w:val="clear" w:color="auto" w:fill="DCEFF0" w:themeFill="accent2" w:themeFillTint="33"/>
            <w:vAlign w:val="bottom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0%</w:t>
            </w:r>
          </w:p>
        </w:tc>
      </w:tr>
      <w:tr w:rsidR="00896CAC" w:rsidTr="00E6460E">
        <w:tc>
          <w:tcPr>
            <w:tcW w:w="7083" w:type="dxa"/>
            <w:tcBorders>
              <w:right w:val="single" w:sz="4" w:space="0" w:color="auto"/>
            </w:tcBorders>
            <w:vAlign w:val="center"/>
          </w:tcPr>
          <w:p w:rsidR="00896CAC" w:rsidRPr="00AA2F24" w:rsidRDefault="00896CAC" w:rsidP="00896CAC">
            <w:pPr>
              <w:rPr>
                <w:rFonts w:ascii="Tahoma" w:hAnsi="Tahoma" w:cs="Tahoma"/>
                <w:sz w:val="20"/>
                <w:szCs w:val="20"/>
              </w:rPr>
            </w:pPr>
            <w:r w:rsidRPr="00AA2F24">
              <w:rPr>
                <w:rFonts w:ascii="Tahoma" w:hAnsi="Tahoma" w:cs="Tahoma"/>
                <w:sz w:val="20"/>
                <w:szCs w:val="20"/>
              </w:rPr>
              <w:t xml:space="preserve">Number of Unique children/youth by Age Group – 15-17 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2449" w:type="dxa"/>
            <w:tcBorders>
              <w:right w:val="single" w:sz="4" w:space="0" w:color="auto"/>
            </w:tcBorders>
            <w:vAlign w:val="bottom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DCEFF0" w:themeFill="accent2" w:themeFillTint="33"/>
            <w:vAlign w:val="bottom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6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CEFF0" w:themeFill="accent2" w:themeFillTint="33"/>
            <w:vAlign w:val="bottom"/>
          </w:tcPr>
          <w:p w:rsidR="00896CAC" w:rsidRPr="00AA2F24" w:rsidRDefault="00896CAC" w:rsidP="00896CA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A2F24">
              <w:rPr>
                <w:rFonts w:ascii="Tahoma" w:hAnsi="Tahoma" w:cs="Tahoma"/>
                <w:color w:val="000000"/>
                <w:sz w:val="20"/>
                <w:szCs w:val="20"/>
              </w:rPr>
              <w:t>0%</w:t>
            </w:r>
          </w:p>
        </w:tc>
      </w:tr>
    </w:tbl>
    <w:p w:rsidR="00F921F9" w:rsidRDefault="00F921F9">
      <w:pPr>
        <w:rPr>
          <w:rFonts w:ascii="Tahoma" w:hAnsi="Tahoma" w:cs="Tahoma"/>
          <w:b/>
        </w:rPr>
      </w:pPr>
    </w:p>
    <w:p w:rsidR="00980DCB" w:rsidRPr="00F921F9" w:rsidRDefault="00980DCB">
      <w:pPr>
        <w:rPr>
          <w:rFonts w:ascii="Tahoma" w:hAnsi="Tahoma" w:cs="Tahoma"/>
          <w:b/>
        </w:rPr>
      </w:pPr>
      <w:r w:rsidRPr="00F921F9">
        <w:rPr>
          <w:rFonts w:ascii="Tahoma" w:hAnsi="Tahoma" w:cs="Tahoma"/>
          <w:b/>
        </w:rPr>
        <w:t>Identified Issues</w:t>
      </w:r>
      <w:r w:rsidR="00DC06AE">
        <w:rPr>
          <w:rFonts w:ascii="Tahoma" w:hAnsi="Tahoma" w:cs="Tahoma"/>
          <w:b/>
        </w:rPr>
        <w:t xml:space="preserve"> Related to the CYMH BI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253"/>
        <w:gridCol w:w="4330"/>
      </w:tblGrid>
      <w:tr w:rsidR="00077B80" w:rsidTr="004C6610">
        <w:tc>
          <w:tcPr>
            <w:tcW w:w="5807" w:type="dxa"/>
          </w:tcPr>
          <w:p w:rsidR="00077B80" w:rsidRPr="00980DCB" w:rsidRDefault="00077B80">
            <w:pPr>
              <w:rPr>
                <w:rFonts w:ascii="Tahoma" w:hAnsi="Tahoma" w:cs="Tahoma"/>
                <w:b/>
                <w:sz w:val="20"/>
              </w:rPr>
            </w:pPr>
            <w:r w:rsidRPr="00980DCB">
              <w:rPr>
                <w:rFonts w:ascii="Tahoma" w:hAnsi="Tahoma" w:cs="Tahoma"/>
                <w:b/>
                <w:sz w:val="20"/>
              </w:rPr>
              <w:t xml:space="preserve">Issue </w:t>
            </w:r>
          </w:p>
        </w:tc>
        <w:tc>
          <w:tcPr>
            <w:tcW w:w="4253" w:type="dxa"/>
          </w:tcPr>
          <w:p w:rsidR="00077B80" w:rsidRPr="00980DCB" w:rsidRDefault="00E6460E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Reporting</w:t>
            </w:r>
            <w:r w:rsidR="00572D94">
              <w:rPr>
                <w:rFonts w:ascii="Tahoma" w:hAnsi="Tahoma" w:cs="Tahoma"/>
                <w:b/>
                <w:sz w:val="20"/>
              </w:rPr>
              <w:t xml:space="preserve"> Impacts</w:t>
            </w:r>
          </w:p>
        </w:tc>
        <w:tc>
          <w:tcPr>
            <w:tcW w:w="4330" w:type="dxa"/>
          </w:tcPr>
          <w:p w:rsidR="00077B80" w:rsidRPr="00980DCB" w:rsidRDefault="00077B80">
            <w:pPr>
              <w:rPr>
                <w:rFonts w:ascii="Tahoma" w:hAnsi="Tahoma" w:cs="Tahoma"/>
                <w:b/>
                <w:sz w:val="20"/>
              </w:rPr>
            </w:pPr>
            <w:r w:rsidRPr="00980DCB">
              <w:rPr>
                <w:rFonts w:ascii="Tahoma" w:hAnsi="Tahoma" w:cs="Tahoma"/>
                <w:b/>
                <w:sz w:val="20"/>
              </w:rPr>
              <w:t>Action Plan</w:t>
            </w:r>
          </w:p>
        </w:tc>
      </w:tr>
      <w:tr w:rsidR="00077B80" w:rsidTr="004C6610">
        <w:tc>
          <w:tcPr>
            <w:tcW w:w="5807" w:type="dxa"/>
          </w:tcPr>
          <w:p w:rsidR="00077B80" w:rsidRDefault="00DC06AE">
            <w:pPr>
              <w:rPr>
                <w:rFonts w:ascii="Tahoma" w:hAnsi="Tahoma" w:cs="Tahoma"/>
                <w:sz w:val="20"/>
                <w:szCs w:val="20"/>
              </w:rPr>
            </w:pPr>
            <w:r w:rsidRPr="00F921F9">
              <w:rPr>
                <w:rFonts w:ascii="Tahoma" w:hAnsi="Tahoma" w:cs="Tahoma"/>
                <w:sz w:val="20"/>
                <w:szCs w:val="20"/>
              </w:rPr>
              <w:t>When a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72D94" w:rsidRPr="00F921F9">
              <w:rPr>
                <w:rFonts w:ascii="Tahoma" w:hAnsi="Tahoma" w:cs="Tahoma"/>
                <w:sz w:val="20"/>
                <w:szCs w:val="20"/>
              </w:rPr>
              <w:t>client is discharged from Compass</w:t>
            </w:r>
            <w:r w:rsidR="00F921F9" w:rsidRPr="00F921F9">
              <w:rPr>
                <w:rFonts w:ascii="Tahoma" w:hAnsi="Tahoma" w:cs="Tahoma"/>
                <w:sz w:val="20"/>
                <w:szCs w:val="20"/>
              </w:rPr>
              <w:t xml:space="preserve"> BI Outcomes are completed – however it appears there is a technical issue preventing them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from reaching the BI Solution</w:t>
            </w:r>
            <w:r w:rsidR="006767D4">
              <w:rPr>
                <w:rFonts w:ascii="Tahoma" w:hAnsi="Tahoma" w:cs="Tahoma"/>
                <w:sz w:val="20"/>
                <w:szCs w:val="20"/>
              </w:rPr>
              <w:t xml:space="preserve"> and ‘Lead Agency’ sites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921F9">
              <w:rPr>
                <w:rFonts w:ascii="Tahoma" w:hAnsi="Tahoma" w:cs="Tahoma"/>
                <w:sz w:val="20"/>
                <w:szCs w:val="20"/>
              </w:rPr>
              <w:t>making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21F9" w:rsidRPr="00F921F9">
              <w:rPr>
                <w:rFonts w:ascii="Tahoma" w:hAnsi="Tahoma" w:cs="Tahoma"/>
                <w:sz w:val="20"/>
                <w:szCs w:val="20"/>
              </w:rPr>
              <w:t>it appear as though they are still open to Compass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C06AE" w:rsidRPr="00F921F9" w:rsidRDefault="00DC06AE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253" w:type="dxa"/>
          </w:tcPr>
          <w:p w:rsidR="00077B80" w:rsidRPr="00F921F9" w:rsidRDefault="00DC06AE" w:rsidP="00DC06AE">
            <w:pPr>
              <w:rPr>
                <w:rFonts w:ascii="Tahoma" w:hAnsi="Tahoma" w:cs="Tahoma"/>
                <w:sz w:val="20"/>
                <w:szCs w:val="20"/>
              </w:rPr>
            </w:pPr>
            <w:r w:rsidRPr="00F921F9">
              <w:rPr>
                <w:rFonts w:ascii="Tahoma" w:hAnsi="Tahoma" w:cs="Tahoma"/>
                <w:sz w:val="20"/>
                <w:szCs w:val="20"/>
              </w:rPr>
              <w:t>Artificially</w:t>
            </w:r>
            <w:r w:rsidR="00F921F9" w:rsidRPr="00F921F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921F9">
              <w:rPr>
                <w:rFonts w:ascii="Tahoma" w:hAnsi="Tahoma" w:cs="Tahoma"/>
                <w:sz w:val="20"/>
                <w:szCs w:val="20"/>
              </w:rPr>
              <w:t>Inflated</w:t>
            </w:r>
            <w:r w:rsidR="00F921F9" w:rsidRPr="00F921F9">
              <w:rPr>
                <w:rFonts w:ascii="Tahoma" w:hAnsi="Tahoma" w:cs="Tahoma"/>
                <w:sz w:val="20"/>
                <w:szCs w:val="20"/>
              </w:rPr>
              <w:t xml:space="preserve"> Children/</w:t>
            </w:r>
            <w:r>
              <w:rPr>
                <w:rFonts w:ascii="Tahoma" w:hAnsi="Tahoma" w:cs="Tahoma"/>
                <w:sz w:val="20"/>
                <w:szCs w:val="20"/>
              </w:rPr>
              <w:t>Yo</w:t>
            </w:r>
            <w:r w:rsidR="00F921F9" w:rsidRPr="00F921F9">
              <w:rPr>
                <w:rFonts w:ascii="Tahoma" w:hAnsi="Tahoma" w:cs="Tahoma"/>
                <w:sz w:val="20"/>
                <w:szCs w:val="20"/>
              </w:rPr>
              <w:t>uth Deemed Eligible for Service</w:t>
            </w:r>
          </w:p>
        </w:tc>
        <w:tc>
          <w:tcPr>
            <w:tcW w:w="4330" w:type="dxa"/>
          </w:tcPr>
          <w:p w:rsidR="00077B80" w:rsidRDefault="00F921F9">
            <w:pPr>
              <w:rPr>
                <w:rFonts w:ascii="Tahoma" w:hAnsi="Tahoma" w:cs="Tahoma"/>
                <w:sz w:val="20"/>
                <w:szCs w:val="20"/>
              </w:rPr>
            </w:pPr>
            <w:r w:rsidRPr="00F921F9">
              <w:rPr>
                <w:rFonts w:ascii="Tahoma" w:hAnsi="Tahoma" w:cs="Tahoma"/>
                <w:sz w:val="20"/>
                <w:szCs w:val="20"/>
              </w:rPr>
              <w:t xml:space="preserve">A support ticket has been </w:t>
            </w:r>
            <w:r w:rsidR="00DC06AE" w:rsidRPr="00F921F9">
              <w:rPr>
                <w:rFonts w:ascii="Tahoma" w:hAnsi="Tahoma" w:cs="Tahoma"/>
                <w:sz w:val="20"/>
                <w:szCs w:val="20"/>
              </w:rPr>
              <w:t>submitted</w:t>
            </w:r>
            <w:r w:rsidRPr="00F921F9">
              <w:rPr>
                <w:rFonts w:ascii="Tahoma" w:hAnsi="Tahoma" w:cs="Tahoma"/>
                <w:sz w:val="20"/>
                <w:szCs w:val="20"/>
              </w:rPr>
              <w:t xml:space="preserve"> to </w:t>
            </w:r>
            <w:proofErr w:type="spellStart"/>
            <w:r w:rsidRPr="00F921F9">
              <w:rPr>
                <w:rFonts w:ascii="Tahoma" w:hAnsi="Tahoma" w:cs="Tahoma"/>
                <w:sz w:val="20"/>
                <w:szCs w:val="20"/>
              </w:rPr>
              <w:t>EMHware</w:t>
            </w:r>
            <w:proofErr w:type="spellEnd"/>
            <w:r w:rsidRPr="00F921F9">
              <w:rPr>
                <w:rFonts w:ascii="Tahoma" w:hAnsi="Tahoma" w:cs="Tahoma"/>
                <w:sz w:val="20"/>
                <w:szCs w:val="20"/>
              </w:rPr>
              <w:t xml:space="preserve"> to investigate the issue</w:t>
            </w:r>
          </w:p>
          <w:p w:rsidR="00D7000E" w:rsidRDefault="00D7000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000E" w:rsidRDefault="00D7000E" w:rsidP="00D7000E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Update - May </w:t>
            </w:r>
            <w:r w:rsidR="00A16E22"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>
              <w:rPr>
                <w:rFonts w:ascii="Tahoma" w:hAnsi="Tahoma" w:cs="Tahoma"/>
                <w:b/>
                <w:sz w:val="20"/>
                <w:szCs w:val="20"/>
              </w:rPr>
              <w:t>, 2022</w:t>
            </w:r>
          </w:p>
          <w:p w:rsidR="00D7000E" w:rsidRDefault="00D700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This issue persists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EMHware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is aware and actively working on it</w:t>
            </w:r>
          </w:p>
          <w:p w:rsidR="00D7000E" w:rsidRPr="00F921F9" w:rsidRDefault="00D7000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7B80" w:rsidTr="004C6610">
        <w:tc>
          <w:tcPr>
            <w:tcW w:w="5807" w:type="dxa"/>
          </w:tcPr>
          <w:p w:rsidR="00077B80" w:rsidRPr="00572D94" w:rsidRDefault="00572D94" w:rsidP="006767D4">
            <w:pPr>
              <w:rPr>
                <w:rFonts w:ascii="Tahoma" w:hAnsi="Tahoma" w:cs="Tahoma"/>
                <w:sz w:val="20"/>
                <w:szCs w:val="20"/>
              </w:rPr>
            </w:pPr>
            <w:r w:rsidRPr="00572D94">
              <w:rPr>
                <w:rFonts w:ascii="Tahoma" w:hAnsi="Tahoma" w:cs="Tahoma"/>
                <w:sz w:val="20"/>
                <w:szCs w:val="20"/>
              </w:rPr>
              <w:t>Compass does not enter</w:t>
            </w:r>
            <w:r w:rsidR="006767D4">
              <w:rPr>
                <w:rFonts w:ascii="Tahoma" w:hAnsi="Tahoma" w:cs="Tahoma"/>
                <w:sz w:val="20"/>
                <w:szCs w:val="20"/>
              </w:rPr>
              <w:t xml:space="preserve"> initial</w:t>
            </w:r>
            <w:r w:rsidRPr="00572D94">
              <w:rPr>
                <w:rFonts w:ascii="Tahoma" w:hAnsi="Tahoma" w:cs="Tahoma"/>
                <w:sz w:val="20"/>
                <w:szCs w:val="20"/>
              </w:rPr>
              <w:t xml:space="preserve"> needs assessments in </w:t>
            </w:r>
            <w:proofErr w:type="spellStart"/>
            <w:r w:rsidRPr="00572D94">
              <w:rPr>
                <w:rFonts w:ascii="Tahoma" w:hAnsi="Tahoma" w:cs="Tahoma"/>
                <w:sz w:val="20"/>
                <w:szCs w:val="20"/>
              </w:rPr>
              <w:t>EMHware</w:t>
            </w:r>
            <w:proofErr w:type="spellEnd"/>
            <w:r w:rsidRPr="00572D9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767D4">
              <w:rPr>
                <w:rFonts w:ascii="Tahoma" w:hAnsi="Tahoma" w:cs="Tahoma"/>
                <w:sz w:val="20"/>
                <w:szCs w:val="20"/>
              </w:rPr>
              <w:t>for the BI Solution.</w:t>
            </w:r>
          </w:p>
        </w:tc>
        <w:tc>
          <w:tcPr>
            <w:tcW w:w="4253" w:type="dxa"/>
          </w:tcPr>
          <w:p w:rsidR="00077B80" w:rsidRPr="00572D94" w:rsidRDefault="00572D94" w:rsidP="00DC06AE">
            <w:pPr>
              <w:rPr>
                <w:rFonts w:ascii="Tahoma" w:hAnsi="Tahoma" w:cs="Tahoma"/>
                <w:sz w:val="20"/>
                <w:szCs w:val="20"/>
              </w:rPr>
            </w:pPr>
            <w:r w:rsidRPr="00572D94">
              <w:rPr>
                <w:rFonts w:ascii="Tahoma" w:hAnsi="Tahoma" w:cs="Tahoma"/>
                <w:sz w:val="20"/>
                <w:szCs w:val="20"/>
              </w:rPr>
              <w:t xml:space="preserve">Initial Needs Assessment </w:t>
            </w:r>
            <w:r w:rsidR="00DC06AE">
              <w:rPr>
                <w:rFonts w:ascii="Tahoma" w:hAnsi="Tahoma" w:cs="Tahoma"/>
                <w:sz w:val="20"/>
                <w:szCs w:val="20"/>
              </w:rPr>
              <w:t>F</w:t>
            </w:r>
            <w:r w:rsidRPr="00572D94">
              <w:rPr>
                <w:rFonts w:ascii="Tahoma" w:hAnsi="Tahoma" w:cs="Tahoma"/>
                <w:sz w:val="20"/>
                <w:szCs w:val="20"/>
              </w:rPr>
              <w:t xml:space="preserve">ields </w:t>
            </w:r>
            <w:r w:rsidR="00DC06AE">
              <w:rPr>
                <w:rFonts w:ascii="Tahoma" w:hAnsi="Tahoma" w:cs="Tahoma"/>
                <w:sz w:val="20"/>
                <w:szCs w:val="20"/>
              </w:rPr>
              <w:t>A</w:t>
            </w:r>
            <w:r w:rsidRPr="00572D94">
              <w:rPr>
                <w:rFonts w:ascii="Tahoma" w:hAnsi="Tahoma" w:cs="Tahoma"/>
                <w:sz w:val="20"/>
                <w:szCs w:val="20"/>
              </w:rPr>
              <w:t xml:space="preserve">ppear as Missing/NA for all </w:t>
            </w:r>
            <w:r w:rsidR="00DC06AE">
              <w:rPr>
                <w:rFonts w:ascii="Tahoma" w:hAnsi="Tahoma" w:cs="Tahoma"/>
                <w:sz w:val="20"/>
                <w:szCs w:val="20"/>
              </w:rPr>
              <w:t>C</w:t>
            </w:r>
            <w:r w:rsidRPr="00572D94">
              <w:rPr>
                <w:rFonts w:ascii="Tahoma" w:hAnsi="Tahoma" w:cs="Tahoma"/>
                <w:sz w:val="20"/>
                <w:szCs w:val="20"/>
              </w:rPr>
              <w:t>lients</w:t>
            </w:r>
          </w:p>
        </w:tc>
        <w:tc>
          <w:tcPr>
            <w:tcW w:w="4330" w:type="dxa"/>
          </w:tcPr>
          <w:p w:rsidR="00077B80" w:rsidRDefault="00572D94">
            <w:pPr>
              <w:rPr>
                <w:rFonts w:ascii="Tahoma" w:hAnsi="Tahoma" w:cs="Tahoma"/>
                <w:sz w:val="20"/>
                <w:szCs w:val="20"/>
              </w:rPr>
            </w:pPr>
            <w:r w:rsidRPr="00572D94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proofErr w:type="spellStart"/>
            <w:r w:rsidRPr="00572D94">
              <w:rPr>
                <w:rFonts w:ascii="Tahoma" w:hAnsi="Tahoma" w:cs="Tahoma"/>
                <w:sz w:val="20"/>
                <w:szCs w:val="20"/>
              </w:rPr>
              <w:t>EMHware</w:t>
            </w:r>
            <w:proofErr w:type="spellEnd"/>
            <w:r w:rsidRPr="00572D94">
              <w:rPr>
                <w:rFonts w:ascii="Tahoma" w:hAnsi="Tahoma" w:cs="Tahoma"/>
                <w:sz w:val="20"/>
                <w:szCs w:val="20"/>
              </w:rPr>
              <w:t xml:space="preserve"> Community of Practice is working with </w:t>
            </w:r>
            <w:proofErr w:type="spellStart"/>
            <w:r w:rsidRPr="00572D94">
              <w:rPr>
                <w:rFonts w:ascii="Tahoma" w:hAnsi="Tahoma" w:cs="Tahoma"/>
                <w:sz w:val="20"/>
                <w:szCs w:val="20"/>
              </w:rPr>
              <w:t>EMHware</w:t>
            </w:r>
            <w:proofErr w:type="spellEnd"/>
            <w:r w:rsidRPr="00572D94">
              <w:rPr>
                <w:rFonts w:ascii="Tahoma" w:hAnsi="Tahoma" w:cs="Tahoma"/>
                <w:sz w:val="20"/>
                <w:szCs w:val="20"/>
              </w:rPr>
              <w:t xml:space="preserve"> to have the initial needs assessment automatically completed based on standardized tools used within </w:t>
            </w:r>
            <w:proofErr w:type="spellStart"/>
            <w:r w:rsidRPr="00572D94">
              <w:rPr>
                <w:rFonts w:ascii="Tahoma" w:hAnsi="Tahoma" w:cs="Tahoma"/>
                <w:sz w:val="20"/>
                <w:szCs w:val="20"/>
              </w:rPr>
              <w:t>EMHware</w:t>
            </w:r>
            <w:proofErr w:type="spellEnd"/>
            <w:r w:rsidRPr="00572D94">
              <w:rPr>
                <w:rFonts w:ascii="Tahoma" w:hAnsi="Tahoma" w:cs="Tahoma"/>
                <w:sz w:val="20"/>
                <w:szCs w:val="20"/>
              </w:rPr>
              <w:t xml:space="preserve"> (e.g., </w:t>
            </w:r>
            <w:proofErr w:type="spellStart"/>
            <w:r w:rsidRPr="00572D94">
              <w:rPr>
                <w:rFonts w:ascii="Tahoma" w:hAnsi="Tahoma" w:cs="Tahoma"/>
                <w:sz w:val="20"/>
                <w:szCs w:val="20"/>
              </w:rPr>
              <w:t>interRAI</w:t>
            </w:r>
            <w:proofErr w:type="spellEnd"/>
            <w:r w:rsidRPr="00572D94">
              <w:rPr>
                <w:rFonts w:ascii="Tahoma" w:hAnsi="Tahoma" w:cs="Tahoma"/>
                <w:sz w:val="20"/>
                <w:szCs w:val="20"/>
              </w:rPr>
              <w:t>, MHQ-CY).</w:t>
            </w:r>
            <w:r w:rsidR="00D7000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D7000E" w:rsidRDefault="00D7000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000E" w:rsidRDefault="00D7000E" w:rsidP="00D7000E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Update - May </w:t>
            </w:r>
            <w:r w:rsidR="00A16E22"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>
              <w:rPr>
                <w:rFonts w:ascii="Tahoma" w:hAnsi="Tahoma" w:cs="Tahoma"/>
                <w:b/>
                <w:sz w:val="20"/>
                <w:szCs w:val="20"/>
              </w:rPr>
              <w:t>, 2022</w:t>
            </w:r>
          </w:p>
          <w:p w:rsidR="00D7000E" w:rsidRPr="00D7000E" w:rsidRDefault="00D700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has </w:t>
            </w:r>
            <w:r w:rsidR="00C46E82">
              <w:rPr>
                <w:rFonts w:ascii="Tahoma" w:hAnsi="Tahoma" w:cs="Tahoma"/>
                <w:sz w:val="20"/>
                <w:szCs w:val="20"/>
              </w:rPr>
              <w:t>successfully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mapped these tools onto the BI Solution categories but is now waiting for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EMHware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to develop options for auto-populating these fields</w:t>
            </w:r>
          </w:p>
          <w:p w:rsidR="00DC06AE" w:rsidRPr="00572D94" w:rsidRDefault="00DC06A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7B80" w:rsidTr="004C6610">
        <w:tc>
          <w:tcPr>
            <w:tcW w:w="5807" w:type="dxa"/>
          </w:tcPr>
          <w:p w:rsidR="00077B80" w:rsidRDefault="00572D94" w:rsidP="00572D94">
            <w:pPr>
              <w:rPr>
                <w:rFonts w:ascii="Tahoma" w:hAnsi="Tahoma" w:cs="Tahoma"/>
                <w:sz w:val="20"/>
                <w:szCs w:val="20"/>
              </w:rPr>
            </w:pPr>
            <w:r w:rsidRPr="00572D94">
              <w:rPr>
                <w:rFonts w:ascii="Tahoma" w:hAnsi="Tahoma" w:cs="Tahoma"/>
                <w:sz w:val="20"/>
                <w:szCs w:val="20"/>
              </w:rPr>
              <w:t xml:space="preserve">At Compass the </w:t>
            </w:r>
            <w:r w:rsidR="00077B80" w:rsidRPr="00572D94">
              <w:rPr>
                <w:rFonts w:ascii="Tahoma" w:hAnsi="Tahoma" w:cs="Tahoma"/>
                <w:sz w:val="20"/>
                <w:szCs w:val="20"/>
              </w:rPr>
              <w:t xml:space="preserve">‘Receiving Services’ date </w:t>
            </w:r>
            <w:r w:rsidRPr="00572D94">
              <w:rPr>
                <w:rFonts w:ascii="Tahoma" w:hAnsi="Tahoma" w:cs="Tahoma"/>
                <w:sz w:val="20"/>
                <w:szCs w:val="20"/>
              </w:rPr>
              <w:t>is always completed with the date assignment or date they are closed from a waitlist, if applicable. H</w:t>
            </w:r>
            <w:r w:rsidR="00077B80" w:rsidRPr="00572D94">
              <w:rPr>
                <w:rFonts w:ascii="Tahoma" w:hAnsi="Tahoma" w:cs="Tahoma"/>
                <w:sz w:val="20"/>
                <w:szCs w:val="20"/>
              </w:rPr>
              <w:t xml:space="preserve">owever, the </w:t>
            </w:r>
            <w:r w:rsidR="00C46E82">
              <w:rPr>
                <w:rFonts w:ascii="Tahoma" w:hAnsi="Tahoma" w:cs="Tahoma"/>
                <w:sz w:val="20"/>
                <w:szCs w:val="20"/>
              </w:rPr>
              <w:t>MOH</w:t>
            </w:r>
            <w:r w:rsidR="00077B80" w:rsidRPr="00572D94">
              <w:rPr>
                <w:rFonts w:ascii="Tahoma" w:hAnsi="Tahoma" w:cs="Tahoma"/>
                <w:sz w:val="20"/>
                <w:szCs w:val="20"/>
              </w:rPr>
              <w:t xml:space="preserve"> expects that the ‘</w:t>
            </w:r>
            <w:r w:rsidR="00DC06AE" w:rsidRPr="00572D94">
              <w:rPr>
                <w:rFonts w:ascii="Tahoma" w:hAnsi="Tahoma" w:cs="Tahoma"/>
                <w:sz w:val="20"/>
                <w:szCs w:val="20"/>
              </w:rPr>
              <w:t>Receiving</w:t>
            </w:r>
            <w:r w:rsidR="00077B80" w:rsidRPr="00572D94">
              <w:rPr>
                <w:rFonts w:ascii="Tahoma" w:hAnsi="Tahoma" w:cs="Tahoma"/>
                <w:sz w:val="20"/>
                <w:szCs w:val="20"/>
              </w:rPr>
              <w:t xml:space="preserve"> Services’ date is</w:t>
            </w:r>
            <w:r w:rsidRPr="00572D94">
              <w:rPr>
                <w:rFonts w:ascii="Tahoma" w:hAnsi="Tahoma" w:cs="Tahoma"/>
                <w:sz w:val="20"/>
                <w:szCs w:val="20"/>
              </w:rPr>
              <w:t xml:space="preserve"> the date of the first clinical session. If the client does not materialize or declines services the receiving services should be blank and the client not counted towards individuals served – this has </w:t>
            </w:r>
            <w:r w:rsidRPr="00572D94">
              <w:rPr>
                <w:rFonts w:ascii="Tahoma" w:hAnsi="Tahoma" w:cs="Tahoma"/>
                <w:i/>
                <w:sz w:val="20"/>
                <w:szCs w:val="20"/>
              </w:rPr>
              <w:t>not</w:t>
            </w:r>
            <w:r w:rsidRPr="00572D94">
              <w:rPr>
                <w:rFonts w:ascii="Tahoma" w:hAnsi="Tahoma" w:cs="Tahoma"/>
                <w:sz w:val="20"/>
                <w:szCs w:val="20"/>
              </w:rPr>
              <w:t xml:space="preserve"> been Compass’s practice.</w:t>
            </w:r>
          </w:p>
          <w:p w:rsidR="00DC06AE" w:rsidRPr="00572D94" w:rsidRDefault="00DC06AE" w:rsidP="00572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3" w:type="dxa"/>
          </w:tcPr>
          <w:p w:rsidR="00077B80" w:rsidRPr="00572D94" w:rsidRDefault="00572D94">
            <w:pPr>
              <w:rPr>
                <w:rFonts w:ascii="Tahoma" w:hAnsi="Tahoma" w:cs="Tahoma"/>
                <w:sz w:val="20"/>
                <w:szCs w:val="20"/>
              </w:rPr>
            </w:pPr>
            <w:r w:rsidRPr="00572D94">
              <w:rPr>
                <w:rFonts w:ascii="Tahoma" w:hAnsi="Tahoma" w:cs="Tahoma"/>
                <w:sz w:val="20"/>
                <w:szCs w:val="20"/>
              </w:rPr>
              <w:t xml:space="preserve">Artificially Reduced </w:t>
            </w:r>
            <w:proofErr w:type="spellStart"/>
            <w:r w:rsidRPr="00572D94">
              <w:rPr>
                <w:rFonts w:ascii="Tahoma" w:hAnsi="Tahoma" w:cs="Tahoma"/>
                <w:sz w:val="20"/>
                <w:szCs w:val="20"/>
              </w:rPr>
              <w:t>Waittime</w:t>
            </w:r>
            <w:proofErr w:type="spellEnd"/>
          </w:p>
          <w:p w:rsidR="00572D94" w:rsidRPr="00572D94" w:rsidRDefault="00DC06AE">
            <w:pPr>
              <w:rPr>
                <w:rFonts w:ascii="Tahoma" w:hAnsi="Tahoma" w:cs="Tahoma"/>
                <w:sz w:val="20"/>
                <w:szCs w:val="20"/>
              </w:rPr>
            </w:pPr>
            <w:r w:rsidRPr="00572D94">
              <w:rPr>
                <w:rFonts w:ascii="Tahoma" w:hAnsi="Tahoma" w:cs="Tahoma"/>
                <w:sz w:val="20"/>
                <w:szCs w:val="20"/>
              </w:rPr>
              <w:t>Artificially</w:t>
            </w:r>
            <w:r w:rsidR="00572D94" w:rsidRPr="00572D9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72D94">
              <w:rPr>
                <w:rFonts w:ascii="Tahoma" w:hAnsi="Tahoma" w:cs="Tahoma"/>
                <w:sz w:val="20"/>
                <w:szCs w:val="20"/>
              </w:rPr>
              <w:t>Inflated</w:t>
            </w:r>
            <w:r w:rsidR="00572D94" w:rsidRPr="00572D94">
              <w:rPr>
                <w:rFonts w:ascii="Tahoma" w:hAnsi="Tahoma" w:cs="Tahoma"/>
                <w:sz w:val="20"/>
                <w:szCs w:val="20"/>
              </w:rPr>
              <w:t xml:space="preserve"> Days of Service</w:t>
            </w:r>
          </w:p>
          <w:p w:rsidR="00572D94" w:rsidRDefault="00572D94">
            <w:pPr>
              <w:rPr>
                <w:rFonts w:ascii="Tahoma" w:hAnsi="Tahoma" w:cs="Tahoma"/>
                <w:sz w:val="20"/>
                <w:szCs w:val="20"/>
              </w:rPr>
            </w:pPr>
            <w:r w:rsidRPr="00572D94">
              <w:rPr>
                <w:rFonts w:ascii="Tahoma" w:hAnsi="Tahoma" w:cs="Tahoma"/>
                <w:sz w:val="20"/>
                <w:szCs w:val="20"/>
              </w:rPr>
              <w:t>Artificially Inflated Number of Clients Served</w:t>
            </w:r>
          </w:p>
          <w:p w:rsidR="00E6460E" w:rsidRPr="00572D94" w:rsidRDefault="00E646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Impacts both TPON &amp; BI Solution</w:t>
            </w:r>
          </w:p>
        </w:tc>
        <w:tc>
          <w:tcPr>
            <w:tcW w:w="4330" w:type="dxa"/>
          </w:tcPr>
          <w:p w:rsidR="00077B80" w:rsidRDefault="00572D94">
            <w:pPr>
              <w:rPr>
                <w:rFonts w:ascii="Tahoma" w:hAnsi="Tahoma" w:cs="Tahoma"/>
                <w:sz w:val="20"/>
                <w:szCs w:val="20"/>
              </w:rPr>
            </w:pPr>
            <w:r w:rsidRPr="00572D94">
              <w:rPr>
                <w:rFonts w:ascii="Tahoma" w:hAnsi="Tahoma" w:cs="Tahoma"/>
                <w:sz w:val="20"/>
                <w:szCs w:val="20"/>
              </w:rPr>
              <w:t>On hold - any changes will likely require additional time from clinical staff completing administrative tasks</w:t>
            </w:r>
          </w:p>
          <w:p w:rsidR="00D7000E" w:rsidRDefault="00D7000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000E" w:rsidRDefault="00D7000E" w:rsidP="00D7000E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Update - May </w:t>
            </w:r>
            <w:r w:rsidR="00A16E22"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>
              <w:rPr>
                <w:rFonts w:ascii="Tahoma" w:hAnsi="Tahoma" w:cs="Tahoma"/>
                <w:b/>
                <w:sz w:val="20"/>
                <w:szCs w:val="20"/>
              </w:rPr>
              <w:t>, 2022</w:t>
            </w:r>
          </w:p>
          <w:p w:rsidR="00D7000E" w:rsidRPr="00D7000E" w:rsidRDefault="00D7000E" w:rsidP="00D700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Though addressing this issue is still on hold the Access/Intake project may address some of these </w:t>
            </w:r>
            <w:r w:rsidR="00E6460E">
              <w:rPr>
                <w:rFonts w:ascii="Tahoma" w:hAnsi="Tahoma" w:cs="Tahoma"/>
                <w:sz w:val="20"/>
                <w:szCs w:val="20"/>
              </w:rPr>
              <w:t>concerns</w:t>
            </w:r>
          </w:p>
          <w:p w:rsidR="00D7000E" w:rsidRPr="00572D94" w:rsidRDefault="00D7000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80DCB" w:rsidRPr="00980DCB" w:rsidRDefault="00980DCB">
      <w:pPr>
        <w:rPr>
          <w:b/>
        </w:rPr>
      </w:pPr>
    </w:p>
    <w:sectPr w:rsidR="00980DCB" w:rsidRPr="00980DCB" w:rsidSect="00DC06AE">
      <w:headerReference w:type="default" r:id="rId6"/>
      <w:pgSz w:w="15840" w:h="12240" w:orient="landscape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37D" w:rsidRDefault="0034237D" w:rsidP="0034237D">
      <w:pPr>
        <w:spacing w:after="0" w:line="240" w:lineRule="auto"/>
      </w:pPr>
      <w:r>
        <w:separator/>
      </w:r>
    </w:p>
  </w:endnote>
  <w:endnote w:type="continuationSeparator" w:id="0">
    <w:p w:rsidR="0034237D" w:rsidRDefault="0034237D" w:rsidP="0034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37D" w:rsidRDefault="0034237D" w:rsidP="0034237D">
      <w:pPr>
        <w:spacing w:after="0" w:line="240" w:lineRule="auto"/>
      </w:pPr>
      <w:r>
        <w:separator/>
      </w:r>
    </w:p>
  </w:footnote>
  <w:footnote w:type="continuationSeparator" w:id="0">
    <w:p w:rsidR="0034237D" w:rsidRDefault="0034237D" w:rsidP="0034237D">
      <w:pPr>
        <w:spacing w:after="0" w:line="240" w:lineRule="auto"/>
      </w:pPr>
      <w:r>
        <w:continuationSeparator/>
      </w:r>
    </w:p>
  </w:footnote>
  <w:footnote w:id="1">
    <w:p w:rsidR="00077B80" w:rsidRPr="00077B80" w:rsidRDefault="00077B80">
      <w:pPr>
        <w:pStyle w:val="FootnoteText"/>
        <w:rPr>
          <w:rFonts w:ascii="Tahoma" w:hAnsi="Tahoma" w:cs="Tahoma"/>
        </w:rPr>
      </w:pPr>
      <w:r w:rsidRPr="00077B80">
        <w:rPr>
          <w:rStyle w:val="FootnoteReference"/>
          <w:rFonts w:ascii="Tahoma" w:hAnsi="Tahoma" w:cs="Tahoma"/>
          <w:sz w:val="18"/>
        </w:rPr>
        <w:footnoteRef/>
      </w:r>
      <w:r w:rsidRPr="00077B80">
        <w:rPr>
          <w:rFonts w:ascii="Tahoma" w:hAnsi="Tahoma" w:cs="Tahoma"/>
          <w:sz w:val="18"/>
        </w:rPr>
        <w:t xml:space="preserve"> Please note that this validation will miss a number of end-user </w:t>
      </w:r>
      <w:r w:rsidR="00DC06AE" w:rsidRPr="00077B80">
        <w:rPr>
          <w:rFonts w:ascii="Tahoma" w:hAnsi="Tahoma" w:cs="Tahoma"/>
          <w:sz w:val="18"/>
        </w:rPr>
        <w:t>accuracy</w:t>
      </w:r>
      <w:r w:rsidRPr="00077B80">
        <w:rPr>
          <w:rFonts w:ascii="Tahoma" w:hAnsi="Tahoma" w:cs="Tahoma"/>
          <w:sz w:val="18"/>
        </w:rPr>
        <w:t xml:space="preserve"> errors that cannot be </w:t>
      </w:r>
      <w:r w:rsidR="00DC06AE" w:rsidRPr="00077B80">
        <w:rPr>
          <w:rFonts w:ascii="Tahoma" w:hAnsi="Tahoma" w:cs="Tahoma"/>
          <w:sz w:val="18"/>
        </w:rPr>
        <w:t>identified</w:t>
      </w:r>
      <w:r w:rsidRPr="00077B80">
        <w:rPr>
          <w:rFonts w:ascii="Tahoma" w:hAnsi="Tahoma" w:cs="Tahoma"/>
          <w:sz w:val="18"/>
        </w:rPr>
        <w:t xml:space="preserve"> without knowing ‘true values’ (e.g., inputting wrong program history dates, incorrect time entry).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6AE" w:rsidRDefault="00DC06AE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7262495</wp:posOffset>
          </wp:positionH>
          <wp:positionV relativeFrom="paragraph">
            <wp:posOffset>-308398</wp:posOffset>
          </wp:positionV>
          <wp:extent cx="1941195" cy="591820"/>
          <wp:effectExtent l="0" t="0" r="1905" b="0"/>
          <wp:wrapThrough wrapText="bothSides">
            <wp:wrapPolygon edited="0">
              <wp:start x="1696" y="0"/>
              <wp:lineTo x="0" y="4172"/>
              <wp:lineTo x="0" y="17382"/>
              <wp:lineTo x="1696" y="20858"/>
              <wp:lineTo x="4663" y="20858"/>
              <wp:lineTo x="21409" y="20858"/>
              <wp:lineTo x="21409" y="2781"/>
              <wp:lineTo x="4663" y="0"/>
              <wp:lineTo x="1696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ompass-Trilingual-Horizontal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195" cy="59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06AE" w:rsidRPr="004A76CE" w:rsidRDefault="004A76CE" w:rsidP="004A76CE">
    <w:pPr>
      <w:rPr>
        <w:rFonts w:ascii="Tahoma" w:hAnsi="Tahoma" w:cs="Tahoma"/>
        <w:b/>
        <w:sz w:val="28"/>
      </w:rPr>
    </w:pPr>
    <w:r w:rsidRPr="00565A88">
      <w:rPr>
        <w:rFonts w:ascii="Tahoma" w:hAnsi="Tahoma" w:cs="Tahoma"/>
        <w:b/>
        <w:sz w:val="28"/>
      </w:rPr>
      <w:t xml:space="preserve">CYMH BI Solution </w:t>
    </w:r>
    <w:r>
      <w:rPr>
        <w:rFonts w:ascii="Tahoma" w:hAnsi="Tahoma" w:cs="Tahoma"/>
        <w:b/>
        <w:sz w:val="28"/>
      </w:rPr>
      <w:t>Data Quality Check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65"/>
    <w:rsid w:val="00077B80"/>
    <w:rsid w:val="003128B0"/>
    <w:rsid w:val="00322428"/>
    <w:rsid w:val="0034237D"/>
    <w:rsid w:val="003C7831"/>
    <w:rsid w:val="00461071"/>
    <w:rsid w:val="004A76CE"/>
    <w:rsid w:val="004C6610"/>
    <w:rsid w:val="005602DA"/>
    <w:rsid w:val="005647B6"/>
    <w:rsid w:val="00565A88"/>
    <w:rsid w:val="00572D94"/>
    <w:rsid w:val="00592765"/>
    <w:rsid w:val="006767D4"/>
    <w:rsid w:val="00827154"/>
    <w:rsid w:val="00831B6A"/>
    <w:rsid w:val="00841786"/>
    <w:rsid w:val="00896CAC"/>
    <w:rsid w:val="00980DCB"/>
    <w:rsid w:val="009A40C5"/>
    <w:rsid w:val="009F0039"/>
    <w:rsid w:val="00A16E22"/>
    <w:rsid w:val="00AA2F24"/>
    <w:rsid w:val="00C06B78"/>
    <w:rsid w:val="00C46E82"/>
    <w:rsid w:val="00CC7F47"/>
    <w:rsid w:val="00D7000E"/>
    <w:rsid w:val="00DC06AE"/>
    <w:rsid w:val="00E457B3"/>
    <w:rsid w:val="00E6460E"/>
    <w:rsid w:val="00E93079"/>
    <w:rsid w:val="00F9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B9EAA034-CCF4-45DF-8413-4D87F53C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57B3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37D"/>
  </w:style>
  <w:style w:type="paragraph" w:styleId="Footer">
    <w:name w:val="footer"/>
    <w:basedOn w:val="Normal"/>
    <w:link w:val="FooterChar"/>
    <w:uiPriority w:val="99"/>
    <w:unhideWhenUsed/>
    <w:rsid w:val="0034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37D"/>
  </w:style>
  <w:style w:type="paragraph" w:styleId="EndnoteText">
    <w:name w:val="endnote text"/>
    <w:basedOn w:val="Normal"/>
    <w:link w:val="EndnoteTextChar"/>
    <w:uiPriority w:val="99"/>
    <w:semiHidden/>
    <w:unhideWhenUsed/>
    <w:rsid w:val="003423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23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23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16149"/>
      </a:accent1>
      <a:accent2>
        <a:srgbClr val="52B2B4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Schwabe</dc:creator>
  <cp:keywords/>
  <dc:description/>
  <cp:lastModifiedBy>Shauna Heron</cp:lastModifiedBy>
  <cp:revision>2</cp:revision>
  <dcterms:created xsi:type="dcterms:W3CDTF">2023-08-21T12:38:00Z</dcterms:created>
  <dcterms:modified xsi:type="dcterms:W3CDTF">2023-08-21T12:38:00Z</dcterms:modified>
</cp:coreProperties>
</file>