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ACBD" w14:textId="77777777" w:rsidR="00AE0DC0" w:rsidRPr="00AE0DC0" w:rsidRDefault="00AE0DC0" w:rsidP="00AE0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0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Work 1 – Linking NHANES With External Insurance Cost Data</w:t>
      </w:r>
      <w:r w:rsidRPr="00AE0DC0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（精简</w:t>
      </w:r>
      <w:r w:rsidRPr="00AE0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r w:rsidRPr="00AE0DC0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可读</w:t>
      </w:r>
      <w:r w:rsidRPr="00AE0DC0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5FB78D73" w14:textId="11E0B690" w:rsidR="00AE0DC0" w:rsidRPr="00AE0DC0" w:rsidRDefault="00AE0DC0" w:rsidP="00AE0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In this project we classify individuals by insurance type, but we do not yet analyze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medical expenditures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. A natural next step is to combine NHANES with an external dataset that includes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insurance cost / medical spending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>, such as the MEPS (Medical Expenditure Panel Survey).</w:t>
      </w:r>
    </w:p>
    <w:p w14:paraId="1FBA56DC" w14:textId="77777777" w:rsidR="00AE0DC0" w:rsidRPr="00AE0DC0" w:rsidRDefault="00AE0DC0" w:rsidP="00AE0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However, linking NHANES with any cost dataset is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straightforward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 because:</w:t>
      </w:r>
    </w:p>
    <w:p w14:paraId="4AA306D8" w14:textId="77777777" w:rsidR="00AE0DC0" w:rsidRPr="00AE0DC0" w:rsidRDefault="00AE0DC0" w:rsidP="00AE0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NHANES is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anonymized</w:t>
      </w:r>
    </w:p>
    <w:p w14:paraId="6B4A6CE6" w14:textId="77777777" w:rsidR="00AE0DC0" w:rsidRPr="00AE0DC0" w:rsidRDefault="00AE0DC0" w:rsidP="00AE0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shared person-level ID</w:t>
      </w:r>
    </w:p>
    <w:p w14:paraId="37E784FD" w14:textId="77777777" w:rsidR="00AE0DC0" w:rsidRPr="00AE0DC0" w:rsidRDefault="00AE0DC0" w:rsidP="00AE0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>This means the two datasets cannot be merged directly.</w:t>
      </w:r>
    </w:p>
    <w:p w14:paraId="47E5A6AA" w14:textId="57EC721D" w:rsidR="00AE0DC0" w:rsidRPr="00AE0DC0" w:rsidRDefault="00AE0DC0" w:rsidP="00AE0DC0">
      <w:pPr>
        <w:spacing w:before="100" w:beforeAutospacing="1" w:after="100" w:afterAutospacing="1" w:line="240" w:lineRule="auto"/>
        <w:rPr>
          <w:rFonts w:ascii="SimSun" w:eastAsia="SimSun" w:hAnsi="SimSun" w:cs="SimSun" w:hint="eastAsia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A realistic strategy is to use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probabilistic / synthetic matching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>, where individuals are aligned based on shared features (age group, sex, poverty ratio, insurance type, chronic disease indicators, etc.)</w:t>
      </w:r>
      <w:r>
        <w:rPr>
          <w:rFonts w:ascii="SimSun" w:eastAsia="SimSun" w:hAnsi="SimSun" w:cs="SimSun" w:hint="eastAsia"/>
          <w:kern w:val="0"/>
          <w14:ligatures w14:val="none"/>
        </w:rPr>
        <w:t>.</w:t>
      </w:r>
    </w:p>
    <w:p w14:paraId="5037AFE8" w14:textId="77777777" w:rsidR="00AE0DC0" w:rsidRPr="00AE0DC0" w:rsidRDefault="00AE0DC0" w:rsidP="00AE0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Exploring these linkage strategies is outside the current scope, but it is an important next step if we want to move from predicting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“who is at risk”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 to estimating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that risk will cost the healthcare system.”</w:t>
      </w:r>
    </w:p>
    <w:p w14:paraId="0364438F" w14:textId="77777777" w:rsidR="00AE0DC0" w:rsidRPr="00AE0DC0" w:rsidRDefault="00385CC5" w:rsidP="00AE0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C5">
        <w:rPr>
          <w:rFonts w:ascii="Times New Roman" w:eastAsia="Times New Roman" w:hAnsi="Times New Roman" w:cs="Times New Roman"/>
          <w:noProof/>
          <w:kern w:val="0"/>
        </w:rPr>
        <w:pict w14:anchorId="03CE38E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15C9EE" w14:textId="77777777" w:rsidR="0069030A" w:rsidRDefault="0069030A"/>
    <w:p w14:paraId="57DB5513" w14:textId="77777777" w:rsidR="00AE0DC0" w:rsidRPr="00AE0DC0" w:rsidRDefault="00AE0DC0" w:rsidP="00AE0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0DC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AE0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Future Work 2 – Incorporating NHANES Nutrition Data Using Representation Learning</w:t>
      </w:r>
      <w:r w:rsidRPr="00AE0DC0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（最终精简版</w:t>
      </w:r>
      <w:r w:rsidRPr="00AE0DC0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145BAEF1" w14:textId="77777777" w:rsidR="00AE0DC0" w:rsidRPr="00AE0DC0" w:rsidRDefault="00AE0DC0" w:rsidP="00AE0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Our current model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leverage the NHANES Nutrition component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, which contains rich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dietary information such as 24-hour food recalls, macro/micronutrient intake, and supplement use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. These nutrition tables are stored in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 format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, meaning each participant may have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dozens of food-level records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, making it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impractical to join them directly as tabular columns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5322C1" w14:textId="1536D138" w:rsidR="00AE0DC0" w:rsidRPr="00AE0DC0" w:rsidRDefault="00AE0DC0" w:rsidP="00AE0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A scalable approach is to use </w:t>
      </w:r>
      <w:r w:rsidRPr="00AE0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representation learning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 to convert each participant’s diet into a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compact vector</w:t>
      </w:r>
      <w:r w:rsidR="00A3488F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 xml:space="preserve"> (</w:t>
      </w:r>
      <w:r w:rsidR="00A3488F" w:rsidRPr="00A348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dietary embedding</w:t>
      </w:r>
      <w:r w:rsidR="00A3488F" w:rsidRPr="00A3488F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)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68F95D" w14:textId="77777777" w:rsidR="00AE0DC0" w:rsidRPr="00AE0DC0" w:rsidRDefault="00AE0DC0" w:rsidP="00AE0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Treat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person’s food items as a sequence</w:t>
      </w:r>
    </w:p>
    <w:p w14:paraId="223347EB" w14:textId="77777777" w:rsidR="00AE0DC0" w:rsidRPr="00AE0DC0" w:rsidRDefault="00AE0DC0" w:rsidP="00AE0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Break them into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“tokens”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nutrient quantities</w:t>
      </w:r>
    </w:p>
    <w:p w14:paraId="245AC1C3" w14:textId="4CF62D83" w:rsidR="00AE0DC0" w:rsidRPr="00AE0DC0" w:rsidRDefault="00AE0DC0" w:rsidP="00AE0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lightweight deep-learning models (e.g., </w:t>
      </w:r>
      <w:proofErr w:type="spellStart"/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TabTransformer</w:t>
      </w:r>
      <w:proofErr w:type="spellEnd"/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or Embedding Transforms)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 to learn a dietary embedding</w:t>
      </w:r>
    </w:p>
    <w:p w14:paraId="48C822F1" w14:textId="77777777" w:rsidR="00AE0DC0" w:rsidRPr="00AE0DC0" w:rsidRDefault="00AE0DC0" w:rsidP="00AE0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>Combine this embedding with our existing socio-economic and clinical features</w:t>
      </w:r>
    </w:p>
    <w:p w14:paraId="40F14DDE" w14:textId="77777777" w:rsidR="00AE0DC0" w:rsidRPr="00AE0DC0" w:rsidRDefault="00AE0DC0" w:rsidP="00AE0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This approach allows us to incorporate hundreds of dietary variables without creating a sparse matrix, while capturing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dietary patterns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isolated nutrient values. A learned nutrition embedding would significantly </w:t>
      </w:r>
      <w:r w:rsidRPr="00AE0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 the expressive power of the model and enable more precise analysis</w:t>
      </w:r>
      <w:r w:rsidRPr="00AE0DC0">
        <w:rPr>
          <w:rFonts w:ascii="Times New Roman" w:eastAsia="Times New Roman" w:hAnsi="Times New Roman" w:cs="Times New Roman"/>
          <w:kern w:val="0"/>
          <w14:ligatures w14:val="none"/>
        </w:rPr>
        <w:t xml:space="preserve"> of how diet interacts with insurance type and chronic disease risk.</w:t>
      </w:r>
    </w:p>
    <w:p w14:paraId="241A461C" w14:textId="77777777" w:rsidR="00AE0DC0" w:rsidRDefault="00AE0DC0">
      <w:pPr>
        <w:rPr>
          <w:rFonts w:hint="eastAsia"/>
        </w:rPr>
      </w:pPr>
    </w:p>
    <w:sectPr w:rsidR="00AE0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16C8C"/>
    <w:multiLevelType w:val="multilevel"/>
    <w:tmpl w:val="170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54326"/>
    <w:multiLevelType w:val="multilevel"/>
    <w:tmpl w:val="748A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075544">
    <w:abstractNumId w:val="0"/>
  </w:num>
  <w:num w:numId="2" w16cid:durableId="177277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C0"/>
    <w:rsid w:val="00385CC5"/>
    <w:rsid w:val="00567827"/>
    <w:rsid w:val="0069030A"/>
    <w:rsid w:val="00691B7E"/>
    <w:rsid w:val="0086787E"/>
    <w:rsid w:val="00A3488F"/>
    <w:rsid w:val="00AE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49D1"/>
  <w15:chartTrackingRefBased/>
  <w15:docId w15:val="{36801180-1B78-D647-AA0D-D166B181F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0D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0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E0D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Yanyan Wang</dc:creator>
  <cp:keywords/>
  <dc:description/>
  <cp:lastModifiedBy>Yanyan Wang</cp:lastModifiedBy>
  <cp:revision>1</cp:revision>
  <dcterms:created xsi:type="dcterms:W3CDTF">2025-12-01T18:58:00Z</dcterms:created>
  <dcterms:modified xsi:type="dcterms:W3CDTF">2025-12-01T19:14:00Z</dcterms:modified>
</cp:coreProperties>
</file>