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13BF29">
      <w:pPr>
        <w:rPr>
          <w:rFonts w:hint="eastAsia"/>
        </w:rPr>
      </w:pPr>
      <w:r>
        <w:rPr>
          <w:rFonts w:hint="eastAsia"/>
        </w:rPr>
        <w:t>关于增值税小规模纳税人减免增值税政策的公告</w:t>
      </w:r>
    </w:p>
    <w:p w14:paraId="78A05EC0">
      <w:pPr>
        <w:rPr>
          <w:rFonts w:hint="eastAsia"/>
        </w:rPr>
      </w:pPr>
      <w:r>
        <w:rPr>
          <w:rFonts w:hint="eastAsia"/>
        </w:rPr>
        <w:t xml:space="preserve">发布日期：2023年08月02日 </w:t>
      </w:r>
    </w:p>
    <w:p w14:paraId="26540826">
      <w:pPr>
        <w:rPr>
          <w:rFonts w:hint="eastAsia"/>
        </w:rPr>
      </w:pPr>
      <w:r>
        <w:rPr>
          <w:rFonts w:hint="eastAsia"/>
        </w:rPr>
        <w:t>财政部 税务总局公告2023年第19号</w:t>
      </w:r>
    </w:p>
    <w:p w14:paraId="55C272DF">
      <w:pPr>
        <w:rPr>
          <w:rFonts w:hint="eastAsia"/>
        </w:rPr>
      </w:pPr>
    </w:p>
    <w:p w14:paraId="521C49BA">
      <w:pPr>
        <w:rPr>
          <w:rFonts w:hint="eastAsia"/>
        </w:rPr>
      </w:pPr>
      <w:r>
        <w:rPr>
          <w:rFonts w:hint="eastAsia"/>
        </w:rPr>
        <w:t xml:space="preserve">　　为进一步支持小微企业和个体工商户发展，现将延续小规模纳税人增值税减免政策公告如下： </w:t>
      </w:r>
    </w:p>
    <w:p w14:paraId="5B310223">
      <w:pPr>
        <w:rPr>
          <w:rFonts w:hint="eastAsia"/>
        </w:rPr>
      </w:pPr>
    </w:p>
    <w:p w14:paraId="5A14B88C">
      <w:pPr>
        <w:rPr>
          <w:rFonts w:hint="eastAsia"/>
        </w:rPr>
      </w:pPr>
      <w:r>
        <w:rPr>
          <w:rFonts w:hint="eastAsia"/>
        </w:rPr>
        <w:t xml:space="preserve">　　一、对月销售额10万元以下（含本数）的增值税小规模纳税人，免征增值税。 </w:t>
      </w:r>
    </w:p>
    <w:p w14:paraId="6C6E5496">
      <w:pPr>
        <w:rPr>
          <w:rFonts w:hint="eastAsia"/>
        </w:rPr>
      </w:pPr>
    </w:p>
    <w:p w14:paraId="5E0E2773">
      <w:pPr>
        <w:rPr>
          <w:rFonts w:hint="eastAsia"/>
        </w:rPr>
      </w:pPr>
      <w:r>
        <w:rPr>
          <w:rFonts w:hint="eastAsia"/>
        </w:rPr>
        <w:t xml:space="preserve">　　二、增值税小规模纳税人适用3%征收率的应税销售收入，减按1%征收率征收增值税；适用3%预征率的预缴增值税项目，减按1%预征率预缴增值税。 </w:t>
      </w:r>
    </w:p>
    <w:p w14:paraId="6118D15A">
      <w:pPr>
        <w:rPr>
          <w:rFonts w:hint="eastAsia"/>
        </w:rPr>
      </w:pPr>
    </w:p>
    <w:p w14:paraId="6D9B2C01">
      <w:pPr>
        <w:rPr>
          <w:rFonts w:hint="eastAsia"/>
        </w:rPr>
      </w:pPr>
      <w:r>
        <w:rPr>
          <w:rFonts w:hint="eastAsia"/>
        </w:rPr>
        <w:t>　　三、本公告执行至2027年12月31日。</w:t>
      </w:r>
    </w:p>
    <w:p w14:paraId="465A3305">
      <w:pPr>
        <w:rPr>
          <w:rFonts w:hint="eastAsia"/>
        </w:rPr>
      </w:pPr>
    </w:p>
    <w:p w14:paraId="567ABA14">
      <w:pPr>
        <w:rPr>
          <w:rFonts w:hint="eastAsia"/>
        </w:rPr>
      </w:pPr>
      <w:r>
        <w:rPr>
          <w:rFonts w:hint="eastAsia"/>
        </w:rPr>
        <w:t xml:space="preserve">　　特此公告。 </w:t>
      </w:r>
    </w:p>
    <w:p w14:paraId="5244106F">
      <w:pPr>
        <w:rPr>
          <w:rFonts w:hint="eastAsia"/>
        </w:rPr>
      </w:pPr>
    </w:p>
    <w:p w14:paraId="1B37D8FE">
      <w:pPr>
        <w:rPr>
          <w:rFonts w:hint="eastAsia"/>
        </w:rPr>
      </w:pPr>
      <w:r>
        <w:rPr>
          <w:rFonts w:hint="eastAsia"/>
        </w:rPr>
        <w:t>　　财政部 税务总局</w:t>
      </w:r>
    </w:p>
    <w:p w14:paraId="4098607B">
      <w:pPr>
        <w:rPr>
          <w:rFonts w:hint="eastAsia"/>
        </w:rPr>
      </w:pPr>
    </w:p>
    <w:p w14:paraId="239BB45E">
      <w:r>
        <w:rPr>
          <w:rFonts w:hint="eastAsia"/>
        </w:rPr>
        <w:t>　　2023年8月1日</w:t>
      </w:r>
    </w:p>
    <w:p w14:paraId="5C6D5CE3"/>
    <w:p w14:paraId="23EDF544"/>
    <w:p w14:paraId="3C1D8E7D"/>
    <w:p w14:paraId="428BCAF4">
      <w:pPr>
        <w:rPr>
          <w:rFonts w:hint="eastAsia"/>
        </w:rPr>
      </w:pPr>
      <w:r>
        <w:rPr>
          <w:rFonts w:hint="eastAsia"/>
        </w:rPr>
        <w:t>财政部 国家税务总局关于部分货物适用增值税低税率和简易办法征收增值税政策的通知</w:t>
      </w:r>
    </w:p>
    <w:p w14:paraId="2BAFE082">
      <w:pPr>
        <w:rPr>
          <w:rFonts w:hint="eastAsia"/>
        </w:rPr>
      </w:pPr>
      <w:r>
        <w:rPr>
          <w:rFonts w:hint="eastAsia"/>
        </w:rPr>
        <w:t>财税〔2009〕9号</w:t>
      </w:r>
    </w:p>
    <w:p w14:paraId="210B5ED5">
      <w:pPr>
        <w:rPr>
          <w:rFonts w:hint="eastAsia"/>
        </w:rPr>
      </w:pPr>
      <w:r>
        <w:rPr>
          <w:rFonts w:hint="eastAsia"/>
        </w:rPr>
        <w:t>字体：【大】【中】【小】分享到：  成文日期：2009-01-19</w:t>
      </w:r>
    </w:p>
    <w:p w14:paraId="4DA52B58">
      <w:pPr>
        <w:rPr>
          <w:rFonts w:hint="eastAsia"/>
        </w:rPr>
      </w:pPr>
      <w:r>
        <w:rPr>
          <w:rFonts w:hint="eastAsia"/>
        </w:rPr>
        <w:t>各省、自治区、直辖市、计划单列市财政厅（局）、国家税务局，新疆生产建设兵团财务局：</w:t>
      </w:r>
    </w:p>
    <w:p w14:paraId="53878E8E">
      <w:pPr>
        <w:rPr>
          <w:rFonts w:hint="eastAsia"/>
        </w:rPr>
      </w:pPr>
    </w:p>
    <w:p w14:paraId="1A54E121">
      <w:pPr>
        <w:rPr>
          <w:rFonts w:hint="eastAsia"/>
        </w:rPr>
      </w:pPr>
      <w:r>
        <w:rPr>
          <w:rFonts w:hint="eastAsia"/>
        </w:rPr>
        <w:t>　　根据《中华人民共和国增值税暂行条例》（国务院令538号，以下简称条例）和《中华人民共和国增值税暂行条例实施细则》（财政部国家税务总局令50号）的规定和国务院的有关精神，为做好相关增值税政策规定的衔接，加强征收管理，现将部分货物适用增值税税率和实行增值税简易征收办法的有关事项明确如下：</w:t>
      </w:r>
    </w:p>
    <w:p w14:paraId="22D027AA">
      <w:pPr>
        <w:rPr>
          <w:rFonts w:hint="eastAsia"/>
        </w:rPr>
      </w:pPr>
      <w:r>
        <w:rPr>
          <w:rFonts w:hint="eastAsia"/>
        </w:rPr>
        <w:t>　　一、下列货物继续适用13%的增值税税率：</w:t>
      </w:r>
    </w:p>
    <w:p w14:paraId="647A5589">
      <w:pPr>
        <w:rPr>
          <w:rFonts w:hint="eastAsia"/>
        </w:rPr>
      </w:pPr>
      <w:r>
        <w:rPr>
          <w:rFonts w:hint="eastAsia"/>
        </w:rPr>
        <w:t>　　（一）农产品。</w:t>
      </w:r>
    </w:p>
    <w:p w14:paraId="271D21AC">
      <w:pPr>
        <w:rPr>
          <w:rFonts w:hint="eastAsia"/>
        </w:rPr>
      </w:pPr>
      <w:r>
        <w:rPr>
          <w:rFonts w:hint="eastAsia"/>
        </w:rPr>
        <w:t>　　农产品，是指种植业、养殖业、林业、牧业、水产业生产的各种植物、动物的初级产品。具体征税范围暂继续按照《财政部国家税务总局关于印发〈农业产品征税范围注释〉的通知》（财税字[1995]52号）及现行相关规定执行。</w:t>
      </w:r>
    </w:p>
    <w:p w14:paraId="3535E8DF">
      <w:pPr>
        <w:rPr>
          <w:rFonts w:hint="eastAsia"/>
        </w:rPr>
      </w:pPr>
      <w:r>
        <w:rPr>
          <w:rFonts w:hint="eastAsia"/>
        </w:rPr>
        <w:t>　　（二）音像制品。</w:t>
      </w:r>
    </w:p>
    <w:p w14:paraId="1BDE20D7">
      <w:pPr>
        <w:rPr>
          <w:rFonts w:hint="eastAsia"/>
        </w:rPr>
      </w:pPr>
      <w:r>
        <w:rPr>
          <w:rFonts w:hint="eastAsia"/>
        </w:rPr>
        <w:t>　　音像制品，是指正式出版的录有内容的录音带、录像带、唱片、激光唱盘和激光视盘。</w:t>
      </w:r>
    </w:p>
    <w:p w14:paraId="7439B78F">
      <w:pPr>
        <w:rPr>
          <w:rFonts w:hint="eastAsia"/>
        </w:rPr>
      </w:pPr>
      <w:r>
        <w:rPr>
          <w:rFonts w:hint="eastAsia"/>
        </w:rPr>
        <w:t>　　（三）电子出版物。</w:t>
      </w:r>
    </w:p>
    <w:p w14:paraId="51B376FD">
      <w:pPr>
        <w:rPr>
          <w:rFonts w:hint="eastAsia"/>
        </w:rPr>
      </w:pPr>
      <w:r>
        <w:rPr>
          <w:rFonts w:hint="eastAsia"/>
        </w:rPr>
        <w:t>　　电子出版物，是指以数字代码方式，使用计算机应用程序，将图文声像等内容信息编辑加工后存储在具有确定的物理形态的磁、光、电等介质上，通过内嵌在计算机、手机、电子阅读设备、电子显示设备、数字音／视频播放设备、电子游戏机、导航仪以及其他具有类似功能的设备上读取使用，具有交互功能，用以表达思想、普及知识和积累文化的大众传播媒体。载体形态和格式主要包括只读光盘(CD只读光盘CD-ROM、交互式光盘CD-I、照片光盘Photo-CD、高密度只读光盘DVD-ROM、蓝光只读光盘 HD-DVD ROM和BD ROM)、一次写入式光盘(一次写入CD光盘 CD-R、一次写入高密度光盘DVD-R、一次写入蓝光光盘HD-DVD／R， BD-R)、可擦写光盘(可擦写CD光盘CD-RW、可擦写高密度光盘 DVD-RW、可擦写蓝光光盘HDDVD-RW和BD-RW、磁光盘M0)、软磁盘(FD)、硬磁盘(HD)、集成电路卡(CF卡、MD卡、SM卡、MMC卡、 RS-MMC卡、MS卡、SD卡、XD卡、T-F1ash卡、记忆棒)和各种存储芯片。</w:t>
      </w:r>
    </w:p>
    <w:p w14:paraId="01D800CA">
      <w:pPr>
        <w:rPr>
          <w:rFonts w:hint="eastAsia"/>
        </w:rPr>
      </w:pPr>
      <w:r>
        <w:rPr>
          <w:rFonts w:hint="eastAsia"/>
        </w:rPr>
        <w:t>　　（四）二甲醚。</w:t>
      </w:r>
    </w:p>
    <w:p w14:paraId="548F2327">
      <w:pPr>
        <w:rPr>
          <w:rFonts w:hint="eastAsia"/>
        </w:rPr>
      </w:pPr>
      <w:r>
        <w:rPr>
          <w:rFonts w:hint="eastAsia"/>
        </w:rPr>
        <w:t>　　二甲醚，是指化学分子式为CH3OCH3，常温常压下为具有轻微醚香味，易燃、无毒、无腐蚀性的气体。</w:t>
      </w:r>
    </w:p>
    <w:p w14:paraId="69382D39">
      <w:pPr>
        <w:rPr>
          <w:rFonts w:hint="eastAsia"/>
        </w:rPr>
      </w:pPr>
      <w:r>
        <w:rPr>
          <w:rFonts w:hint="eastAsia"/>
        </w:rPr>
        <w:t>　　二、下列按简易办法征收增值税的优惠政策继续执行，不得抵扣进项税额：</w:t>
      </w:r>
    </w:p>
    <w:p w14:paraId="1410D8CB">
      <w:pPr>
        <w:rPr>
          <w:rFonts w:hint="eastAsia"/>
        </w:rPr>
      </w:pPr>
      <w:r>
        <w:rPr>
          <w:rFonts w:hint="eastAsia"/>
        </w:rPr>
        <w:t>　　（一）纳税人销售自己使用过的物品，按下列政策执行：</w:t>
      </w:r>
    </w:p>
    <w:p w14:paraId="3894D4C9">
      <w:pPr>
        <w:rPr>
          <w:rFonts w:hint="eastAsia"/>
        </w:rPr>
      </w:pPr>
      <w:r>
        <w:rPr>
          <w:rFonts w:hint="eastAsia"/>
        </w:rPr>
        <w:t>　　1.一般纳税人销售自己使用过的属于条例第十条规定不得抵扣且未抵扣进项税额的固定资产，按简易办法依4%征收率减半征收增值税。</w:t>
      </w:r>
    </w:p>
    <w:p w14:paraId="459255E3">
      <w:pPr>
        <w:rPr>
          <w:rFonts w:hint="eastAsia"/>
        </w:rPr>
      </w:pPr>
      <w:r>
        <w:rPr>
          <w:rFonts w:hint="eastAsia"/>
        </w:rPr>
        <w:t>　　一般纳税人销售自己使用过的其他固定资产，按照《财政部 国家税务总局关于全国实施增值税转型改革若干问题的通知》（财税[2008]170号）第四条的规定执行。</w:t>
      </w:r>
    </w:p>
    <w:p w14:paraId="6F8EB418">
      <w:pPr>
        <w:rPr>
          <w:rFonts w:hint="eastAsia"/>
        </w:rPr>
      </w:pPr>
      <w:r>
        <w:rPr>
          <w:rFonts w:hint="eastAsia"/>
        </w:rPr>
        <w:t>　　一般纳税人销售自己使用过的除固定资产以外的物品，应当按照适用税率征收增值税。</w:t>
      </w:r>
    </w:p>
    <w:p w14:paraId="3D10A212">
      <w:pPr>
        <w:rPr>
          <w:rFonts w:hint="eastAsia"/>
        </w:rPr>
      </w:pPr>
      <w:r>
        <w:rPr>
          <w:rFonts w:hint="eastAsia"/>
        </w:rPr>
        <w:t>　　2.小规模纳税人（除其他个人外，下同）销售自己使用过的固定资产，减按2%征收率征收增值税。</w:t>
      </w:r>
    </w:p>
    <w:p w14:paraId="1EF8BEAE">
      <w:pPr>
        <w:rPr>
          <w:rFonts w:hint="eastAsia"/>
        </w:rPr>
      </w:pPr>
      <w:r>
        <w:rPr>
          <w:rFonts w:hint="eastAsia"/>
        </w:rPr>
        <w:t>　　小规模纳税人销售自己使用过的除固定资产以外的物品，应按3%的征收率征收增值税。</w:t>
      </w:r>
    </w:p>
    <w:p w14:paraId="51ED3FFA">
      <w:pPr>
        <w:rPr>
          <w:rFonts w:hint="eastAsia"/>
        </w:rPr>
      </w:pPr>
      <w:r>
        <w:rPr>
          <w:rFonts w:hint="eastAsia"/>
        </w:rPr>
        <w:t>　　（二）纳税人销售旧货，按照简易办法依照4%征收率减半征收增值税。</w:t>
      </w:r>
    </w:p>
    <w:p w14:paraId="29885506">
      <w:pPr>
        <w:rPr>
          <w:rFonts w:hint="eastAsia"/>
        </w:rPr>
      </w:pPr>
      <w:r>
        <w:rPr>
          <w:rFonts w:hint="eastAsia"/>
        </w:rPr>
        <w:t>　　所称旧货，是指进入二次流通的具有部分使用价值的货物（含旧汽车、旧摩托车和旧游艇），但不包括自己使用过的物品。</w:t>
      </w:r>
    </w:p>
    <w:p w14:paraId="4A003CEB">
      <w:pPr>
        <w:rPr>
          <w:rFonts w:hint="eastAsia"/>
        </w:rPr>
      </w:pPr>
      <w:r>
        <w:rPr>
          <w:rFonts w:hint="eastAsia"/>
        </w:rPr>
        <w:t>　　（三）一般纳税人销售自产的下列货物，可选择按照简易办法依照6%征收率计算缴纳增值税：</w:t>
      </w:r>
    </w:p>
    <w:p w14:paraId="1A3C3AB4">
      <w:pPr>
        <w:rPr>
          <w:rFonts w:hint="eastAsia"/>
        </w:rPr>
      </w:pPr>
      <w:r>
        <w:rPr>
          <w:rFonts w:hint="eastAsia"/>
        </w:rPr>
        <w:t>　　1.县级及县级以下小型水力发电单位生产的电力。小型水力发电单位，是指各类投资主体建设的装机容量为5万千瓦以下（含5万千瓦）的小型水力发电单位。</w:t>
      </w:r>
    </w:p>
    <w:p w14:paraId="2814ADB2">
      <w:pPr>
        <w:rPr>
          <w:rFonts w:hint="eastAsia"/>
        </w:rPr>
      </w:pPr>
      <w:r>
        <w:rPr>
          <w:rFonts w:hint="eastAsia"/>
        </w:rPr>
        <w:t>　　2.建筑用和生产建筑材料所用的砂、土、石料。</w:t>
      </w:r>
    </w:p>
    <w:p w14:paraId="37D552BD">
      <w:pPr>
        <w:rPr>
          <w:rFonts w:hint="eastAsia"/>
        </w:rPr>
      </w:pPr>
      <w:r>
        <w:rPr>
          <w:rFonts w:hint="eastAsia"/>
        </w:rPr>
        <w:t>　　3.以自己采掘的砂、土、石料或其他矿物连续生产的砖、瓦、石灰（不含粘土实心砖、瓦）。</w:t>
      </w:r>
    </w:p>
    <w:p w14:paraId="6A8D18EE">
      <w:pPr>
        <w:rPr>
          <w:rFonts w:hint="eastAsia"/>
        </w:rPr>
      </w:pPr>
      <w:r>
        <w:rPr>
          <w:rFonts w:hint="eastAsia"/>
        </w:rPr>
        <w:t>　　4.用微生物、微生物代谢产物、动物毒素、人或动物的血液或组织制成的生物制品。</w:t>
      </w:r>
    </w:p>
    <w:p w14:paraId="132B1841">
      <w:pPr>
        <w:rPr>
          <w:rFonts w:hint="eastAsia"/>
        </w:rPr>
      </w:pPr>
      <w:r>
        <w:rPr>
          <w:rFonts w:hint="eastAsia"/>
        </w:rPr>
        <w:t>　　5.自来水。</w:t>
      </w:r>
    </w:p>
    <w:p w14:paraId="09EEA152">
      <w:pPr>
        <w:rPr>
          <w:rFonts w:hint="eastAsia"/>
        </w:rPr>
      </w:pPr>
      <w:r>
        <w:rPr>
          <w:rFonts w:hint="eastAsia"/>
        </w:rPr>
        <w:t>　　6.商品混凝土（仅限于以水泥为原料生产的水泥混凝土）。</w:t>
      </w:r>
    </w:p>
    <w:p w14:paraId="1F8A6F34">
      <w:pPr>
        <w:rPr>
          <w:rFonts w:hint="eastAsia"/>
        </w:rPr>
      </w:pPr>
      <w:r>
        <w:rPr>
          <w:rFonts w:hint="eastAsia"/>
        </w:rPr>
        <w:t>　　一般纳税人选择简易办法计算缴纳增值税后，36个月内不得变更。</w:t>
      </w:r>
    </w:p>
    <w:p w14:paraId="4FDD4941">
      <w:pPr>
        <w:rPr>
          <w:rFonts w:hint="eastAsia"/>
        </w:rPr>
      </w:pPr>
      <w:r>
        <w:rPr>
          <w:rFonts w:hint="eastAsia"/>
        </w:rPr>
        <w:t>　　（四）一般纳税人销售货物属于下列情形之一的，暂按简易办法依照4%征收率计算缴纳增值税：</w:t>
      </w:r>
    </w:p>
    <w:p w14:paraId="08E82415">
      <w:pPr>
        <w:rPr>
          <w:rFonts w:hint="eastAsia"/>
        </w:rPr>
      </w:pPr>
      <w:r>
        <w:rPr>
          <w:rFonts w:hint="eastAsia"/>
        </w:rPr>
        <w:t>　　1.寄售商店代销寄售物品（包括居民个人寄售的物品在内）；</w:t>
      </w:r>
    </w:p>
    <w:p w14:paraId="3F34F19B">
      <w:pPr>
        <w:rPr>
          <w:rFonts w:hint="eastAsia"/>
        </w:rPr>
      </w:pPr>
      <w:r>
        <w:rPr>
          <w:rFonts w:hint="eastAsia"/>
        </w:rPr>
        <w:t>　　2.典当业销售死当物品；</w:t>
      </w:r>
    </w:p>
    <w:p w14:paraId="5E2C87B4">
      <w:pPr>
        <w:rPr>
          <w:rFonts w:hint="eastAsia"/>
        </w:rPr>
      </w:pPr>
      <w:r>
        <w:rPr>
          <w:rFonts w:hint="eastAsia"/>
        </w:rPr>
        <w:t>　　3.经国务院或国务院授权机关批准的免税商店零售的免税品。</w:t>
      </w:r>
    </w:p>
    <w:p w14:paraId="1CE6CEDA">
      <w:pPr>
        <w:rPr>
          <w:rFonts w:hint="eastAsia"/>
        </w:rPr>
      </w:pPr>
      <w:r>
        <w:rPr>
          <w:rFonts w:hint="eastAsia"/>
        </w:rPr>
        <w:t>　　三、对属于一般纳税人的自来水公司销售自来水按简易办法依照6%征收率征收增值税，不得抵扣其购进自来水取得增值税扣税凭证上注明的增值税税款。</w:t>
      </w:r>
    </w:p>
    <w:p w14:paraId="4C157E18">
      <w:pPr>
        <w:rPr>
          <w:rFonts w:hint="eastAsia"/>
        </w:rPr>
      </w:pPr>
      <w:r>
        <w:rPr>
          <w:rFonts w:hint="eastAsia"/>
        </w:rPr>
        <w:t>　　四、本通知自2009年1月1日起执行。《财政部国家税务总局关于调整农业产品增值税税率和若干项目征免增值税的通知》[财税字（94）004号]、《财政部 国家税务总局关于自来水征收增值税问题的通知》[（94）财税字第014号]、《财政部 国家税务总局关于增值税、营业税若干政策规定的通知》[（94）财税字第026号]第九条和第十条、《国家税务总局关于印发〈增值税问题解答（之一）〉的通知》（国税函发[1995]288号）附件第十条、《国家税务总局关于调整部分按简易办法征收增值税的特定货物销售行为征收率的通知》（国税发[1998]122号）、《国家税务总局关于县以下小水电电力产品增值税征税问题的批复》（国税函[1998]843号）、《国家税务总局关于商品混凝土实行简易办法征收增值税问题的通知》（国税发[2000]37号）、《财政部 国家税务总局关于旧货和旧机动车增值税政策的通知》（财税[2002]29号）、《国家税务总局关于自来水行业增值税政策问题的通知》（国税发[2002]56号）、《财政部 国家税务总局关于宣传文化增值税和营业税优惠政策的通知》（财税[2006]153号）第一条、《国家税务总局关于明确县以下小型水力发电单位具体标准的批复》（国税函[2006]47号）、《国家税务总局关于商品混凝土征收增值税有关问题的通知》（国税函[2007]599号）、《财政部国家税务总局关于二甲醚增值税适用税率问题的通知》（财税[2008]72号）同时废止。</w:t>
      </w:r>
    </w:p>
    <w:p w14:paraId="3B0A8548">
      <w:pPr>
        <w:rPr>
          <w:rFonts w:hint="eastAsia"/>
        </w:rPr>
      </w:pPr>
    </w:p>
    <w:p w14:paraId="312A5B16">
      <w:pPr>
        <w:rPr>
          <w:rFonts w:hint="eastAsia"/>
        </w:rPr>
      </w:pPr>
    </w:p>
    <w:p w14:paraId="15F32315">
      <w:pPr>
        <w:rPr>
          <w:rFonts w:hint="eastAsia"/>
        </w:rPr>
      </w:pPr>
      <w:r>
        <w:rPr>
          <w:rFonts w:hint="eastAsia"/>
        </w:rPr>
        <w:t>　　 </w:t>
      </w:r>
    </w:p>
    <w:p w14:paraId="03E38AC5">
      <w:pPr>
        <w:rPr>
          <w:rFonts w:hint="eastAsia"/>
        </w:rPr>
      </w:pPr>
      <w:r>
        <w:rPr>
          <w:rFonts w:hint="eastAsia"/>
        </w:rPr>
        <w:t>财政部 国家税务总局</w:t>
      </w:r>
    </w:p>
    <w:p w14:paraId="5C52A679">
      <w:r>
        <w:rPr>
          <w:rFonts w:hint="eastAsia"/>
        </w:rPr>
        <w:t>二〇〇九年一月十九日</w:t>
      </w:r>
    </w:p>
    <w:p w14:paraId="5D64E5DB"/>
    <w:p w14:paraId="7906349F"/>
    <w:p w14:paraId="446F3217"/>
    <w:p w14:paraId="235C5548">
      <w:pPr>
        <w:rPr>
          <w:rFonts w:hint="eastAsia"/>
        </w:rPr>
      </w:pPr>
      <w:r>
        <w:rPr>
          <w:rFonts w:hint="eastAsia"/>
        </w:rPr>
        <w:t>财政部 国家税务总局关于进一步明确全面推开营改增试点有关劳务派遣服务、收费公路通行费抵扣等政策的通知</w:t>
      </w:r>
    </w:p>
    <w:p w14:paraId="35107F88">
      <w:pPr>
        <w:rPr>
          <w:rFonts w:hint="eastAsia"/>
        </w:rPr>
      </w:pPr>
      <w:r>
        <w:rPr>
          <w:rFonts w:hint="eastAsia"/>
        </w:rPr>
        <w:t>财税〔2016〕47号</w:t>
      </w:r>
    </w:p>
    <w:p w14:paraId="3A9A1FE1">
      <w:pPr>
        <w:rPr>
          <w:rFonts w:hint="eastAsia"/>
        </w:rPr>
      </w:pPr>
      <w:r>
        <w:rPr>
          <w:rFonts w:hint="eastAsia"/>
        </w:rPr>
        <w:t>字体：【大】【中】【小】分享到：  成文日期：2016-04-30</w:t>
      </w:r>
    </w:p>
    <w:p w14:paraId="5757FB84">
      <w:pPr>
        <w:rPr>
          <w:rFonts w:hint="eastAsia"/>
        </w:rPr>
      </w:pPr>
      <w:r>
        <w:rPr>
          <w:rFonts w:hint="eastAsia"/>
        </w:rPr>
        <w:t>各省、自治区、直辖市、计划单列市财政厅（局）、国家税务局、地方税务局，新疆生产建设兵团财务局：</w:t>
      </w:r>
    </w:p>
    <w:p w14:paraId="36AA0D8E">
      <w:pPr>
        <w:rPr>
          <w:rFonts w:hint="eastAsia"/>
        </w:rPr>
      </w:pPr>
      <w:r>
        <w:rPr>
          <w:rFonts w:hint="eastAsia"/>
        </w:rPr>
        <w:t>　　经研究，现将营改增试点期间劳务派遣服务等政策补充通知如下：</w:t>
      </w:r>
    </w:p>
    <w:p w14:paraId="352823C3">
      <w:pPr>
        <w:rPr>
          <w:rFonts w:hint="eastAsia"/>
        </w:rPr>
      </w:pPr>
      <w:r>
        <w:rPr>
          <w:rFonts w:hint="eastAsia"/>
        </w:rPr>
        <w:t>　　一、劳务派遣服务政策</w:t>
      </w:r>
    </w:p>
    <w:p w14:paraId="31F0AEA1">
      <w:pPr>
        <w:rPr>
          <w:rFonts w:hint="eastAsia"/>
        </w:rPr>
      </w:pPr>
      <w:r>
        <w:rPr>
          <w:rFonts w:hint="eastAsia"/>
        </w:rPr>
        <w:t>　　一般纳税人提供劳务派遣服务，可以按照《财政部 国家税务总局关于全面推开营业税改征增值税试点的通知》（财税〔2016〕36号）的有关规定，以取得的全部价款和价外费用为销售额，按照一般计税方法计算缴纳增值税；也可以选择差额纳税，以取得的全部价款和价外费用，扣除代用工单位支付给劳务派遣员工的工资、福利和为其办理社会保险及住房公积金后的余额为销售额，按照简易计税方法依5%的征收率计算缴纳增值税。</w:t>
      </w:r>
    </w:p>
    <w:p w14:paraId="3F679F79">
      <w:pPr>
        <w:rPr>
          <w:rFonts w:hint="eastAsia"/>
        </w:rPr>
      </w:pPr>
      <w:r>
        <w:rPr>
          <w:rFonts w:hint="eastAsia"/>
        </w:rPr>
        <w:t>　　小规模纳税人提供劳务派遣服务，可以按照《财政部 国家税务总局关于全面推开营业税改征增值税试点的通知》（财税〔2016〕36号）的有关规定，以取得的全部价款和价外费用为销售额，按照简易计税方法依3%的征收率计算缴纳增值税；也可以选择差额纳税，以取得的全部价款和价外费用，扣除代用工单位支付给劳务派遣员工的工资、福利和为其办理社会保险及住房公积金后的余额为销售额，按照简易计税方法依5%的征收率计算缴纳增值税。</w:t>
      </w:r>
    </w:p>
    <w:p w14:paraId="78E31EC5">
      <w:pPr>
        <w:rPr>
          <w:rFonts w:hint="eastAsia"/>
        </w:rPr>
      </w:pPr>
      <w:r>
        <w:rPr>
          <w:rFonts w:hint="eastAsia"/>
        </w:rPr>
        <w:t>　　选择差额纳税的纳税人，向用工单位收取用于支付给劳务派遣员工工资、福利和为其办理社会保险及住房公积金的费用，不得开具增值税专用发票，可以开具普通发票。</w:t>
      </w:r>
    </w:p>
    <w:p w14:paraId="5AA6D6DC">
      <w:pPr>
        <w:rPr>
          <w:rFonts w:hint="eastAsia"/>
        </w:rPr>
      </w:pPr>
      <w:r>
        <w:rPr>
          <w:rFonts w:hint="eastAsia"/>
        </w:rPr>
        <w:t>　　劳务派遣服务，是指劳务派遣公司为了满足用工单位对于各类灵活用工的需求，将员工派遣至用工单位，接受用工单位管理并为其工作的服务。</w:t>
      </w:r>
    </w:p>
    <w:p w14:paraId="3BE7A0F3">
      <w:pPr>
        <w:rPr>
          <w:rFonts w:hint="eastAsia"/>
        </w:rPr>
      </w:pPr>
      <w:r>
        <w:rPr>
          <w:rFonts w:hint="eastAsia"/>
        </w:rPr>
        <w:t>　　二、收费公路通行费抵扣及征收政策</w:t>
      </w:r>
    </w:p>
    <w:p w14:paraId="73CCB233">
      <w:pPr>
        <w:rPr>
          <w:rFonts w:hint="eastAsia"/>
        </w:rPr>
      </w:pPr>
      <w:r>
        <w:rPr>
          <w:rFonts w:hint="eastAsia"/>
        </w:rPr>
        <w:t>　　（一）2016年5月1日至7月31日，一般纳税人支付的道路、桥、闸通行费，暂凭取得的通行费发票（不含财政票据，下同）上注明的收费金额按照下列公式计算可抵扣的进项税额：</w:t>
      </w:r>
    </w:p>
    <w:p w14:paraId="3D552255">
      <w:pPr>
        <w:rPr>
          <w:rFonts w:hint="eastAsia"/>
        </w:rPr>
      </w:pPr>
      <w:r>
        <w:rPr>
          <w:rFonts w:hint="eastAsia"/>
        </w:rPr>
        <w:t>　　高速公路通行费可抵扣进项税额=高速公路通行费发票上注明的金额÷（1+3%）×3%</w:t>
      </w:r>
    </w:p>
    <w:p w14:paraId="0D0579F4">
      <w:pPr>
        <w:rPr>
          <w:rFonts w:hint="eastAsia"/>
        </w:rPr>
      </w:pPr>
      <w:r>
        <w:rPr>
          <w:rFonts w:hint="eastAsia"/>
        </w:rPr>
        <w:t>　　一级公路、二级公路、桥、闸通行费可抵扣进项税额=一级公路、二级公路、桥、闸通行费发票上注明的金额÷（1+5%）×5%</w:t>
      </w:r>
    </w:p>
    <w:p w14:paraId="02735DB0">
      <w:pPr>
        <w:rPr>
          <w:rFonts w:hint="eastAsia"/>
        </w:rPr>
      </w:pPr>
      <w:r>
        <w:rPr>
          <w:rFonts w:hint="eastAsia"/>
        </w:rPr>
        <w:t>　　通行费，是指有关单位依法或者依规设立并收取的过路、过桥和过闸费用。</w:t>
      </w:r>
    </w:p>
    <w:p w14:paraId="458D32C7">
      <w:pPr>
        <w:rPr>
          <w:rFonts w:hint="eastAsia"/>
        </w:rPr>
      </w:pPr>
      <w:r>
        <w:rPr>
          <w:rFonts w:hint="eastAsia"/>
        </w:rPr>
        <w:t>　　（二）一般纳税人收取试点前开工的一级公路、二级公路、桥、闸通行费，可以选择适用简易计税方法，按照5%的征收率计算缴纳增值税。</w:t>
      </w:r>
    </w:p>
    <w:p w14:paraId="0A68CEA4">
      <w:pPr>
        <w:rPr>
          <w:rFonts w:hint="eastAsia"/>
        </w:rPr>
      </w:pPr>
      <w:r>
        <w:rPr>
          <w:rFonts w:hint="eastAsia"/>
        </w:rPr>
        <w:t>　　试点前开工，是指相关施工许可证注明的合同开工日期在2016年4月30日前。</w:t>
      </w:r>
    </w:p>
    <w:p w14:paraId="3D74D9F7">
      <w:pPr>
        <w:rPr>
          <w:rFonts w:hint="eastAsia"/>
        </w:rPr>
      </w:pPr>
      <w:r>
        <w:rPr>
          <w:rFonts w:hint="eastAsia"/>
        </w:rPr>
        <w:t>　　三、其他政策</w:t>
      </w:r>
    </w:p>
    <w:p w14:paraId="43A0D2B6">
      <w:pPr>
        <w:rPr>
          <w:rFonts w:hint="eastAsia"/>
        </w:rPr>
      </w:pPr>
      <w:r>
        <w:rPr>
          <w:rFonts w:hint="eastAsia"/>
        </w:rPr>
        <w:t>　　（一）纳税人提供人力资源外包服务，按照经纪代理服务缴纳增值税，其销售额不包括受客户单位委托代为向客户单位员工发放的工资和代理缴纳的社会保险、住房公积金。向委托方收取并代为发放的工资和代理缴纳的社会保险、住房公积金，不得开具增值税专用发票，可以开具普通发票。</w:t>
      </w:r>
    </w:p>
    <w:p w14:paraId="4E2E9F0C">
      <w:pPr>
        <w:rPr>
          <w:rFonts w:hint="eastAsia"/>
        </w:rPr>
      </w:pPr>
      <w:r>
        <w:rPr>
          <w:rFonts w:hint="eastAsia"/>
        </w:rPr>
        <w:t>　　一般纳税人提供人力资源外包服务，可以选择适用简易计税方法，按照5%的征收率计算缴纳增值税。</w:t>
      </w:r>
    </w:p>
    <w:p w14:paraId="7F023513">
      <w:pPr>
        <w:rPr>
          <w:rFonts w:hint="eastAsia"/>
        </w:rPr>
      </w:pPr>
      <w:r>
        <w:rPr>
          <w:rFonts w:hint="eastAsia"/>
        </w:rPr>
        <w:t>　　（二）纳税人以经营租赁方式将土地出租给他人使用，按照不动产经营租赁服务缴纳增值税。</w:t>
      </w:r>
    </w:p>
    <w:p w14:paraId="3B418FB6">
      <w:pPr>
        <w:rPr>
          <w:rFonts w:hint="eastAsia"/>
        </w:rPr>
      </w:pPr>
      <w:r>
        <w:rPr>
          <w:rFonts w:hint="eastAsia"/>
        </w:rPr>
        <w:t>　　纳税人转让2016年4月30日前取得的土地使用权，可以选择适用简易计税方法，以取得的全部价款和价外费用减去取得该土地使用权的原价后的余额为销售额，按照5%的征收率计算缴纳增值税。</w:t>
      </w:r>
    </w:p>
    <w:p w14:paraId="0C8B4875">
      <w:pPr>
        <w:rPr>
          <w:rFonts w:hint="eastAsia"/>
        </w:rPr>
      </w:pPr>
      <w:r>
        <w:rPr>
          <w:rFonts w:hint="eastAsia"/>
        </w:rPr>
        <w:t>　　（三）一般纳税人2016年4月30日前签订的不动产融资租赁合同，或以2016年4月30日前取得的不动产提供的融资租赁服务，可以选择适用简易计税方法，按照5%的征收率计算缴纳增值税。</w:t>
      </w:r>
    </w:p>
    <w:p w14:paraId="211EAAB4">
      <w:pPr>
        <w:rPr>
          <w:rFonts w:hint="eastAsia"/>
        </w:rPr>
      </w:pPr>
      <w:r>
        <w:rPr>
          <w:rFonts w:hint="eastAsia"/>
        </w:rPr>
        <w:t>　　（四）一般纳税人提供管道运输服务和有形动产融资租赁服务，按照《营业税改征增值税试点过渡政策的规定》（财税〔2013〕106号）第二条有关规定适用的增值税实际税负超过3%部分即征即退政策，在2016年1月1日至4月30日期间继续执行。</w:t>
      </w:r>
    </w:p>
    <w:p w14:paraId="0514050D">
      <w:pPr>
        <w:rPr>
          <w:rFonts w:hint="eastAsia"/>
        </w:rPr>
      </w:pPr>
      <w:r>
        <w:rPr>
          <w:rFonts w:hint="eastAsia"/>
        </w:rPr>
        <w:t>　　四、本通知规定的内容，除另有规定执行时间外，自2016年5月1日起执行。</w:t>
      </w:r>
    </w:p>
    <w:p w14:paraId="366A13D3">
      <w:pPr>
        <w:rPr>
          <w:rFonts w:hint="eastAsia"/>
        </w:rPr>
      </w:pPr>
      <w:r>
        <w:rPr>
          <w:rFonts w:hint="eastAsia"/>
        </w:rPr>
        <w:t> </w:t>
      </w:r>
    </w:p>
    <w:p w14:paraId="1FD00DA7">
      <w:pPr>
        <w:rPr>
          <w:rFonts w:hint="eastAsia"/>
        </w:rPr>
      </w:pPr>
    </w:p>
    <w:p w14:paraId="06224800">
      <w:pPr>
        <w:rPr>
          <w:rFonts w:hint="eastAsia"/>
        </w:rPr>
      </w:pPr>
      <w:r>
        <w:rPr>
          <w:rFonts w:hint="eastAsia"/>
        </w:rPr>
        <w:t>财政部 国家税务总局</w:t>
      </w:r>
    </w:p>
    <w:p w14:paraId="6AEAD9CB">
      <w:r>
        <w:rPr>
          <w:rFonts w:hint="eastAsia"/>
        </w:rPr>
        <w:t>2016年4月30日</w:t>
      </w:r>
    </w:p>
    <w:p w14:paraId="27FBAED8"/>
    <w:p w14:paraId="17CFC84C"/>
    <w:p w14:paraId="6C160BF4"/>
    <w:p w14:paraId="327461CD">
      <w:pPr>
        <w:rPr>
          <w:rFonts w:hint="eastAsia"/>
        </w:rPr>
      </w:pPr>
      <w:r>
        <w:rPr>
          <w:rFonts w:hint="eastAsia"/>
        </w:rPr>
        <w:t>财政部 国家税务总局关于软件产品增值税政策的通知</w:t>
      </w:r>
    </w:p>
    <w:p w14:paraId="6662026B">
      <w:pPr>
        <w:rPr>
          <w:rFonts w:hint="eastAsia"/>
        </w:rPr>
      </w:pPr>
      <w:r>
        <w:rPr>
          <w:rFonts w:hint="eastAsia"/>
        </w:rPr>
        <w:t>财税〔2011〕100号</w:t>
      </w:r>
    </w:p>
    <w:p w14:paraId="123F83BB">
      <w:pPr>
        <w:rPr>
          <w:rFonts w:hint="eastAsia"/>
        </w:rPr>
      </w:pPr>
      <w:r>
        <w:rPr>
          <w:rFonts w:hint="eastAsia"/>
        </w:rPr>
        <w:t>字体：【大】【中】【小】分享到：  成文日期：2011-10-13</w:t>
      </w:r>
    </w:p>
    <w:p w14:paraId="3BDFA8B3">
      <w:pPr>
        <w:rPr>
          <w:rFonts w:hint="eastAsia"/>
        </w:rPr>
      </w:pPr>
      <w:r>
        <w:rPr>
          <w:rFonts w:hint="eastAsia"/>
        </w:rPr>
        <w:t> </w:t>
      </w:r>
    </w:p>
    <w:p w14:paraId="425852B0">
      <w:pPr>
        <w:rPr>
          <w:rFonts w:hint="eastAsia"/>
        </w:rPr>
      </w:pPr>
      <w:r>
        <w:rPr>
          <w:rFonts w:hint="eastAsia"/>
        </w:rPr>
        <w:t>各省、自治区、直辖市、计划单列市财政厅（局）、国家税务局、地方税务局，新疆生产建设兵团财务局：</w:t>
      </w:r>
    </w:p>
    <w:p w14:paraId="37C9CE55">
      <w:pPr>
        <w:rPr>
          <w:rFonts w:hint="eastAsia"/>
        </w:rPr>
      </w:pPr>
      <w:r>
        <w:rPr>
          <w:rFonts w:hint="eastAsia"/>
        </w:rPr>
        <w:t>　　为落实《国务院关于印发进一步鼓励软件产业和集成电路产业发展若干政策的通知》（国发[2011]4号）的有关精神，进一步促进软件产业发展，推动我国信息化建设，现将软件产品增值税政策通知如下：</w:t>
      </w:r>
    </w:p>
    <w:p w14:paraId="23E6BDD6">
      <w:pPr>
        <w:rPr>
          <w:rFonts w:hint="eastAsia"/>
        </w:rPr>
      </w:pPr>
      <w:r>
        <w:rPr>
          <w:rFonts w:hint="eastAsia"/>
        </w:rPr>
        <w:t>　　一、 软件产品增值税政策</w:t>
      </w:r>
    </w:p>
    <w:p w14:paraId="1230D3CE">
      <w:pPr>
        <w:rPr>
          <w:rFonts w:hint="eastAsia"/>
        </w:rPr>
      </w:pPr>
      <w:r>
        <w:rPr>
          <w:rFonts w:hint="eastAsia"/>
        </w:rPr>
        <w:t>　　（一）增值税一般纳税人销售其自行开发生产的软件产品，按17%税率征收增值税后，对其增值税实际税负超过3%的部分实行即征即退政策。</w:t>
      </w:r>
    </w:p>
    <w:p w14:paraId="707DF91B">
      <w:pPr>
        <w:rPr>
          <w:rFonts w:hint="eastAsia"/>
        </w:rPr>
      </w:pPr>
      <w:r>
        <w:rPr>
          <w:rFonts w:hint="eastAsia"/>
        </w:rPr>
        <w:t>　　（二）增值税一般纳税人将进口软件产品进行本地化改造后对外销售，其销售的软件产品可享受本条第一款规定的增值税即征即退政策。</w:t>
      </w:r>
    </w:p>
    <w:p w14:paraId="5AD3AE04">
      <w:pPr>
        <w:rPr>
          <w:rFonts w:hint="eastAsia"/>
        </w:rPr>
      </w:pPr>
      <w:r>
        <w:rPr>
          <w:rFonts w:hint="eastAsia"/>
        </w:rPr>
        <w:t>　　本地化改造是指对进口软件产品进行重新设计、改进、转换等，单纯对进口软件产品进行汉字化处理不包括在内。</w:t>
      </w:r>
    </w:p>
    <w:p w14:paraId="458054EC">
      <w:pPr>
        <w:rPr>
          <w:rFonts w:hint="eastAsia"/>
        </w:rPr>
      </w:pPr>
      <w:r>
        <w:rPr>
          <w:rFonts w:hint="eastAsia"/>
        </w:rPr>
        <w:t>　　（三）纳税人受托开发软件产品，著作权属于受托方的征收增值税，著作权属于委托方或属于双方共同拥有的不征收增值税；对经过国家版权局注册登记，纳税人在销售时一并转让著作权、所有权的，不征收增值税。</w:t>
      </w:r>
    </w:p>
    <w:p w14:paraId="383AB3F2">
      <w:pPr>
        <w:rPr>
          <w:rFonts w:hint="eastAsia"/>
        </w:rPr>
      </w:pPr>
      <w:r>
        <w:rPr>
          <w:rFonts w:hint="eastAsia"/>
        </w:rPr>
        <w:t>　　二、软件产品界定及分类</w:t>
      </w:r>
    </w:p>
    <w:p w14:paraId="6F10ADAD">
      <w:pPr>
        <w:rPr>
          <w:rFonts w:hint="eastAsia"/>
        </w:rPr>
      </w:pPr>
      <w:r>
        <w:rPr>
          <w:rFonts w:hint="eastAsia"/>
        </w:rPr>
        <w:t>　　本通知所称软件产品，是指信息处理程序及相关文档和数据。软件产品包括计算机软件产品、信息系统和嵌入式软件产品。嵌入式软件产品是指嵌入在计算机硬件、机器设备中并随其一并销售，构成计算机硬件、机器设备组成部分的软件产品。</w:t>
      </w:r>
    </w:p>
    <w:p w14:paraId="398EF5CB">
      <w:pPr>
        <w:rPr>
          <w:rFonts w:hint="eastAsia"/>
        </w:rPr>
      </w:pPr>
      <w:r>
        <w:rPr>
          <w:rFonts w:hint="eastAsia"/>
        </w:rPr>
        <w:t>　　三、满足下列条件的软件产品，经主管税务机关审核批准，可以享受本通知规定的增值税政策：</w:t>
      </w:r>
    </w:p>
    <w:p w14:paraId="05EAB29E">
      <w:pPr>
        <w:rPr>
          <w:rFonts w:hint="eastAsia"/>
        </w:rPr>
      </w:pPr>
      <w:r>
        <w:rPr>
          <w:rFonts w:hint="eastAsia"/>
        </w:rPr>
        <w:t>　　1．取得省级软件产业主管部门认可的软件检测机构出具的检测证明材料；</w:t>
      </w:r>
    </w:p>
    <w:p w14:paraId="6A2566D5">
      <w:pPr>
        <w:rPr>
          <w:rFonts w:hint="eastAsia"/>
        </w:rPr>
      </w:pPr>
      <w:r>
        <w:rPr>
          <w:rFonts w:hint="eastAsia"/>
        </w:rPr>
        <w:t>　　2．取得软件产业主管部门颁发的《软件产品登记证书》或著作权行政管理部门颁发的《计算机软件著作权登记证书》。</w:t>
      </w:r>
    </w:p>
    <w:p w14:paraId="08969E0C">
      <w:pPr>
        <w:rPr>
          <w:rFonts w:hint="eastAsia"/>
        </w:rPr>
      </w:pPr>
      <w:r>
        <w:rPr>
          <w:rFonts w:hint="eastAsia"/>
        </w:rPr>
        <w:t>　　四、软件产品增值税即征即退税额的计算</w:t>
      </w:r>
    </w:p>
    <w:p w14:paraId="70B3B5C7">
      <w:pPr>
        <w:rPr>
          <w:rFonts w:hint="eastAsia"/>
        </w:rPr>
      </w:pPr>
      <w:r>
        <w:rPr>
          <w:rFonts w:hint="eastAsia"/>
        </w:rPr>
        <w:t>　　（一）软件产品增值税即征即退税额的计算方法：</w:t>
      </w:r>
    </w:p>
    <w:p w14:paraId="13FF4AD7">
      <w:pPr>
        <w:rPr>
          <w:rFonts w:hint="eastAsia"/>
        </w:rPr>
      </w:pPr>
      <w:r>
        <w:rPr>
          <w:rFonts w:hint="eastAsia"/>
        </w:rPr>
        <w:t>　　即征即退税额=当期软件产品增值税应纳税额-当期软件产品销售额×3%</w:t>
      </w:r>
    </w:p>
    <w:p w14:paraId="0877A513">
      <w:pPr>
        <w:rPr>
          <w:rFonts w:hint="eastAsia"/>
        </w:rPr>
      </w:pPr>
      <w:r>
        <w:rPr>
          <w:rFonts w:hint="eastAsia"/>
        </w:rPr>
        <w:t>　　当期软件产品增值税应纳税额=当期软件产品销项税额-当期软件产品可抵扣进项税额</w:t>
      </w:r>
    </w:p>
    <w:p w14:paraId="115529DA">
      <w:pPr>
        <w:rPr>
          <w:rFonts w:hint="eastAsia"/>
        </w:rPr>
      </w:pPr>
      <w:r>
        <w:rPr>
          <w:rFonts w:hint="eastAsia"/>
        </w:rPr>
        <w:t>　　当期软件产品销项税额=当期软件产品销售额×17%</w:t>
      </w:r>
    </w:p>
    <w:p w14:paraId="2B72FE1C">
      <w:pPr>
        <w:rPr>
          <w:rFonts w:hint="eastAsia"/>
        </w:rPr>
      </w:pPr>
      <w:r>
        <w:rPr>
          <w:rFonts w:hint="eastAsia"/>
        </w:rPr>
        <w:t>　　（二）嵌入式软件产品增值税即征即退税额的计算：</w:t>
      </w:r>
    </w:p>
    <w:p w14:paraId="549A9792">
      <w:pPr>
        <w:rPr>
          <w:rFonts w:hint="eastAsia"/>
        </w:rPr>
      </w:pPr>
      <w:r>
        <w:rPr>
          <w:rFonts w:hint="eastAsia"/>
        </w:rPr>
        <w:t>　　1．嵌入式软件产品增值税即征即退税额的计算方法</w:t>
      </w:r>
    </w:p>
    <w:p w14:paraId="7EA0EFD5">
      <w:pPr>
        <w:rPr>
          <w:rFonts w:hint="eastAsia"/>
        </w:rPr>
      </w:pPr>
      <w:r>
        <w:rPr>
          <w:rFonts w:hint="eastAsia"/>
        </w:rPr>
        <w:t>　　即征即退税额=当期嵌入式软件产品增值税应纳税额-当期嵌入式软件产品销售额×3%</w:t>
      </w:r>
    </w:p>
    <w:p w14:paraId="4210170C">
      <w:pPr>
        <w:rPr>
          <w:rFonts w:hint="eastAsia"/>
        </w:rPr>
      </w:pPr>
      <w:r>
        <w:rPr>
          <w:rFonts w:hint="eastAsia"/>
        </w:rPr>
        <w:t>　　当期嵌入式软件产品增值税应纳税额=当期嵌入式软件产品销项税额-当期嵌入式软件产品可抵扣进项税额</w:t>
      </w:r>
    </w:p>
    <w:p w14:paraId="657744B4">
      <w:pPr>
        <w:rPr>
          <w:rFonts w:hint="eastAsia"/>
        </w:rPr>
      </w:pPr>
      <w:r>
        <w:rPr>
          <w:rFonts w:hint="eastAsia"/>
        </w:rPr>
        <w:t>　　当期嵌入式软件产品销项税额=当期嵌入式软件产品销售额×17%</w:t>
      </w:r>
    </w:p>
    <w:p w14:paraId="7C9131E7">
      <w:pPr>
        <w:rPr>
          <w:rFonts w:hint="eastAsia"/>
        </w:rPr>
      </w:pPr>
      <w:r>
        <w:rPr>
          <w:rFonts w:hint="eastAsia"/>
        </w:rPr>
        <w:t>　　2．当期嵌入式软件产品销售额的计算公式</w:t>
      </w:r>
    </w:p>
    <w:p w14:paraId="4B896D07">
      <w:pPr>
        <w:rPr>
          <w:rFonts w:hint="eastAsia"/>
        </w:rPr>
      </w:pPr>
      <w:r>
        <w:rPr>
          <w:rFonts w:hint="eastAsia"/>
        </w:rPr>
        <w:t>　　当期嵌入式软件产品销售额=当期嵌入式软件产品与计算机硬件、机器设备销售额合计-当期计算机硬件、机器设备销售额</w:t>
      </w:r>
    </w:p>
    <w:p w14:paraId="1212E528">
      <w:pPr>
        <w:rPr>
          <w:rFonts w:hint="eastAsia"/>
        </w:rPr>
      </w:pPr>
      <w:r>
        <w:rPr>
          <w:rFonts w:hint="eastAsia"/>
        </w:rPr>
        <w:t>　　计算机硬件、机器设备销售额按照下列顺序确定：</w:t>
      </w:r>
    </w:p>
    <w:p w14:paraId="49B0E62D">
      <w:pPr>
        <w:rPr>
          <w:rFonts w:hint="eastAsia"/>
        </w:rPr>
      </w:pPr>
      <w:r>
        <w:rPr>
          <w:rFonts w:hint="eastAsia"/>
        </w:rPr>
        <w:t>　　①按纳税人最近同期同类货物的平均销售价格计算确定；</w:t>
      </w:r>
    </w:p>
    <w:p w14:paraId="08DE2930">
      <w:pPr>
        <w:rPr>
          <w:rFonts w:hint="eastAsia"/>
        </w:rPr>
      </w:pPr>
      <w:r>
        <w:rPr>
          <w:rFonts w:hint="eastAsia"/>
        </w:rPr>
        <w:t>　　②按其他纳税人最近同期同类货物的平均销售价格计算确定；</w:t>
      </w:r>
    </w:p>
    <w:p w14:paraId="5140B5F0">
      <w:pPr>
        <w:rPr>
          <w:rFonts w:hint="eastAsia"/>
        </w:rPr>
      </w:pPr>
      <w:r>
        <w:rPr>
          <w:rFonts w:hint="eastAsia"/>
        </w:rPr>
        <w:t>　　③按计算机硬件、机器设备组成计税价格计算确定。</w:t>
      </w:r>
    </w:p>
    <w:p w14:paraId="2D6A664F">
      <w:pPr>
        <w:rPr>
          <w:rFonts w:hint="eastAsia"/>
        </w:rPr>
      </w:pPr>
      <w:r>
        <w:rPr>
          <w:rFonts w:hint="eastAsia"/>
        </w:rPr>
        <w:t>　　计算机硬件、机器设备组成计税价格= 计算机硬件、机器设备成本×（1+10%）。</w:t>
      </w:r>
    </w:p>
    <w:p w14:paraId="216B71E5">
      <w:pPr>
        <w:rPr>
          <w:rFonts w:hint="eastAsia"/>
        </w:rPr>
      </w:pPr>
      <w:r>
        <w:rPr>
          <w:rFonts w:hint="eastAsia"/>
        </w:rPr>
        <w:t>　　五、按照上述办法计算，即征即退税额大于零时，税务机关应按规定，及时办理退税手续。</w:t>
      </w:r>
    </w:p>
    <w:p w14:paraId="4590DCB7">
      <w:pPr>
        <w:rPr>
          <w:rFonts w:hint="eastAsia"/>
        </w:rPr>
      </w:pPr>
      <w:r>
        <w:rPr>
          <w:rFonts w:hint="eastAsia"/>
        </w:rPr>
        <w:t>　　六、增值税一般纳税人在销售软件产品的同时销售其他货物或者应税劳务的，对于无法划分的进项税额，应按照实际成本或销售收入比例确定软件产品应分摊的进项税额；对专用于软件产品开发生产设备及工具的进项税额，不得进行分摊。纳税人应将选定的分摊方式报主管税务机关备案，并自备案之日起一年内不得变更。</w:t>
      </w:r>
    </w:p>
    <w:p w14:paraId="55AE5B41">
      <w:pPr>
        <w:rPr>
          <w:rFonts w:hint="eastAsia"/>
        </w:rPr>
      </w:pPr>
      <w:r>
        <w:rPr>
          <w:rFonts w:hint="eastAsia"/>
        </w:rPr>
        <w:t>　　专用于软件产品开发生产的设备及工具，包括但不限于用于软件设计的计算机设备、读写打印器具设备、工具软件、软件平台和测试设备。</w:t>
      </w:r>
    </w:p>
    <w:p w14:paraId="7C5690EA">
      <w:pPr>
        <w:rPr>
          <w:rFonts w:hint="eastAsia"/>
        </w:rPr>
      </w:pPr>
      <w:r>
        <w:rPr>
          <w:rFonts w:hint="eastAsia"/>
        </w:rPr>
        <w:t>　　七、对增值税一般纳税人随同计算机硬件、机器设备一并销售嵌入式软件产品，如果适用本通知规定按照组成计税价格计算确定计算机硬件、机器设备销售额的，应当分别核算嵌入式软件产品与计算机硬件、机器设备部分的成本。凡未分别核算或者核算不清的，不得享受本通知规定的增值税政策。</w:t>
      </w:r>
    </w:p>
    <w:p w14:paraId="3E21ABE4">
      <w:pPr>
        <w:rPr>
          <w:rFonts w:hint="eastAsia"/>
        </w:rPr>
      </w:pPr>
      <w:r>
        <w:rPr>
          <w:rFonts w:hint="eastAsia"/>
        </w:rPr>
        <w:t>　　八、各省、自治区、直辖市、计划单列市税务机关可根据本通知规定，制定软件产品增值税即征即退的管理办法。主管税务机关可对享受本通知规定增值税政策的纳税人进行定期或不定期检查。纳税人凡弄虚作假骗取享受本通知规定增值税政策的，税务机关除根据现行规定进行处罚外，自发生上述违法违规行为年度起，取消其享受本通知规定增值税政策的资格，纳税人三年内不得再次申请。</w:t>
      </w:r>
    </w:p>
    <w:p w14:paraId="79B9BF64">
      <w:pPr>
        <w:rPr>
          <w:rFonts w:hint="eastAsia"/>
        </w:rPr>
      </w:pPr>
      <w:r>
        <w:rPr>
          <w:rFonts w:hint="eastAsia"/>
        </w:rPr>
        <w:t>　　九、本通知自2011年1月1日起执行。《财政部国家税务总局关于贯彻落实〈中共中央国务院关于加强技术创新，发展高科技，实现产业化的决定〉有关税收问题的通知》（财税字〔1999〕273号）第一条、《财政部国家税务总局海关总署关于鼓励软件产业和集成电路产业发展有关税收政策问题的通知》（财税[2000]25号）第一条第一款、《国家税务总局关于明确电子出版物属于软件征税范围的通知》（国税函[2000]168号）、《财政部 国家税务总局关于增值税若干政策的通知》（财税[2005]165号）第十一条第一款和第三款、《财政部国家税务总局关于嵌入式软件增值税政策问题的通知》（财税[2006]174号）、《财政部国家税务总局关于嵌入式软件增值税政策的通知》（财税[2008]92号）、《财政部国家税务总局关于扶持动漫产业发展有关税收政策问题的通知》（财税[2009]65号）第一条同时废止。</w:t>
      </w:r>
    </w:p>
    <w:p w14:paraId="1D391979">
      <w:pPr>
        <w:rPr>
          <w:rFonts w:hint="eastAsia"/>
        </w:rPr>
      </w:pPr>
      <w:r>
        <w:rPr>
          <w:rFonts w:hint="eastAsia"/>
        </w:rPr>
        <w:t>　　</w:t>
      </w:r>
    </w:p>
    <w:p w14:paraId="011EF4A6">
      <w:pPr>
        <w:rPr>
          <w:rFonts w:hint="eastAsia"/>
        </w:rPr>
      </w:pPr>
      <w:r>
        <w:rPr>
          <w:rFonts w:hint="eastAsia"/>
        </w:rPr>
        <w:t>财政部 国家税务总局</w:t>
      </w:r>
    </w:p>
    <w:p w14:paraId="32F09D51">
      <w:r>
        <w:rPr>
          <w:rFonts w:hint="eastAsia"/>
        </w:rPr>
        <w:t>　　二〇一一年十月十三日</w:t>
      </w:r>
    </w:p>
    <w:p w14:paraId="045249C1"/>
    <w:p w14:paraId="41BE3D30"/>
    <w:p w14:paraId="1543463E"/>
    <w:p w14:paraId="78FB02E0">
      <w:pPr>
        <w:rPr>
          <w:rFonts w:hint="eastAsia"/>
        </w:rPr>
      </w:pPr>
      <w:r>
        <w:rPr>
          <w:rFonts w:hint="eastAsia"/>
        </w:rPr>
        <w:t>财政部 国家税务总局关于增值税税控系统专用设备和技术维护费用抵减增值税税额有关政策的通知</w:t>
      </w:r>
    </w:p>
    <w:p w14:paraId="4D4738F8">
      <w:pPr>
        <w:rPr>
          <w:rFonts w:hint="eastAsia"/>
        </w:rPr>
      </w:pPr>
      <w:r>
        <w:rPr>
          <w:rFonts w:hint="eastAsia"/>
        </w:rPr>
        <w:t>财税〔2012〕15号</w:t>
      </w:r>
    </w:p>
    <w:p w14:paraId="459A9E29">
      <w:pPr>
        <w:rPr>
          <w:rFonts w:hint="eastAsia"/>
        </w:rPr>
      </w:pPr>
      <w:r>
        <w:rPr>
          <w:rFonts w:hint="eastAsia"/>
        </w:rPr>
        <w:t>字体：【大】【中】【小】分享到：  成文日期：2012-02-07</w:t>
      </w:r>
    </w:p>
    <w:p w14:paraId="2E093483">
      <w:pPr>
        <w:rPr>
          <w:rFonts w:hint="eastAsia"/>
        </w:rPr>
      </w:pPr>
      <w:r>
        <w:rPr>
          <w:rFonts w:hint="eastAsia"/>
        </w:rPr>
        <w:t xml:space="preserve"> </w:t>
      </w:r>
    </w:p>
    <w:p w14:paraId="1B83E3F5">
      <w:pPr>
        <w:rPr>
          <w:rFonts w:hint="eastAsia"/>
        </w:rPr>
      </w:pPr>
      <w:r>
        <w:rPr>
          <w:rFonts w:hint="eastAsia"/>
        </w:rPr>
        <w:t>各省、自治区、直辖市、计划单列市财政厅（局）、国家税务局，新疆生产建设兵团财务局：</w:t>
      </w:r>
    </w:p>
    <w:p w14:paraId="778ABD5C">
      <w:pPr>
        <w:rPr>
          <w:rFonts w:hint="eastAsia"/>
        </w:rPr>
      </w:pPr>
      <w:r>
        <w:rPr>
          <w:rFonts w:hint="eastAsia"/>
        </w:rPr>
        <w:t>　　为减轻纳税人负担，经国务院批准，自2011年12月1日起，增值税纳税人购买增值税税控系统专用设备支付的费用以及缴纳的技术维护费(以下称二项费用)可在增值税应纳税额中全额抵减。现将有关政策通知如下：</w:t>
      </w:r>
    </w:p>
    <w:p w14:paraId="2D42566E">
      <w:pPr>
        <w:rPr>
          <w:rFonts w:hint="eastAsia"/>
        </w:rPr>
      </w:pPr>
      <w:r>
        <w:rPr>
          <w:rFonts w:hint="eastAsia"/>
        </w:rPr>
        <w:t>　　一、增值税纳税人2011年12月1日（含，下同）以后初次购买增值税税控系统专用设备(包括分开票机)支付的费用，可凭购买增值税税控系统专用设备取得的增值税专用发票，在增值税应纳税额中全额抵减（抵减额为价税合计额），不足抵减的可结转下期继续抵减。增值税纳税人非初次购买增值税税控系统专用设备支付的费用，由其自行负担，不得在增值税应纳税额中抵减。</w:t>
      </w:r>
    </w:p>
    <w:p w14:paraId="7CD06D81">
      <w:pPr>
        <w:rPr>
          <w:rFonts w:hint="eastAsia"/>
        </w:rPr>
      </w:pPr>
      <w:r>
        <w:rPr>
          <w:rFonts w:hint="eastAsia"/>
        </w:rPr>
        <w:t>　　增值税税控系统包括：增值税防伪税控系统、货物运输业增值税专用发票税控系统、机动车销售统一发票税控系统和公路、内河货物运输业发票税控系统。</w:t>
      </w:r>
    </w:p>
    <w:p w14:paraId="7562FD50">
      <w:pPr>
        <w:rPr>
          <w:rFonts w:hint="eastAsia"/>
        </w:rPr>
      </w:pPr>
      <w:r>
        <w:rPr>
          <w:rFonts w:hint="eastAsia"/>
        </w:rPr>
        <w:t>　　增值税防伪税控系统的专用设备包括金税卡、IC卡、读卡器或金税盘和报税盘；货物运输业增值税专用发票税控系统专用设备包括税控盘和报税盘；机动车销售统一发票税控系统和公路、内河货物运输业发票税控系统专用设备包括税控盘和传输盘。</w:t>
      </w:r>
    </w:p>
    <w:p w14:paraId="0AA3F3D9">
      <w:pPr>
        <w:rPr>
          <w:rFonts w:hint="eastAsia"/>
        </w:rPr>
      </w:pPr>
      <w:r>
        <w:rPr>
          <w:rFonts w:hint="eastAsia"/>
        </w:rPr>
        <w:t>　　二、增值税纳税人2011年12月1日以后缴纳的技术维护费(不含补缴的2011年11月30日以前的技术维护费)，可凭技术维护服务单位开具的技术维护费发票，在增值税应纳税额中全额抵减，不足抵减的可结转下期继续抵减。技术维护费按照价格主管部门核定的标准执行。</w:t>
      </w:r>
    </w:p>
    <w:p w14:paraId="0A74A463">
      <w:pPr>
        <w:rPr>
          <w:rFonts w:hint="eastAsia"/>
        </w:rPr>
      </w:pPr>
      <w:r>
        <w:rPr>
          <w:rFonts w:hint="eastAsia"/>
        </w:rPr>
        <w:t>　　三、增值税一般纳税人支付的二项费用在增值税应纳税额中全额抵减的，其增值税专用发票不作为增值税抵扣凭证，其进项税额不得从销项税额中抵扣。</w:t>
      </w:r>
    </w:p>
    <w:p w14:paraId="7F51D7D6">
      <w:pPr>
        <w:rPr>
          <w:rFonts w:hint="eastAsia"/>
        </w:rPr>
      </w:pPr>
      <w:r>
        <w:rPr>
          <w:rFonts w:hint="eastAsia"/>
        </w:rPr>
        <w:t>　　四、纳税人购买的增值税税控系统专用设备自购买之日起3年内因质量问题无法正常使用的，由专用设备供应商负责免费维修，无法维修的免费更换。</w:t>
      </w:r>
    </w:p>
    <w:p w14:paraId="09C4A413">
      <w:pPr>
        <w:rPr>
          <w:rFonts w:hint="eastAsia"/>
        </w:rPr>
      </w:pPr>
      <w:r>
        <w:rPr>
          <w:rFonts w:hint="eastAsia"/>
        </w:rPr>
        <w:t>　　五、纳税人在填写纳税申报表时，对可在增值税应纳税额中全额抵减的增值税税控系统专用设备费用以及技术维护费，应按以下要求填报：</w:t>
      </w:r>
    </w:p>
    <w:p w14:paraId="7BFDEE87">
      <w:pPr>
        <w:rPr>
          <w:rFonts w:hint="eastAsia"/>
        </w:rPr>
      </w:pPr>
      <w:r>
        <w:rPr>
          <w:rFonts w:hint="eastAsia"/>
        </w:rPr>
        <w:t>　　增值税一般纳税人将抵减金额填入《增值税纳税申报表(适用于增值税一般纳税人)》第23栏“应纳税额减征额”。当本期减征额小于或等于第19栏“应纳税额”与第21栏“简易征收办法计算的应纳税额”之和时，按本期减征额实际填写；当本期减征额大于第19栏“应纳税额”与第21栏“简易征收办法计算的应纳税额”之和时，按本期第19栏与第21栏之和填写，本期减征额不足抵减部分结转下期继续抵减。</w:t>
      </w:r>
    </w:p>
    <w:p w14:paraId="7E050B39">
      <w:pPr>
        <w:rPr>
          <w:rFonts w:hint="eastAsia"/>
        </w:rPr>
      </w:pPr>
      <w:r>
        <w:rPr>
          <w:rFonts w:hint="eastAsia"/>
        </w:rPr>
        <w:t>　　小规模纳税人将抵减金额填入《增值税纳税申报表(适用于小规模纳税人)》第11栏“本期应纳税额减征额”。当本期减征额小于或等于第10栏“本期应纳税额”时，按本期减征额实际填写；当本期减征额大于第10栏“本期应纳税额”时，按本期第10栏填写，本期减征额不足抵减部分结转下期继续抵减。</w:t>
      </w:r>
    </w:p>
    <w:p w14:paraId="0D79AC38">
      <w:pPr>
        <w:rPr>
          <w:rFonts w:hint="eastAsia"/>
        </w:rPr>
      </w:pPr>
      <w:r>
        <w:rPr>
          <w:rFonts w:hint="eastAsia"/>
        </w:rPr>
        <w:t>　　六、主管税务机关要加强纳税申报环节的审核，对于纳税人申报抵减税款的，应重点审核其是否重复抵减以及抵减金额是否正确。</w:t>
      </w:r>
    </w:p>
    <w:p w14:paraId="159E8928">
      <w:pPr>
        <w:rPr>
          <w:rFonts w:hint="eastAsia"/>
        </w:rPr>
      </w:pPr>
      <w:r>
        <w:rPr>
          <w:rFonts w:hint="eastAsia"/>
        </w:rPr>
        <w:t>　　七、税务机关要加强对纳税人的宣传辅导，确保该项政策措施落实到位。</w:t>
      </w:r>
    </w:p>
    <w:p w14:paraId="52D5F2E7">
      <w:pPr>
        <w:rPr>
          <w:rFonts w:hint="eastAsia"/>
        </w:rPr>
      </w:pPr>
      <w:r>
        <w:rPr>
          <w:rFonts w:hint="eastAsia"/>
        </w:rPr>
        <w:t>　　</w:t>
      </w:r>
    </w:p>
    <w:p w14:paraId="6FFDFF9C">
      <w:pPr>
        <w:rPr>
          <w:rFonts w:hint="eastAsia"/>
        </w:rPr>
      </w:pPr>
      <w:r>
        <w:rPr>
          <w:rFonts w:hint="eastAsia"/>
        </w:rPr>
        <w:t>财政部 国家税务总局</w:t>
      </w:r>
    </w:p>
    <w:p w14:paraId="568B27ED">
      <w:r>
        <w:rPr>
          <w:rFonts w:hint="eastAsia"/>
        </w:rPr>
        <w:t>　　二〇一二年二月七日</w:t>
      </w:r>
    </w:p>
    <w:p w14:paraId="419359B1"/>
    <w:p w14:paraId="0FF4A183"/>
    <w:p w14:paraId="42765480"/>
    <w:p w14:paraId="2364C892">
      <w:pPr>
        <w:rPr>
          <w:rFonts w:hint="eastAsia"/>
        </w:rPr>
      </w:pPr>
      <w:r>
        <w:rPr>
          <w:rFonts w:hint="eastAsia"/>
        </w:rPr>
        <w:t>关于发布《纳税人跨县（市、区）提供建筑服务增值税征收管理暂行办法》的公告</w:t>
      </w:r>
    </w:p>
    <w:p w14:paraId="29323AE1">
      <w:pPr>
        <w:rPr>
          <w:rFonts w:hint="eastAsia"/>
        </w:rPr>
      </w:pPr>
      <w:r>
        <w:rPr>
          <w:rFonts w:hint="eastAsia"/>
        </w:rPr>
        <w:t>国家税务总局公告2016年第17号</w:t>
      </w:r>
    </w:p>
    <w:p w14:paraId="758339FC">
      <w:pPr>
        <w:rPr>
          <w:rFonts w:hint="eastAsia"/>
        </w:rPr>
      </w:pPr>
      <w:r>
        <w:rPr>
          <w:rFonts w:hint="eastAsia"/>
        </w:rPr>
        <w:t>【字体： 大 中 小】  打印本页</w:t>
      </w:r>
    </w:p>
    <w:p w14:paraId="0483D0D1">
      <w:pPr>
        <w:rPr>
          <w:rFonts w:hint="eastAsia"/>
        </w:rPr>
      </w:pPr>
      <w:r>
        <w:rPr>
          <w:rFonts w:hint="eastAsia"/>
        </w:rPr>
        <w:t xml:space="preserve">   </w:t>
      </w:r>
    </w:p>
    <w:p w14:paraId="2CB5D406">
      <w:pPr>
        <w:rPr>
          <w:rFonts w:hint="eastAsia"/>
        </w:rPr>
      </w:pPr>
      <w:r>
        <w:rPr>
          <w:rFonts w:hint="eastAsia"/>
        </w:rPr>
        <w:t>　　国家税务总局制定了《跨县（市、区）提供建筑服务增值税征收管理暂行办法》，现予以公布，自2016年5月1日起施行。</w:t>
      </w:r>
    </w:p>
    <w:p w14:paraId="65CA23B8">
      <w:pPr>
        <w:rPr>
          <w:rFonts w:hint="eastAsia"/>
        </w:rPr>
      </w:pPr>
      <w:r>
        <w:rPr>
          <w:rFonts w:hint="eastAsia"/>
        </w:rPr>
        <w:t>　　特此公告。</w:t>
      </w:r>
    </w:p>
    <w:p w14:paraId="7F5B5632">
      <w:pPr>
        <w:rPr>
          <w:rFonts w:hint="eastAsia"/>
        </w:rPr>
      </w:pPr>
      <w:r>
        <w:rPr>
          <w:rFonts w:hint="eastAsia"/>
        </w:rPr>
        <w:t>　　　　</w:t>
      </w:r>
    </w:p>
    <w:p w14:paraId="42A43596">
      <w:pPr>
        <w:rPr>
          <w:rFonts w:hint="eastAsia"/>
        </w:rPr>
      </w:pPr>
    </w:p>
    <w:p w14:paraId="185653AE">
      <w:pPr>
        <w:rPr>
          <w:rFonts w:hint="eastAsia"/>
        </w:rPr>
      </w:pPr>
      <w:r>
        <w:rPr>
          <w:rFonts w:hint="eastAsia"/>
        </w:rPr>
        <w:t>　　　</w:t>
      </w:r>
    </w:p>
    <w:p w14:paraId="64A0782E">
      <w:pPr>
        <w:rPr>
          <w:rFonts w:hint="eastAsia"/>
        </w:rPr>
      </w:pPr>
    </w:p>
    <w:p w14:paraId="3231BC2C">
      <w:pPr>
        <w:rPr>
          <w:rFonts w:hint="eastAsia"/>
        </w:rPr>
      </w:pPr>
      <w:r>
        <w:rPr>
          <w:rFonts w:hint="eastAsia"/>
        </w:rPr>
        <w:t>国家税务总局</w:t>
      </w:r>
    </w:p>
    <w:p w14:paraId="47155FF0">
      <w:pPr>
        <w:rPr>
          <w:rFonts w:hint="eastAsia"/>
        </w:rPr>
      </w:pPr>
      <w:r>
        <w:rPr>
          <w:rFonts w:hint="eastAsia"/>
        </w:rPr>
        <w:t>2016年3月31日</w:t>
      </w:r>
    </w:p>
    <w:p w14:paraId="16F373FA">
      <w:pPr>
        <w:rPr>
          <w:rFonts w:hint="eastAsia"/>
        </w:rPr>
      </w:pPr>
    </w:p>
    <w:p w14:paraId="5D1B9B7C">
      <w:pPr>
        <w:rPr>
          <w:rFonts w:hint="eastAsia"/>
        </w:rPr>
      </w:pPr>
    </w:p>
    <w:p w14:paraId="32280858">
      <w:pPr>
        <w:rPr>
          <w:rFonts w:hint="eastAsia"/>
        </w:rPr>
      </w:pPr>
      <w:r>
        <w:rPr>
          <w:rFonts w:hint="eastAsia"/>
        </w:rPr>
        <w:t>纳税人跨县（市、区）提供建筑服务增值税征收管理暂行办法</w:t>
      </w:r>
    </w:p>
    <w:p w14:paraId="0FE83C57">
      <w:pPr>
        <w:rPr>
          <w:rFonts w:hint="eastAsia"/>
        </w:rPr>
      </w:pPr>
    </w:p>
    <w:p w14:paraId="06FEE247">
      <w:pPr>
        <w:rPr>
          <w:rFonts w:hint="eastAsia"/>
        </w:rPr>
      </w:pPr>
    </w:p>
    <w:p w14:paraId="69634D08">
      <w:pPr>
        <w:rPr>
          <w:rFonts w:hint="eastAsia"/>
        </w:rPr>
      </w:pPr>
      <w:r>
        <w:rPr>
          <w:rFonts w:hint="eastAsia"/>
        </w:rPr>
        <w:t>　</w:t>
      </w:r>
    </w:p>
    <w:p w14:paraId="128A52F1">
      <w:pPr>
        <w:rPr>
          <w:rFonts w:hint="eastAsia"/>
        </w:rPr>
      </w:pPr>
      <w:r>
        <w:rPr>
          <w:rFonts w:hint="eastAsia"/>
        </w:rPr>
        <w:t>　　第一条 根据《财政部 国家税务总局关于全面推开营业税改征增值税试点的通知》（财税〔2016〕36号）及现行增值税有关规定，制定本办法。</w:t>
      </w:r>
    </w:p>
    <w:p w14:paraId="556D13C2">
      <w:pPr>
        <w:rPr>
          <w:rFonts w:hint="eastAsia"/>
        </w:rPr>
      </w:pPr>
      <w:r>
        <w:rPr>
          <w:rFonts w:hint="eastAsia"/>
        </w:rPr>
        <w:t>　　第二条 本办法所称跨县（市、区）提供建筑服务，是指单位和个体工商户（以下简称纳税人）在其机构所在地以外的县（市、区）提供建筑服务。</w:t>
      </w:r>
    </w:p>
    <w:p w14:paraId="4318C81C">
      <w:pPr>
        <w:rPr>
          <w:rFonts w:hint="eastAsia"/>
        </w:rPr>
      </w:pPr>
      <w:r>
        <w:rPr>
          <w:rFonts w:hint="eastAsia"/>
        </w:rPr>
        <w:t>　　纳税人在同一直辖市、计划单列市范围内跨县（市、区）提供建筑服务的，由直辖市、计划单列市国家税务局决定是否适用本办法。</w:t>
      </w:r>
    </w:p>
    <w:p w14:paraId="436BEC4B">
      <w:pPr>
        <w:rPr>
          <w:rFonts w:hint="eastAsia"/>
        </w:rPr>
      </w:pPr>
      <w:r>
        <w:rPr>
          <w:rFonts w:hint="eastAsia"/>
        </w:rPr>
        <w:t>　　其他个人跨县（市、区）提供建筑服务，不适用本办法。</w:t>
      </w:r>
    </w:p>
    <w:p w14:paraId="70323AB1">
      <w:pPr>
        <w:rPr>
          <w:rFonts w:hint="eastAsia"/>
        </w:rPr>
      </w:pPr>
      <w:r>
        <w:rPr>
          <w:rFonts w:hint="eastAsia"/>
        </w:rPr>
        <w:t>　　第三条 纳税人跨县（市、区）提供建筑服务，应按照财税〔2016〕36号文件规定的纳税义务发生时间和计税方法，向建筑服务发生地主管国税机关预缴税款，向机构所在地主管国税机关申报纳税。</w:t>
      </w:r>
    </w:p>
    <w:p w14:paraId="2C3A5578">
      <w:pPr>
        <w:rPr>
          <w:rFonts w:hint="eastAsia"/>
        </w:rPr>
      </w:pPr>
      <w:r>
        <w:rPr>
          <w:rFonts w:hint="eastAsia"/>
        </w:rPr>
        <w:t>　　《建筑工程施工许可证》未注明合同开工日期，但建筑工程承包合同注明的开工日期在2016年4月30日前的建筑工程项目，属于财税〔2016〕36号文件规定的可以选择简易计税方法计税的建筑工程老项目。</w:t>
      </w:r>
    </w:p>
    <w:p w14:paraId="063DFFFB">
      <w:pPr>
        <w:rPr>
          <w:rFonts w:hint="eastAsia"/>
        </w:rPr>
      </w:pPr>
      <w:r>
        <w:rPr>
          <w:rFonts w:hint="eastAsia"/>
        </w:rPr>
        <w:t>　　第四条 纳税人跨县（市、区）提供建筑服务，按照以下规定预缴税款：</w:t>
      </w:r>
    </w:p>
    <w:p w14:paraId="4314E287">
      <w:pPr>
        <w:rPr>
          <w:rFonts w:hint="eastAsia"/>
        </w:rPr>
      </w:pPr>
      <w:r>
        <w:rPr>
          <w:rFonts w:hint="eastAsia"/>
        </w:rPr>
        <w:t>　　（一）一般纳税人跨县（市、区）提供建筑服务，适用一般计税方法计税的，以取得的全部价款和价外费用扣除支付的分包款后的余额，按照2%的预征率计算应预缴税款。</w:t>
      </w:r>
    </w:p>
    <w:p w14:paraId="47FA98FD">
      <w:pPr>
        <w:rPr>
          <w:rFonts w:hint="eastAsia"/>
        </w:rPr>
      </w:pPr>
      <w:r>
        <w:rPr>
          <w:rFonts w:hint="eastAsia"/>
        </w:rPr>
        <w:t>　　（二）一般纳税人跨县（市、区）提供建筑服务，选择适用简易计税方法计税的，以取得的全部价款和价外费用扣除支付的分包款后的余额，按照3%的征收率计算应预缴税款。</w:t>
      </w:r>
    </w:p>
    <w:p w14:paraId="68F4AB2F">
      <w:pPr>
        <w:rPr>
          <w:rFonts w:hint="eastAsia"/>
        </w:rPr>
      </w:pPr>
      <w:r>
        <w:rPr>
          <w:rFonts w:hint="eastAsia"/>
        </w:rPr>
        <w:t>　　（三）小规模纳税人跨县（市、区）提供建筑服务，以取得的全部价款和价外费用扣除支付的分包款后的余额，按照3%的征收率计算应预缴税款。</w:t>
      </w:r>
    </w:p>
    <w:p w14:paraId="3C434A19">
      <w:pPr>
        <w:rPr>
          <w:rFonts w:hint="eastAsia"/>
        </w:rPr>
      </w:pPr>
      <w:r>
        <w:rPr>
          <w:rFonts w:hint="eastAsia"/>
        </w:rPr>
        <w:t>　　第五条 纳税人跨县（市、区）提供建筑服务，按照以下公式计算应预缴税款：</w:t>
      </w:r>
    </w:p>
    <w:p w14:paraId="516F7323">
      <w:pPr>
        <w:rPr>
          <w:rFonts w:hint="eastAsia"/>
        </w:rPr>
      </w:pPr>
      <w:r>
        <w:rPr>
          <w:rFonts w:hint="eastAsia"/>
        </w:rPr>
        <w:t>　　（一）适用一般计税方法计税的，应预缴税款=(全部价款和价外费用-支付的分包款) ÷(1+11%)×2%</w:t>
      </w:r>
    </w:p>
    <w:p w14:paraId="6EF1D400">
      <w:pPr>
        <w:rPr>
          <w:rFonts w:hint="eastAsia"/>
        </w:rPr>
      </w:pPr>
      <w:r>
        <w:rPr>
          <w:rFonts w:hint="eastAsia"/>
        </w:rPr>
        <w:t>　　（二）适用简易计税方法计税的，应预缴税款=(全部价款和价外费用-支付的分包款) ÷(1+3%)×3%</w:t>
      </w:r>
    </w:p>
    <w:p w14:paraId="67E36DAB">
      <w:pPr>
        <w:rPr>
          <w:rFonts w:hint="eastAsia"/>
        </w:rPr>
      </w:pPr>
      <w:r>
        <w:rPr>
          <w:rFonts w:hint="eastAsia"/>
        </w:rPr>
        <w:t>　　纳税人取得的全部价款和价外费用扣除支付的分包款后的余额为负数的，可结转下次预缴税款时继续扣除。</w:t>
      </w:r>
    </w:p>
    <w:p w14:paraId="15CABC0C">
      <w:pPr>
        <w:rPr>
          <w:rFonts w:hint="eastAsia"/>
        </w:rPr>
      </w:pPr>
      <w:r>
        <w:rPr>
          <w:rFonts w:hint="eastAsia"/>
        </w:rPr>
        <w:t>　　纳税人应按照工程项目分别计算应预缴税款，分别预缴。</w:t>
      </w:r>
    </w:p>
    <w:p w14:paraId="14721E52">
      <w:pPr>
        <w:rPr>
          <w:rFonts w:hint="eastAsia"/>
        </w:rPr>
      </w:pPr>
      <w:r>
        <w:rPr>
          <w:rFonts w:hint="eastAsia"/>
        </w:rPr>
        <w:t>　　第六条 纳税人按照上述规定从取得的全部价款和价外费用中扣除支付的分包款，应当取得符合法律、行政法规和国家税务总局规定的合法有效凭证，否则不得扣除。</w:t>
      </w:r>
    </w:p>
    <w:p w14:paraId="05AB3B19">
      <w:pPr>
        <w:rPr>
          <w:rFonts w:hint="eastAsia"/>
        </w:rPr>
      </w:pPr>
      <w:r>
        <w:rPr>
          <w:rFonts w:hint="eastAsia"/>
        </w:rPr>
        <w:t>　　上述凭证是指：</w:t>
      </w:r>
    </w:p>
    <w:p w14:paraId="5D4C94B2">
      <w:pPr>
        <w:rPr>
          <w:rFonts w:hint="eastAsia"/>
        </w:rPr>
      </w:pPr>
      <w:r>
        <w:rPr>
          <w:rFonts w:hint="eastAsia"/>
        </w:rPr>
        <w:t>　　（一）从分包方取得的2016年4月30日前开具的建筑业营业税发票。</w:t>
      </w:r>
    </w:p>
    <w:p w14:paraId="54E33635">
      <w:pPr>
        <w:rPr>
          <w:rFonts w:hint="eastAsia"/>
        </w:rPr>
      </w:pPr>
      <w:r>
        <w:rPr>
          <w:rFonts w:hint="eastAsia"/>
        </w:rPr>
        <w:t>　　上述建筑业营业税发票在2016年6月30日前可作为预缴税款的扣除凭证。</w:t>
      </w:r>
    </w:p>
    <w:p w14:paraId="0BB035A7">
      <w:pPr>
        <w:rPr>
          <w:rFonts w:hint="eastAsia"/>
        </w:rPr>
      </w:pPr>
      <w:r>
        <w:rPr>
          <w:rFonts w:hint="eastAsia"/>
        </w:rPr>
        <w:t>　　（二）从分包方取得的2016年5月1日后开具的，备注栏注明建筑服务发生地所在县（市、区）、项目名称的增值税发票。</w:t>
      </w:r>
    </w:p>
    <w:p w14:paraId="534FECD3">
      <w:pPr>
        <w:rPr>
          <w:rFonts w:hint="eastAsia"/>
        </w:rPr>
      </w:pPr>
      <w:r>
        <w:rPr>
          <w:rFonts w:hint="eastAsia"/>
        </w:rPr>
        <w:t>　　（三）国家税务总局规定的其他凭证。</w:t>
      </w:r>
    </w:p>
    <w:p w14:paraId="024082EF">
      <w:pPr>
        <w:rPr>
          <w:rFonts w:hint="eastAsia"/>
        </w:rPr>
      </w:pPr>
      <w:r>
        <w:rPr>
          <w:rFonts w:hint="eastAsia"/>
        </w:rPr>
        <w:t>　　第七条 纳税人跨县（市、区）提供建筑服务，在向建筑服务发生地主管国税机关预缴税款时，需提交以下资料：</w:t>
      </w:r>
    </w:p>
    <w:p w14:paraId="18A5DBAB">
      <w:pPr>
        <w:rPr>
          <w:rFonts w:hint="eastAsia"/>
        </w:rPr>
      </w:pPr>
      <w:r>
        <w:rPr>
          <w:rFonts w:hint="eastAsia"/>
        </w:rPr>
        <w:t>　　（一）《增值税预缴税款表》；</w:t>
      </w:r>
    </w:p>
    <w:p w14:paraId="323F3D01">
      <w:pPr>
        <w:rPr>
          <w:rFonts w:hint="eastAsia"/>
        </w:rPr>
      </w:pPr>
      <w:r>
        <w:rPr>
          <w:rFonts w:hint="eastAsia"/>
        </w:rPr>
        <w:t>　　（二）与发包方签订的建筑合同原件及复印件；</w:t>
      </w:r>
    </w:p>
    <w:p w14:paraId="65DE24CB">
      <w:pPr>
        <w:rPr>
          <w:rFonts w:hint="eastAsia"/>
        </w:rPr>
      </w:pPr>
      <w:r>
        <w:rPr>
          <w:rFonts w:hint="eastAsia"/>
        </w:rPr>
        <w:t>　　（三）与分包方签订的分包合同原件及复印件；</w:t>
      </w:r>
    </w:p>
    <w:p w14:paraId="51F483F6">
      <w:pPr>
        <w:rPr>
          <w:rFonts w:hint="eastAsia"/>
        </w:rPr>
      </w:pPr>
      <w:r>
        <w:rPr>
          <w:rFonts w:hint="eastAsia"/>
        </w:rPr>
        <w:t>　　（四）从分包方取得的发票原件及复印件。</w:t>
      </w:r>
    </w:p>
    <w:p w14:paraId="44859BA6">
      <w:pPr>
        <w:rPr>
          <w:rFonts w:hint="eastAsia"/>
        </w:rPr>
      </w:pPr>
      <w:r>
        <w:rPr>
          <w:rFonts w:hint="eastAsia"/>
        </w:rPr>
        <w:t>　　第八条 纳税人跨县（市、区）提供建筑服务，向建筑服务发生地主管国税机关预缴的增值税税款，可以在当期增值税应纳税额中抵减，抵减不完的，结转下期继续抵减。</w:t>
      </w:r>
    </w:p>
    <w:p w14:paraId="198FCAD3">
      <w:pPr>
        <w:rPr>
          <w:rFonts w:hint="eastAsia"/>
        </w:rPr>
      </w:pPr>
      <w:r>
        <w:rPr>
          <w:rFonts w:hint="eastAsia"/>
        </w:rPr>
        <w:t>　　纳税人以预缴税款抵减应纳税额，应以完税凭证作为合法有效凭证。</w:t>
      </w:r>
    </w:p>
    <w:p w14:paraId="148203D1">
      <w:pPr>
        <w:rPr>
          <w:rFonts w:hint="eastAsia"/>
        </w:rPr>
      </w:pPr>
      <w:r>
        <w:rPr>
          <w:rFonts w:hint="eastAsia"/>
        </w:rPr>
        <w:t>　　第九条 小规模纳税人跨县（市、区）提供建筑服务，不能自行开具增值税发票的，可向建筑服务发生地主管国税机关按照其取得的全部价款和价外费用申请代开增值税发票。</w:t>
      </w:r>
    </w:p>
    <w:p w14:paraId="1CA235FC">
      <w:pPr>
        <w:rPr>
          <w:rFonts w:hint="eastAsia"/>
        </w:rPr>
      </w:pPr>
      <w:r>
        <w:rPr>
          <w:rFonts w:hint="eastAsia"/>
        </w:rPr>
        <w:t>　　第十条 对跨县（市、区）提供的建筑服务，纳税人应自行建立预缴税款台账，区分不同县（市、区）和项目逐笔登记全部收入、支付的分包款、已扣除的分包款、扣除分包款的发票号码、已预缴税款以及预缴税款的完税凭证号码等相关内容，留存备查。</w:t>
      </w:r>
    </w:p>
    <w:p w14:paraId="0F3F323C">
      <w:pPr>
        <w:rPr>
          <w:rFonts w:hint="eastAsia"/>
        </w:rPr>
      </w:pPr>
      <w:r>
        <w:rPr>
          <w:rFonts w:hint="eastAsia"/>
        </w:rPr>
        <w:t>　　第十一条 纳税人跨县（市、区）提供建筑服务预缴税款时间，按照财税〔2016〕36号文件规定的纳税义务发生时间和纳税期限执行。</w:t>
      </w:r>
    </w:p>
    <w:p w14:paraId="3AEB139F">
      <w:pPr>
        <w:rPr>
          <w:rFonts w:hint="eastAsia"/>
        </w:rPr>
      </w:pPr>
      <w:r>
        <w:rPr>
          <w:rFonts w:hint="eastAsia"/>
        </w:rPr>
        <w:t>　　第十二条 纳税人跨县（市、区）提供建筑服务，按照本办法应向建筑服务发生地主管国税机关预缴税款而自应当预缴之月起超过6个月没有预缴税款的，由机构所在地主管国税机关按照《中华人民共和国税收征收管理法》及相关规定进行处理。</w:t>
      </w:r>
    </w:p>
    <w:p w14:paraId="2EC09C09">
      <w:r>
        <w:rPr>
          <w:rFonts w:hint="eastAsia"/>
        </w:rPr>
        <w:t>　　纳税人跨县（市、区）提供建筑服务，未按照本办法缴纳税款的，由机构所在地主管国税机关按照《中华人民共和国税收征收管理法》及相关规定进行处理。</w:t>
      </w:r>
    </w:p>
    <w:p w14:paraId="36F3736F"/>
    <w:p w14:paraId="134737E3"/>
    <w:p w14:paraId="30A09382"/>
    <w:p w14:paraId="21589DA8">
      <w:r>
        <w:rPr>
          <w:rFonts w:hint="eastAsia"/>
        </w:rPr>
        <w:t>各省、自治区、直辖市、计划单列市财政厅（局）、国家税务局，新疆生产建设兵团财务局：</w:t>
      </w:r>
      <w:r>
        <w:rPr>
          <w:rFonts w:hint="eastAsia"/>
        </w:rPr>
        <w:br w:type="textWrapping"/>
      </w:r>
      <w:r>
        <w:rPr>
          <w:rFonts w:hint="eastAsia"/>
        </w:rPr>
        <w:t>    为调整和完善农产品增值税抵扣机制，经国务院批准，决定在部分行业开展增值税进项税额核定扣除试点。现将有关事项通知如下：</w:t>
      </w:r>
      <w:r>
        <w:rPr>
          <w:rFonts w:hint="eastAsia"/>
        </w:rPr>
        <w:br w:type="textWrapping"/>
      </w:r>
      <w:r>
        <w:rPr>
          <w:rFonts w:hint="eastAsia"/>
        </w:rPr>
        <w:t>    一、自2012年7月1日起，以购进农产品为原料生产销售液体乳及乳制品、酒及酒精、植物油的增值税一般纳税人，纳入农产品增值税进项税额核定扣除试点范围，其购进农产品无论是否用于生产上述产品，增值税进项税额均按照《农产品增值税进项税额核定扣除试点实施办法》（附件1）的规定抵扣。</w:t>
      </w:r>
      <w:r>
        <w:rPr>
          <w:rFonts w:hint="eastAsia"/>
        </w:rPr>
        <w:br w:type="textWrapping"/>
      </w:r>
      <w:r>
        <w:rPr>
          <w:rFonts w:hint="eastAsia"/>
        </w:rPr>
        <w:t>    二、除本通知第一条规定以外的纳税人，其购进农产品仍按现行增值税的有关规定抵扣农产品进项税额。</w:t>
      </w:r>
      <w:r>
        <w:rPr>
          <w:rFonts w:hint="eastAsia"/>
        </w:rPr>
        <w:br w:type="textWrapping"/>
      </w:r>
      <w:r>
        <w:rPr>
          <w:rFonts w:hint="eastAsia"/>
        </w:rPr>
        <w:t>    三、对部分液体乳及乳制品实行全国统一的扣除标准（附件2）。</w:t>
      </w:r>
      <w:r>
        <w:rPr>
          <w:rFonts w:hint="eastAsia"/>
        </w:rPr>
        <w:br w:type="textWrapping"/>
      </w:r>
      <w:r>
        <w:rPr>
          <w:rFonts w:hint="eastAsia"/>
        </w:rPr>
        <w:t>    四、各级财税机关要认真组织试点各项工作，及时总结试点经验，并向财政部和国家税务总局报告试点过程中发现的问题。</w:t>
      </w:r>
    </w:p>
    <w:p w14:paraId="42C22957">
      <w:pPr>
        <w:rPr>
          <w:rFonts w:hint="eastAsia"/>
        </w:rPr>
      </w:pPr>
      <w:r>
        <w:rPr>
          <w:rFonts w:hint="eastAsia"/>
        </w:rPr>
        <w:br w:type="textWrapping"/>
      </w:r>
      <w:r>
        <w:rPr>
          <w:rFonts w:hint="eastAsia"/>
        </w:rPr>
        <w:t>    附件：1. 农产品增值税进项税额核定扣除试点实施办法</w:t>
      </w:r>
      <w:r>
        <w:rPr>
          <w:rFonts w:hint="eastAsia"/>
        </w:rPr>
        <w:br w:type="textWrapping"/>
      </w:r>
      <w:r>
        <w:rPr>
          <w:rFonts w:hint="eastAsia"/>
        </w:rPr>
        <w:t>    2. 全国统一的部分液体乳及乳制品扣除标准表</w:t>
      </w:r>
    </w:p>
    <w:p w14:paraId="42675E70">
      <w:pPr>
        <w:rPr>
          <w:rFonts w:hint="eastAsia"/>
        </w:rPr>
      </w:pPr>
      <w:r>
        <w:rPr>
          <w:rFonts w:hint="eastAsia"/>
        </w:rPr>
        <w:br w:type="textWrapping"/>
      </w:r>
      <w:r>
        <w:rPr>
          <w:rFonts w:hint="eastAsia"/>
        </w:rPr>
        <w:t>    财政部 国家税务总局</w:t>
      </w:r>
      <w:r>
        <w:rPr>
          <w:rFonts w:hint="eastAsia"/>
        </w:rPr>
        <w:br w:type="textWrapping"/>
      </w:r>
      <w:r>
        <w:rPr>
          <w:rFonts w:hint="eastAsia"/>
        </w:rPr>
        <w:t>    二○一二年四月六日</w:t>
      </w:r>
    </w:p>
    <w:p w14:paraId="33500DCC">
      <w:pPr>
        <w:rPr>
          <w:rFonts w:hint="eastAsia"/>
        </w:rPr>
      </w:pPr>
      <w:r>
        <w:rPr>
          <w:rFonts w:hint="eastAsia"/>
        </w:rPr>
        <w:br w:type="textWrapping"/>
      </w:r>
      <w:r>
        <w:rPr>
          <w:rFonts w:hint="eastAsia"/>
        </w:rPr>
        <w:t>    附件1：</w:t>
      </w:r>
    </w:p>
    <w:p w14:paraId="06DDC0F7">
      <w:pPr>
        <w:rPr>
          <w:rFonts w:hint="eastAsia"/>
        </w:rPr>
      </w:pPr>
      <w:r>
        <w:rPr>
          <w:rFonts w:hint="eastAsia"/>
        </w:rPr>
        <w:br w:type="textWrapping"/>
      </w:r>
      <w:r>
        <w:rPr>
          <w:rFonts w:hint="eastAsia"/>
        </w:rPr>
        <w:t>    农产品增值税进项税额核定扣除试点实施办法</w:t>
      </w:r>
    </w:p>
    <w:p w14:paraId="67549B46">
      <w:pPr>
        <w:rPr>
          <w:rFonts w:hint="eastAsia"/>
        </w:rPr>
      </w:pPr>
      <w:r>
        <w:rPr>
          <w:rFonts w:hint="eastAsia"/>
        </w:rPr>
        <w:br w:type="textWrapping"/>
      </w:r>
      <w:r>
        <w:rPr>
          <w:rFonts w:hint="eastAsia"/>
        </w:rPr>
        <w:t>    一、为加强农产品增值税进项税额抵扣管理，经国务院批准，对财政部和国家税务总局纳入试点范围的增值税一般纳税人（以下称试点纳税人）购进农产品增值税进项税额，实施核定扣除办法。</w:t>
      </w:r>
      <w:r>
        <w:rPr>
          <w:rFonts w:hint="eastAsia"/>
        </w:rPr>
        <w:br w:type="textWrapping"/>
      </w:r>
      <w:r>
        <w:rPr>
          <w:rFonts w:hint="eastAsia"/>
        </w:rPr>
        <w:t>    二、购进农产品抵扣增值税进项税额的试点纳税人均适用本办法。</w:t>
      </w:r>
      <w:r>
        <w:rPr>
          <w:rFonts w:hint="eastAsia"/>
        </w:rPr>
        <w:br w:type="textWrapping"/>
      </w:r>
      <w:r>
        <w:rPr>
          <w:rFonts w:hint="eastAsia"/>
        </w:rPr>
        <w:t>    农产品是指列入《农业产品征税范围注释》（财税字[1995]52号）的初级农业产品。</w:t>
      </w:r>
      <w:r>
        <w:rPr>
          <w:rFonts w:hint="eastAsia"/>
        </w:rPr>
        <w:br w:type="textWrapping"/>
      </w:r>
      <w:r>
        <w:rPr>
          <w:rFonts w:hint="eastAsia"/>
        </w:rPr>
        <w:t>    三、试点纳税人购进农产品不再凭增值税扣税凭证抵扣增值税进项税额，购进除农产品以外的货物、应税劳务和应税服务，增值税进项税额仍按现行有关规定抵扣。</w:t>
      </w:r>
      <w:r>
        <w:rPr>
          <w:rFonts w:hint="eastAsia"/>
        </w:rPr>
        <w:br w:type="textWrapping"/>
      </w:r>
      <w:r>
        <w:rPr>
          <w:rFonts w:hint="eastAsia"/>
        </w:rPr>
        <w:t>    四、农产品增值税进项税额核定方法</w:t>
      </w:r>
      <w:r>
        <w:rPr>
          <w:rFonts w:hint="eastAsia"/>
        </w:rPr>
        <w:br w:type="textWrapping"/>
      </w:r>
      <w:r>
        <w:rPr>
          <w:rFonts w:hint="eastAsia"/>
        </w:rPr>
        <w:t>    （一）试点纳税人以购进农产品为原料生产货物的，农产品增值税进项税额可按照以下方法核定：</w:t>
      </w:r>
      <w:r>
        <w:rPr>
          <w:rFonts w:hint="eastAsia"/>
        </w:rPr>
        <w:br w:type="textWrapping"/>
      </w:r>
      <w:r>
        <w:rPr>
          <w:rFonts w:hint="eastAsia"/>
        </w:rPr>
        <w:t>    1、投入产出法：参照国家标准、行业标准（包括行业公认标准和行业平均耗用值）确定销售单位数量货物耗用外购农产品的数量（以下称农产品单耗数量）。</w:t>
      </w:r>
      <w:r>
        <w:rPr>
          <w:rFonts w:hint="eastAsia"/>
        </w:rPr>
        <w:br w:type="textWrapping"/>
      </w:r>
      <w:r>
        <w:rPr>
          <w:rFonts w:hint="eastAsia"/>
        </w:rPr>
        <w:t>    当期允许抵扣农产品增值税进项税额依据农产品单耗数量、当期销售货物数量、农产品平均购买单价（含税，下同）和农产品增值税进项税额扣除率（以下简称“扣除率”）计算。公式为：</w:t>
      </w:r>
      <w:r>
        <w:rPr>
          <w:rFonts w:hint="eastAsia"/>
        </w:rPr>
        <w:br w:type="textWrapping"/>
      </w:r>
      <w:r>
        <w:rPr>
          <w:rFonts w:hint="eastAsia"/>
        </w:rPr>
        <w:t>    当期允许抵扣农产品增值税进项税额=当期农产品耗用数量×农产品平均购买单价×扣除率/（1＋扣除率）</w:t>
      </w:r>
      <w:r>
        <w:rPr>
          <w:rFonts w:hint="eastAsia"/>
        </w:rPr>
        <w:br w:type="textWrapping"/>
      </w:r>
      <w:r>
        <w:rPr>
          <w:rFonts w:hint="eastAsia"/>
        </w:rPr>
        <w:t>    当期农产品耗用数量=当期销售货物数量（不含采购除农产品以外的半成品生产的货物数量）×农产品单耗数量</w:t>
      </w:r>
      <w:r>
        <w:rPr>
          <w:rFonts w:hint="eastAsia"/>
        </w:rPr>
        <w:br w:type="textWrapping"/>
      </w:r>
      <w:r>
        <w:rPr>
          <w:rFonts w:hint="eastAsia"/>
        </w:rPr>
        <w:t>    对以单一农产品原料生产多种货物或者多种农产品原料生产多种货物的，在核算当期农产品耗用数量和平均购买单价时，应依据合理的方法归集和分配。</w:t>
      </w:r>
      <w:r>
        <w:rPr>
          <w:rFonts w:hint="eastAsia"/>
        </w:rPr>
        <w:br w:type="textWrapping"/>
      </w:r>
      <w:r>
        <w:rPr>
          <w:rFonts w:hint="eastAsia"/>
        </w:rPr>
        <w:t>    平均购买单价是指购买农产品期末平均买价，不包括买价之外单独支付的运费和入库前的整理费用。期末平均买价计算公式：</w:t>
      </w:r>
      <w:r>
        <w:rPr>
          <w:rFonts w:hint="eastAsia"/>
        </w:rPr>
        <w:br w:type="textWrapping"/>
      </w:r>
      <w:r>
        <w:rPr>
          <w:rFonts w:hint="eastAsia"/>
        </w:rPr>
        <w:t>    期末平均买价＝（期初库存农产品数量×期初平均买价＋当期购进农产品数量×当期买价）/（期初库存农产品数量＋当期购进农产品数量）</w:t>
      </w:r>
      <w:r>
        <w:rPr>
          <w:rFonts w:hint="eastAsia"/>
        </w:rPr>
        <w:br w:type="textWrapping"/>
      </w:r>
      <w:r>
        <w:rPr>
          <w:rFonts w:hint="eastAsia"/>
        </w:rPr>
        <w:t>    2、成本法：依据试点纳税人年度会计核算资料，计算确定耗用农产品的外购金额占生产成本的比例（以下称农产品耗用率）。当期允许抵扣农产品增值税进项税额依据当期主营业务成本、农产品耗用率以及扣除率计算。公式为：</w:t>
      </w:r>
      <w:r>
        <w:rPr>
          <w:rFonts w:hint="eastAsia"/>
        </w:rPr>
        <w:br w:type="textWrapping"/>
      </w:r>
      <w:r>
        <w:rPr>
          <w:rFonts w:hint="eastAsia"/>
        </w:rPr>
        <w:t>    当期允许抵扣农产品增值税进项税额=当期主营业务成本×农产品耗用率×扣除率/（1＋扣除率）</w:t>
      </w:r>
      <w:r>
        <w:rPr>
          <w:rFonts w:hint="eastAsia"/>
        </w:rPr>
        <w:br w:type="textWrapping"/>
      </w:r>
      <w:r>
        <w:rPr>
          <w:rFonts w:hint="eastAsia"/>
        </w:rPr>
        <w:t>    农产品耗用率=上年投入生产的农产品外购金额/上年生产成本</w:t>
      </w:r>
      <w:r>
        <w:rPr>
          <w:rFonts w:hint="eastAsia"/>
        </w:rPr>
        <w:br w:type="textWrapping"/>
      </w:r>
      <w:r>
        <w:rPr>
          <w:rFonts w:hint="eastAsia"/>
        </w:rPr>
        <w:t>    农产品外购金额（含税）不包括不构成货物实体的农产品（包括包装物、辅助材料、燃料、低值易耗品等）和在购进农产品之外单独支付的运费、入库前的整理费用。</w:t>
      </w:r>
      <w:r>
        <w:rPr>
          <w:rFonts w:hint="eastAsia"/>
        </w:rPr>
        <w:br w:type="textWrapping"/>
      </w:r>
      <w:r>
        <w:rPr>
          <w:rFonts w:hint="eastAsia"/>
        </w:rPr>
        <w:t>    对以单一农产品原料生产多种货物或者多种农产品原料生产多种货物的，在核算当期主营业务成本以及核定农产品耗用率时，试点纳税人应依据合理的方法进行归集和分配。</w:t>
      </w:r>
      <w:r>
        <w:rPr>
          <w:rFonts w:hint="eastAsia"/>
        </w:rPr>
        <w:br w:type="textWrapping"/>
      </w:r>
      <w:r>
        <w:rPr>
          <w:rFonts w:hint="eastAsia"/>
        </w:rPr>
        <w:t>    农产品耗用率由试点纳税人向主管税务机关申请核定。</w:t>
      </w:r>
      <w:r>
        <w:rPr>
          <w:rFonts w:hint="eastAsia"/>
        </w:rPr>
        <w:br w:type="textWrapping"/>
      </w:r>
      <w:r>
        <w:rPr>
          <w:rFonts w:hint="eastAsia"/>
        </w:rPr>
        <w:t>    年度终了，主管税务机关应根据试点纳税人本年实际对当年已抵扣的农产品增值税进项税额进行纳税调整，重新核定当年的农产品耗用率，并作为下一年度的农产品耗用率。</w:t>
      </w:r>
      <w:r>
        <w:rPr>
          <w:rFonts w:hint="eastAsia"/>
        </w:rPr>
        <w:br w:type="textWrapping"/>
      </w:r>
      <w:r>
        <w:rPr>
          <w:rFonts w:hint="eastAsia"/>
        </w:rPr>
        <w:t>    3、参照法：新办的试点纳税人或者试点纳税人新增产品的，试点纳税人可参照所属行业或者生产结构相近的其他试点纳税人确定农产品单耗数量或者农产品耗用率。次年，试点纳税人向主管税务机关申请核定当期的农产品单耗数量或者农产品耗用率，并据此计算确定当年允许抵扣的农产品增值税进项税额，同时对上一年增值税进项税额进行调整。核定的进项税额超过实际抵扣增值税进项税额的，其差额部分可以结转下期继续抵扣；核定的进项税额低于实际抵扣增值税进项税额的，其差额部分应按现行增值税的有关规定将进项税额做转出处理。</w:t>
      </w:r>
      <w:r>
        <w:rPr>
          <w:rFonts w:hint="eastAsia"/>
        </w:rPr>
        <w:br w:type="textWrapping"/>
      </w:r>
      <w:r>
        <w:rPr>
          <w:rFonts w:hint="eastAsia"/>
        </w:rPr>
        <w:t>    （二）试点纳税人购进农产品直接销售的，农产品增值税进项税额按照以下方法核定扣除：</w:t>
      </w:r>
      <w:r>
        <w:rPr>
          <w:rFonts w:hint="eastAsia"/>
        </w:rPr>
        <w:br w:type="textWrapping"/>
      </w:r>
      <w:r>
        <w:rPr>
          <w:rFonts w:hint="eastAsia"/>
        </w:rPr>
        <w:t>    当期允许抵扣农产品增值税进项税额=当期销售农产品数量/（1－损耗率）×农产品平均购买单价×13%/（1＋13％）</w:t>
      </w:r>
      <w:r>
        <w:rPr>
          <w:rFonts w:hint="eastAsia"/>
        </w:rPr>
        <w:br w:type="textWrapping"/>
      </w:r>
      <w:r>
        <w:rPr>
          <w:rFonts w:hint="eastAsia"/>
        </w:rPr>
        <w:t>    损耗率＝损耗数量/购进数量</w:t>
      </w:r>
      <w:r>
        <w:rPr>
          <w:rFonts w:hint="eastAsia"/>
        </w:rPr>
        <w:br w:type="textWrapping"/>
      </w:r>
      <w:r>
        <w:rPr>
          <w:rFonts w:hint="eastAsia"/>
        </w:rPr>
        <w:t>    （三）试点纳税人购进农产品用于生产经营且不构成货物实体的（包括包装物、辅助材料、燃料、低值易耗品等），增值税进项税额按照以下方法核定扣除：</w:t>
      </w:r>
      <w:r>
        <w:rPr>
          <w:rFonts w:hint="eastAsia"/>
        </w:rPr>
        <w:br w:type="textWrapping"/>
      </w:r>
      <w:r>
        <w:rPr>
          <w:rFonts w:hint="eastAsia"/>
        </w:rPr>
        <w:t>    当期允许抵扣农产品增值税进项税额=当期耗用农产品数量×农产品平均购买单价×13%/(1+13%)</w:t>
      </w:r>
      <w:r>
        <w:rPr>
          <w:rFonts w:hint="eastAsia"/>
        </w:rPr>
        <w:br w:type="textWrapping"/>
      </w:r>
      <w:r>
        <w:rPr>
          <w:rFonts w:hint="eastAsia"/>
        </w:rPr>
        <w:t>    农产品单耗数量、农产品耗用率和损耗率统称为农产品增值税进项税额扣除标准（以下称扣除标准）。</w:t>
      </w:r>
      <w:r>
        <w:rPr>
          <w:rFonts w:hint="eastAsia"/>
        </w:rPr>
        <w:br w:type="textWrapping"/>
      </w:r>
      <w:r>
        <w:rPr>
          <w:rFonts w:hint="eastAsia"/>
        </w:rPr>
        <w:t>    五、试点纳税人销售货物，应合并计算当期允许抵扣农产品增值税进项税额。</w:t>
      </w:r>
      <w:r>
        <w:rPr>
          <w:rFonts w:hint="eastAsia"/>
        </w:rPr>
        <w:br w:type="textWrapping"/>
      </w:r>
      <w:r>
        <w:rPr>
          <w:rFonts w:hint="eastAsia"/>
        </w:rPr>
        <w:t>    六、试点纳税人购进农产品取得的农产品增值税专用发票和海关进口增值税专用缴款书，按照注明的金额及增值税额一并计入成本科目；自行开具的农产品收购发票和取得的农产品销售发票，按照注明的买价直接计入成本。</w:t>
      </w:r>
      <w:r>
        <w:rPr>
          <w:rFonts w:hint="eastAsia"/>
        </w:rPr>
        <w:br w:type="textWrapping"/>
      </w:r>
      <w:r>
        <w:rPr>
          <w:rFonts w:hint="eastAsia"/>
        </w:rPr>
        <w:t>    七、本办法规定的扣除率为销售货物的适用税率。</w:t>
      </w:r>
      <w:r>
        <w:rPr>
          <w:rFonts w:hint="eastAsia"/>
        </w:rPr>
        <w:br w:type="textWrapping"/>
      </w:r>
      <w:r>
        <w:rPr>
          <w:rFonts w:hint="eastAsia"/>
        </w:rPr>
        <w:t>    八、省级（包括计划单列市，下同）税务机关应根据本办法第四条规定的核定方法顺序，确定试点纳税人适用的农产品增值税进项税额核定扣除方法。</w:t>
      </w:r>
      <w:r>
        <w:rPr>
          <w:rFonts w:hint="eastAsia"/>
        </w:rPr>
        <w:br w:type="textWrapping"/>
      </w:r>
      <w:r>
        <w:rPr>
          <w:rFonts w:hint="eastAsia"/>
        </w:rPr>
        <w:t>    九、试点纳税人应自执行本办法之日起，将期初库存农产品以及库存半成品、产成品耗用的农产品增值税进项税额作转出处理。</w:t>
      </w:r>
      <w:r>
        <w:rPr>
          <w:rFonts w:hint="eastAsia"/>
        </w:rPr>
        <w:br w:type="textWrapping"/>
      </w:r>
      <w:r>
        <w:rPr>
          <w:rFonts w:hint="eastAsia"/>
        </w:rPr>
        <w:t>    十、试点纳税人应当按照本办法第四条的规定准确计算当期允许抵扣农产品增值税进项税额，并从相关科目转入“应交税金一应交增值税(进项税额)”科目。未能准确计算的，由主管税务机关核定。</w:t>
      </w:r>
      <w:r>
        <w:rPr>
          <w:rFonts w:hint="eastAsia"/>
        </w:rPr>
        <w:br w:type="textWrapping"/>
      </w:r>
      <w:r>
        <w:rPr>
          <w:rFonts w:hint="eastAsia"/>
        </w:rPr>
        <w:t>    十一、试点纳税人购进的农产品价格明显偏高或偏低，且不具有合理商业目的的，由主管税务机关核定。</w:t>
      </w:r>
      <w:r>
        <w:rPr>
          <w:rFonts w:hint="eastAsia"/>
        </w:rPr>
        <w:br w:type="textWrapping"/>
      </w:r>
      <w:r>
        <w:rPr>
          <w:rFonts w:hint="eastAsia"/>
        </w:rPr>
        <w:t>    十二、试点纳税人在计算农产品增值税进项税额时，应按照下列顺序确定适用的扣除标准：</w:t>
      </w:r>
      <w:r>
        <w:rPr>
          <w:rFonts w:hint="eastAsia"/>
        </w:rPr>
        <w:br w:type="textWrapping"/>
      </w:r>
      <w:r>
        <w:rPr>
          <w:rFonts w:hint="eastAsia"/>
        </w:rPr>
        <w:t>    （一）财政部和国家税务总局不定期公布的全国统一的扣除标准。</w:t>
      </w:r>
      <w:r>
        <w:rPr>
          <w:rFonts w:hint="eastAsia"/>
        </w:rPr>
        <w:br w:type="textWrapping"/>
      </w:r>
      <w:r>
        <w:rPr>
          <w:rFonts w:hint="eastAsia"/>
        </w:rPr>
        <w:t>    （二）省级税务机关商同级财政机关根据本地区实际情况，报经财政部和国家税务总局备案后公布的适用于本地区的扣除标准。</w:t>
      </w:r>
      <w:r>
        <w:rPr>
          <w:rFonts w:hint="eastAsia"/>
        </w:rPr>
        <w:br w:type="textWrapping"/>
      </w:r>
      <w:r>
        <w:rPr>
          <w:rFonts w:hint="eastAsia"/>
        </w:rPr>
        <w:t>    （三）省级税务机关依据试点纳税人申请，按照本办法第十三条规定的核定程序审定的仅适用于该试点纳税人的扣除标准。</w:t>
      </w:r>
      <w:r>
        <w:rPr>
          <w:rFonts w:hint="eastAsia"/>
        </w:rPr>
        <w:br w:type="textWrapping"/>
      </w:r>
      <w:r>
        <w:rPr>
          <w:rFonts w:hint="eastAsia"/>
        </w:rPr>
        <w:t>    十三、试点纳税人扣除标准核定程序</w:t>
      </w:r>
      <w:r>
        <w:rPr>
          <w:rFonts w:hint="eastAsia"/>
        </w:rPr>
        <w:br w:type="textWrapping"/>
      </w:r>
      <w:r>
        <w:rPr>
          <w:rFonts w:hint="eastAsia"/>
        </w:rPr>
        <w:t>    （一）试点纳税人以农产品为原料生产货物的扣除标准核定程序：</w:t>
      </w:r>
      <w:r>
        <w:rPr>
          <w:rFonts w:hint="eastAsia"/>
        </w:rPr>
        <w:br w:type="textWrapping"/>
      </w:r>
      <w:r>
        <w:rPr>
          <w:rFonts w:hint="eastAsia"/>
        </w:rPr>
        <w:t>    1、申请核定。以农产品为原料生产货物的试点纳税人应于当年1月15日前（2012年为7月15日前）或者投产之日起30日内，向主管税务机关提出扣除标准核定申请并提供有关资料。申请资料的范围和要求由省级税务机关确定。</w:t>
      </w:r>
      <w:r>
        <w:rPr>
          <w:rFonts w:hint="eastAsia"/>
        </w:rPr>
        <w:br w:type="textWrapping"/>
      </w:r>
      <w:r>
        <w:rPr>
          <w:rFonts w:hint="eastAsia"/>
        </w:rPr>
        <w:t>    2、审定。主管税务机关应对试点纳税人的申请资料进行审核，并逐级上报给省级税务机关。</w:t>
      </w:r>
      <w:r>
        <w:rPr>
          <w:rFonts w:hint="eastAsia"/>
        </w:rPr>
        <w:br w:type="textWrapping"/>
      </w:r>
      <w:r>
        <w:rPr>
          <w:rFonts w:hint="eastAsia"/>
        </w:rPr>
        <w:t>    省级税务机关应由货物和劳务税处牵头，会同政策法规处等相关部门组成扣除标准核定小组，核定结果应由省级税务机关下达，主管税务机关通过网站、报刊等多种方式及时向社会公告核定结果。未经公告的扣除标准无效。</w:t>
      </w:r>
      <w:r>
        <w:rPr>
          <w:rFonts w:hint="eastAsia"/>
        </w:rPr>
        <w:br w:type="textWrapping"/>
      </w:r>
      <w:r>
        <w:rPr>
          <w:rFonts w:hint="eastAsia"/>
        </w:rPr>
        <w:t>    省级税务机关尚未下达核定结果前，试点纳税人可按上年确定的核定扣除标准计算申报农产品进项税额。</w:t>
      </w:r>
      <w:r>
        <w:rPr>
          <w:rFonts w:hint="eastAsia"/>
        </w:rPr>
        <w:br w:type="textWrapping"/>
      </w:r>
      <w:r>
        <w:rPr>
          <w:rFonts w:hint="eastAsia"/>
        </w:rPr>
        <w:t>    （二）试点纳税人购进农产品直接销售、购进农产品用于生产经营且不构成货物实体扣除标准的核定采取备案制，抵扣农产品增值税进项税额的试点纳税人应在申报缴纳税款时向主管税务机关备案。备案资料的范围和要求由省级税务机关确定。</w:t>
      </w:r>
      <w:r>
        <w:rPr>
          <w:rFonts w:hint="eastAsia"/>
        </w:rPr>
        <w:br w:type="textWrapping"/>
      </w:r>
      <w:r>
        <w:rPr>
          <w:rFonts w:hint="eastAsia"/>
        </w:rPr>
        <w:t>    十四、试点纳税人对税务机关根据本办法第十三条规定核定的扣除标准有疑义或者生产经营情况发生变化的，可以自税务机关发布公告或者收到主管税务机关《税务事项通知书》之日起30日内，向主管税务机关提出重新核定扣除标准申请，并提供说明其生产、经营真实情况的证据，主管税务机关应当自接到申请之日起30日内书面答复。</w:t>
      </w:r>
      <w:r>
        <w:rPr>
          <w:rFonts w:hint="eastAsia"/>
        </w:rPr>
        <w:br w:type="textWrapping"/>
      </w:r>
      <w:r>
        <w:rPr>
          <w:rFonts w:hint="eastAsia"/>
        </w:rPr>
        <w:t>    十五、试点纳税人在申报期内，除向主管税务机关报送《增值税一般纳税人纳税申报办法》规定的纳税申报资料外，还应报送《农产品核定扣除增值税进项税额计算表》（见附表）。</w:t>
      </w:r>
      <w:r>
        <w:rPr>
          <w:rFonts w:hint="eastAsia"/>
        </w:rPr>
        <w:br w:type="textWrapping"/>
      </w:r>
      <w:r>
        <w:rPr>
          <w:rFonts w:hint="eastAsia"/>
        </w:rPr>
        <w:t>    十六、各级税务机关应加强对试点纳税人农产品增值税进项税额计算扣除情况的监管，防范和打击虚开发票行为，定期进行纳税评估，及时发现申报纳税中存在的问题。</w:t>
      </w:r>
      <w:r>
        <w:rPr>
          <w:rFonts w:hint="eastAsia"/>
        </w:rPr>
        <w:br w:type="textWrapping"/>
      </w:r>
      <w:r>
        <w:rPr>
          <w:rFonts w:hint="eastAsia"/>
        </w:rPr>
        <w:t>      附：</w:t>
      </w:r>
      <w:bookmarkStart w:id="0" w:name="attachment"/>
      <w:r>
        <w:rPr>
          <w:rFonts w:hint="eastAsia"/>
        </w:rPr>
        <w:fldChar w:fldCharType="begin"/>
      </w:r>
      <w:r>
        <w:rPr>
          <w:rFonts w:hint="eastAsia"/>
        </w:rPr>
        <w:instrText xml:space="preserve"> HYPERLINK "https://www.chinatax.gov.cn/chinatax/n810341/n810765/n812151/n812421/c1083612/22299/files/c3b3eb7a8b5e42f6ac4a89009904bda2.docx" \t "https://www.chinatax.gov.cn/chinatax/n810341/n810765/n812151/n812421/c1083612/_blank" </w:instrText>
      </w:r>
      <w:r>
        <w:rPr>
          <w:rFonts w:hint="eastAsia"/>
        </w:rPr>
        <w:fldChar w:fldCharType="separate"/>
      </w:r>
      <w:r>
        <w:rPr>
          <w:rFonts w:hint="eastAsia"/>
        </w:rPr>
        <w:t>农产品核定扣除增值税进项税额计算表.doc</w:t>
      </w:r>
      <w:bookmarkEnd w:id="0"/>
      <w:r>
        <w:rPr>
          <w:rFonts w:hint="eastAsia"/>
        </w:rPr>
        <w:fldChar w:fldCharType="end"/>
      </w:r>
    </w:p>
    <w:p w14:paraId="71423FA9">
      <w:pPr>
        <w:rPr>
          <w:rFonts w:hint="eastAsia"/>
        </w:rPr>
      </w:pPr>
      <w:r>
        <w:rPr>
          <w:rFonts w:hint="eastAsia"/>
        </w:rPr>
        <w:t>附件2：</w:t>
      </w:r>
    </w:p>
    <w:p w14:paraId="32D313EC">
      <w:pPr>
        <w:rPr>
          <w:rFonts w:hint="eastAsia"/>
        </w:rPr>
      </w:pPr>
      <w:r>
        <w:rPr>
          <w:rFonts w:hint="eastAsia"/>
        </w:rPr>
        <w:t>全国统一的部分液体乳及乳制品扣除标准表</w:t>
      </w:r>
    </w:p>
    <w:p w14:paraId="3F6A8DD9">
      <w:pPr>
        <w:rPr>
          <w:rFonts w:hint="eastAsia"/>
        </w:rPr>
      </w:pPr>
      <w:r>
        <w:rPr>
          <w:rFonts w:hint="eastAsia"/>
        </w:rPr>
        <w:t> </w:t>
      </w:r>
    </w:p>
    <w:p w14:paraId="7BB8850E">
      <w:pPr>
        <w:rPr>
          <w:rFonts w:hint="eastAsia"/>
        </w:rPr>
      </w:pPr>
      <w:r>
        <w:rPr>
          <w:rFonts w:hint="eastAsia"/>
        </w:rPr>
        <w:t> </w:t>
      </w:r>
    </w:p>
    <w:p w14:paraId="08BFD253">
      <w:pPr>
        <w:rPr>
          <w:rFonts w:hint="eastAsia"/>
        </w:rPr>
      </w:pPr>
      <w:r>
        <w:rPr>
          <w:rFonts w:hint="eastAsia"/>
        </w:rPr>
        <w:t> </w:t>
      </w:r>
    </w:p>
    <w:tbl>
      <w:tblPr>
        <w:tblStyle w:val="2"/>
        <w:tblW w:w="0" w:type="auto"/>
        <w:tblInd w:w="0" w:type="dxa"/>
        <w:tblBorders>
          <w:top w:val="single" w:color="000000" w:sz="4" w:space="0"/>
          <w:left w:val="single" w:color="000000" w:sz="4" w:space="0"/>
          <w:bottom w:val="single" w:color="000000" w:sz="4" w:space="0"/>
          <w:right w:val="single" w:color="000000" w:sz="4" w:space="0"/>
          <w:insideH w:val="outset" w:color="auto" w:sz="6" w:space="0"/>
          <w:insideV w:val="outset" w:color="auto" w:sz="6" w:space="0"/>
        </w:tblBorders>
        <w:shd w:val="clear" w:color="auto" w:fill="FFFFFF"/>
        <w:tblLayout w:type="autofit"/>
        <w:tblCellMar>
          <w:top w:w="0" w:type="dxa"/>
          <w:left w:w="0" w:type="dxa"/>
          <w:bottom w:w="0" w:type="dxa"/>
          <w:right w:w="0" w:type="dxa"/>
        </w:tblCellMar>
      </w:tblPr>
      <w:tblGrid>
        <w:gridCol w:w="4267"/>
        <w:gridCol w:w="4255"/>
      </w:tblGrid>
      <w:tr w14:paraId="509D4B95">
        <w:tblPrEx>
          <w:tblBorders>
            <w:top w:val="single" w:color="000000" w:sz="4" w:space="0"/>
            <w:left w:val="single" w:color="000000" w:sz="4" w:space="0"/>
            <w:bottom w:val="single" w:color="000000" w:sz="4" w:space="0"/>
            <w:right w:val="single" w:color="000000" w:sz="4" w:space="0"/>
            <w:insideH w:val="outset" w:color="auto" w:sz="6" w:space="0"/>
            <w:insideV w:val="outset" w:color="auto" w:sz="6" w:space="0"/>
          </w:tblBorders>
          <w:shd w:val="clear" w:color="auto" w:fill="FFFFFF"/>
          <w:tblCellMar>
            <w:top w:w="0" w:type="dxa"/>
            <w:left w:w="0" w:type="dxa"/>
            <w:bottom w:w="0" w:type="dxa"/>
            <w:right w:w="0" w:type="dxa"/>
          </w:tblCellMar>
        </w:tblPrEx>
        <w:trPr>
          <w:trHeight w:val="607" w:hRule="atLeast"/>
        </w:trPr>
        <w:tc>
          <w:tcPr>
            <w:tcW w:w="4308"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14:paraId="1E0C7472">
            <w:pPr>
              <w:rPr>
                <w:rFonts w:hint="eastAsia"/>
              </w:rPr>
            </w:pPr>
            <w:r>
              <w:rPr>
                <w:rFonts w:hint="eastAsia"/>
              </w:rPr>
              <w:t>                      扣除标准</w:t>
            </w:r>
          </w:p>
          <w:p w14:paraId="17D74A21">
            <w:pPr>
              <w:rPr>
                <w:rFonts w:hint="eastAsia"/>
              </w:rPr>
            </w:pPr>
            <w:r>
              <w:rPr>
                <w:rFonts w:hint="eastAsia"/>
              </w:rPr>
              <w:t>产品类型</w:t>
            </w:r>
          </w:p>
        </w:tc>
        <w:tc>
          <w:tcPr>
            <w:tcW w:w="4305" w:type="dxa"/>
            <w:tcBorders>
              <w:top w:val="single" w:color="auto" w:sz="8" w:space="0"/>
              <w:left w:val="nil"/>
              <w:bottom w:val="single" w:color="auto" w:sz="8" w:space="0"/>
              <w:right w:val="single" w:color="auto" w:sz="8" w:space="0"/>
            </w:tcBorders>
            <w:shd w:val="clear" w:color="auto" w:fill="FFFFFF"/>
            <w:tcMar>
              <w:left w:w="108" w:type="dxa"/>
              <w:right w:w="108" w:type="dxa"/>
            </w:tcMar>
            <w:vAlign w:val="top"/>
          </w:tcPr>
          <w:p w14:paraId="64B6FDAB">
            <w:pPr>
              <w:rPr>
                <w:rFonts w:hint="eastAsia"/>
              </w:rPr>
            </w:pPr>
            <w:r>
              <w:rPr>
                <w:rFonts w:hint="eastAsia"/>
              </w:rPr>
              <w:t>原乳单耗数量（吨）</w:t>
            </w:r>
          </w:p>
        </w:tc>
      </w:tr>
      <w:tr w14:paraId="373BAC86">
        <w:tblPrEx>
          <w:tblBorders>
            <w:top w:val="single" w:color="000000" w:sz="4" w:space="0"/>
            <w:left w:val="single" w:color="000000" w:sz="4" w:space="0"/>
            <w:bottom w:val="single" w:color="000000" w:sz="4" w:space="0"/>
            <w:right w:val="single" w:color="000000" w:sz="4" w:space="0"/>
            <w:insideH w:val="outset" w:color="auto" w:sz="6" w:space="0"/>
            <w:insideV w:val="outset" w:color="auto" w:sz="6" w:space="0"/>
          </w:tblBorders>
          <w:shd w:val="clear" w:color="auto" w:fill="FFFFFF"/>
          <w:tblCellMar>
            <w:top w:w="0" w:type="dxa"/>
            <w:left w:w="0" w:type="dxa"/>
            <w:bottom w:w="0" w:type="dxa"/>
            <w:right w:w="0" w:type="dxa"/>
          </w:tblCellMar>
        </w:tblPrEx>
        <w:tc>
          <w:tcPr>
            <w:tcW w:w="4308" w:type="dxa"/>
            <w:tcBorders>
              <w:top w:val="nil"/>
              <w:left w:val="single" w:color="auto" w:sz="8" w:space="0"/>
              <w:bottom w:val="single" w:color="auto" w:sz="8" w:space="0"/>
              <w:right w:val="single" w:color="auto" w:sz="8" w:space="0"/>
            </w:tcBorders>
            <w:shd w:val="clear" w:color="auto" w:fill="FFFFFF"/>
            <w:tcMar>
              <w:left w:w="108" w:type="dxa"/>
              <w:right w:w="108" w:type="dxa"/>
            </w:tcMar>
            <w:vAlign w:val="top"/>
          </w:tcPr>
          <w:p w14:paraId="3D2855F9">
            <w:pPr>
              <w:rPr>
                <w:rFonts w:hint="eastAsia"/>
              </w:rPr>
            </w:pPr>
            <w:r>
              <w:rPr>
                <w:rFonts w:hint="eastAsia"/>
              </w:rPr>
              <w:t>超高温灭菌牛乳（每吨）</w:t>
            </w:r>
          </w:p>
        </w:tc>
        <w:tc>
          <w:tcPr>
            <w:tcW w:w="4305" w:type="dxa"/>
            <w:tcBorders>
              <w:top w:val="nil"/>
              <w:left w:val="nil"/>
              <w:bottom w:val="single" w:color="auto" w:sz="8" w:space="0"/>
              <w:right w:val="single" w:color="auto" w:sz="8" w:space="0"/>
            </w:tcBorders>
            <w:shd w:val="clear" w:color="auto" w:fill="FFFFFF"/>
            <w:tcMar>
              <w:left w:w="108" w:type="dxa"/>
              <w:right w:w="108" w:type="dxa"/>
            </w:tcMar>
            <w:vAlign w:val="top"/>
          </w:tcPr>
          <w:p w14:paraId="4A6DBD95">
            <w:pPr>
              <w:rPr>
                <w:rFonts w:hint="eastAsia"/>
              </w:rPr>
            </w:pPr>
            <w:r>
              <w:rPr>
                <w:rFonts w:hint="eastAsia"/>
              </w:rPr>
              <w:t>1.068</w:t>
            </w:r>
          </w:p>
        </w:tc>
      </w:tr>
      <w:tr w14:paraId="21C62B34">
        <w:tblPrEx>
          <w:tblBorders>
            <w:top w:val="single" w:color="000000" w:sz="4" w:space="0"/>
            <w:left w:val="single" w:color="000000" w:sz="4" w:space="0"/>
            <w:bottom w:val="single" w:color="000000" w:sz="4" w:space="0"/>
            <w:right w:val="single" w:color="000000" w:sz="4" w:space="0"/>
            <w:insideH w:val="outset" w:color="auto" w:sz="6" w:space="0"/>
            <w:insideV w:val="outset" w:color="auto" w:sz="6" w:space="0"/>
          </w:tblBorders>
          <w:shd w:val="clear" w:color="auto" w:fill="FFFFFF"/>
          <w:tblCellMar>
            <w:top w:w="0" w:type="dxa"/>
            <w:left w:w="0" w:type="dxa"/>
            <w:bottom w:w="0" w:type="dxa"/>
            <w:right w:w="0" w:type="dxa"/>
          </w:tblCellMar>
        </w:tblPrEx>
        <w:tc>
          <w:tcPr>
            <w:tcW w:w="4308" w:type="dxa"/>
            <w:tcBorders>
              <w:top w:val="nil"/>
              <w:left w:val="single" w:color="auto" w:sz="8" w:space="0"/>
              <w:bottom w:val="single" w:color="auto" w:sz="8" w:space="0"/>
              <w:right w:val="single" w:color="auto" w:sz="8" w:space="0"/>
            </w:tcBorders>
            <w:shd w:val="clear" w:color="auto" w:fill="FFFFFF"/>
            <w:tcMar>
              <w:left w:w="108" w:type="dxa"/>
              <w:right w:w="108" w:type="dxa"/>
            </w:tcMar>
            <w:vAlign w:val="top"/>
          </w:tcPr>
          <w:p w14:paraId="194E2D10">
            <w:pPr>
              <w:rPr>
                <w:rFonts w:hint="eastAsia"/>
              </w:rPr>
            </w:pPr>
            <w:r>
              <w:rPr>
                <w:rFonts w:hint="eastAsia"/>
              </w:rPr>
              <w:t>超高温灭菌牛乳（蛋白质含量≥3.3%）（每吨）</w:t>
            </w:r>
          </w:p>
        </w:tc>
        <w:tc>
          <w:tcPr>
            <w:tcW w:w="4305" w:type="dxa"/>
            <w:tcBorders>
              <w:top w:val="nil"/>
              <w:left w:val="nil"/>
              <w:bottom w:val="single" w:color="auto" w:sz="8" w:space="0"/>
              <w:right w:val="single" w:color="auto" w:sz="8" w:space="0"/>
            </w:tcBorders>
            <w:shd w:val="clear" w:color="auto" w:fill="FFFFFF"/>
            <w:tcMar>
              <w:left w:w="108" w:type="dxa"/>
              <w:right w:w="108" w:type="dxa"/>
            </w:tcMar>
            <w:vAlign w:val="top"/>
          </w:tcPr>
          <w:p w14:paraId="79A3CE1E">
            <w:pPr>
              <w:rPr>
                <w:rFonts w:hint="eastAsia"/>
              </w:rPr>
            </w:pPr>
            <w:r>
              <w:rPr>
                <w:rFonts w:hint="eastAsia"/>
              </w:rPr>
              <w:t>1.124</w:t>
            </w:r>
          </w:p>
        </w:tc>
      </w:tr>
      <w:tr w14:paraId="1B30EF7B">
        <w:tblPrEx>
          <w:tblBorders>
            <w:top w:val="single" w:color="000000" w:sz="4" w:space="0"/>
            <w:left w:val="single" w:color="000000" w:sz="4" w:space="0"/>
            <w:bottom w:val="single" w:color="000000" w:sz="4" w:space="0"/>
            <w:right w:val="single" w:color="000000" w:sz="4" w:space="0"/>
            <w:insideH w:val="outset" w:color="auto" w:sz="6" w:space="0"/>
            <w:insideV w:val="outset" w:color="auto" w:sz="6" w:space="0"/>
          </w:tblBorders>
          <w:shd w:val="clear" w:color="auto" w:fill="FFFFFF"/>
          <w:tblCellMar>
            <w:top w:w="0" w:type="dxa"/>
            <w:left w:w="0" w:type="dxa"/>
            <w:bottom w:w="0" w:type="dxa"/>
            <w:right w:w="0" w:type="dxa"/>
          </w:tblCellMar>
        </w:tblPrEx>
        <w:tc>
          <w:tcPr>
            <w:tcW w:w="4308" w:type="dxa"/>
            <w:tcBorders>
              <w:top w:val="nil"/>
              <w:left w:val="single" w:color="auto" w:sz="8" w:space="0"/>
              <w:bottom w:val="single" w:color="auto" w:sz="8" w:space="0"/>
              <w:right w:val="single" w:color="auto" w:sz="8" w:space="0"/>
            </w:tcBorders>
            <w:shd w:val="clear" w:color="auto" w:fill="FFFFFF"/>
            <w:tcMar>
              <w:left w:w="108" w:type="dxa"/>
              <w:right w:w="108" w:type="dxa"/>
            </w:tcMar>
            <w:vAlign w:val="top"/>
          </w:tcPr>
          <w:p w14:paraId="2C194A84">
            <w:pPr>
              <w:rPr>
                <w:rFonts w:hint="eastAsia"/>
              </w:rPr>
            </w:pPr>
            <w:r>
              <w:rPr>
                <w:rFonts w:hint="eastAsia"/>
              </w:rPr>
              <w:t>巴氏杀菌牛乳（每吨）</w:t>
            </w:r>
          </w:p>
        </w:tc>
        <w:tc>
          <w:tcPr>
            <w:tcW w:w="4305" w:type="dxa"/>
            <w:tcBorders>
              <w:top w:val="nil"/>
              <w:left w:val="nil"/>
              <w:bottom w:val="single" w:color="auto" w:sz="8" w:space="0"/>
              <w:right w:val="single" w:color="auto" w:sz="8" w:space="0"/>
            </w:tcBorders>
            <w:shd w:val="clear" w:color="auto" w:fill="FFFFFF"/>
            <w:tcMar>
              <w:left w:w="108" w:type="dxa"/>
              <w:right w:w="108" w:type="dxa"/>
            </w:tcMar>
            <w:vAlign w:val="top"/>
          </w:tcPr>
          <w:p w14:paraId="16E0150A">
            <w:pPr>
              <w:rPr>
                <w:rFonts w:hint="eastAsia"/>
              </w:rPr>
            </w:pPr>
            <w:r>
              <w:rPr>
                <w:rFonts w:hint="eastAsia"/>
              </w:rPr>
              <w:t>1.055</w:t>
            </w:r>
          </w:p>
        </w:tc>
      </w:tr>
      <w:tr w14:paraId="198F0C95">
        <w:tblPrEx>
          <w:tblBorders>
            <w:top w:val="single" w:color="000000" w:sz="4" w:space="0"/>
            <w:left w:val="single" w:color="000000" w:sz="4" w:space="0"/>
            <w:bottom w:val="single" w:color="000000" w:sz="4" w:space="0"/>
            <w:right w:val="single" w:color="000000" w:sz="4" w:space="0"/>
            <w:insideH w:val="outset" w:color="auto" w:sz="6" w:space="0"/>
            <w:insideV w:val="outset" w:color="auto" w:sz="6" w:space="0"/>
          </w:tblBorders>
          <w:shd w:val="clear" w:color="auto" w:fill="FFFFFF"/>
          <w:tblCellMar>
            <w:top w:w="0" w:type="dxa"/>
            <w:left w:w="0" w:type="dxa"/>
            <w:bottom w:w="0" w:type="dxa"/>
            <w:right w:w="0" w:type="dxa"/>
          </w:tblCellMar>
        </w:tblPrEx>
        <w:tc>
          <w:tcPr>
            <w:tcW w:w="4308" w:type="dxa"/>
            <w:tcBorders>
              <w:top w:val="nil"/>
              <w:left w:val="single" w:color="auto" w:sz="8" w:space="0"/>
              <w:bottom w:val="single" w:color="auto" w:sz="8" w:space="0"/>
              <w:right w:val="single" w:color="auto" w:sz="8" w:space="0"/>
            </w:tcBorders>
            <w:shd w:val="clear" w:color="auto" w:fill="FFFFFF"/>
            <w:tcMar>
              <w:left w:w="108" w:type="dxa"/>
              <w:right w:w="108" w:type="dxa"/>
            </w:tcMar>
            <w:vAlign w:val="top"/>
          </w:tcPr>
          <w:p w14:paraId="52653B64">
            <w:pPr>
              <w:rPr>
                <w:rFonts w:hint="eastAsia"/>
              </w:rPr>
            </w:pPr>
            <w:r>
              <w:rPr>
                <w:rFonts w:hint="eastAsia"/>
              </w:rPr>
              <w:t>巴氏杀菌牛乳（蛋白质含量≥3.3%）（每吨）</w:t>
            </w:r>
          </w:p>
        </w:tc>
        <w:tc>
          <w:tcPr>
            <w:tcW w:w="4305" w:type="dxa"/>
            <w:tcBorders>
              <w:top w:val="nil"/>
              <w:left w:val="nil"/>
              <w:bottom w:val="single" w:color="auto" w:sz="8" w:space="0"/>
              <w:right w:val="single" w:color="auto" w:sz="8" w:space="0"/>
            </w:tcBorders>
            <w:shd w:val="clear" w:color="auto" w:fill="FFFFFF"/>
            <w:tcMar>
              <w:left w:w="108" w:type="dxa"/>
              <w:right w:w="108" w:type="dxa"/>
            </w:tcMar>
            <w:vAlign w:val="top"/>
          </w:tcPr>
          <w:p w14:paraId="55FF2040">
            <w:pPr>
              <w:rPr>
                <w:rFonts w:hint="eastAsia"/>
              </w:rPr>
            </w:pPr>
            <w:r>
              <w:rPr>
                <w:rFonts w:hint="eastAsia"/>
              </w:rPr>
              <w:t>1.196</w:t>
            </w:r>
          </w:p>
        </w:tc>
      </w:tr>
      <w:tr w14:paraId="45095C14">
        <w:tblPrEx>
          <w:tblBorders>
            <w:top w:val="single" w:color="000000" w:sz="4" w:space="0"/>
            <w:left w:val="single" w:color="000000" w:sz="4" w:space="0"/>
            <w:bottom w:val="single" w:color="000000" w:sz="4" w:space="0"/>
            <w:right w:val="single" w:color="000000" w:sz="4" w:space="0"/>
            <w:insideH w:val="outset" w:color="auto" w:sz="6" w:space="0"/>
            <w:insideV w:val="outset" w:color="auto" w:sz="6" w:space="0"/>
          </w:tblBorders>
          <w:shd w:val="clear" w:color="auto" w:fill="FFFFFF"/>
          <w:tblCellMar>
            <w:top w:w="0" w:type="dxa"/>
            <w:left w:w="0" w:type="dxa"/>
            <w:bottom w:w="0" w:type="dxa"/>
            <w:right w:w="0" w:type="dxa"/>
          </w:tblCellMar>
        </w:tblPrEx>
        <w:tc>
          <w:tcPr>
            <w:tcW w:w="4308" w:type="dxa"/>
            <w:tcBorders>
              <w:top w:val="nil"/>
              <w:left w:val="single" w:color="auto" w:sz="8" w:space="0"/>
              <w:bottom w:val="single" w:color="auto" w:sz="8" w:space="0"/>
              <w:right w:val="single" w:color="auto" w:sz="8" w:space="0"/>
            </w:tcBorders>
            <w:shd w:val="clear" w:color="auto" w:fill="FFFFFF"/>
            <w:tcMar>
              <w:left w:w="108" w:type="dxa"/>
              <w:right w:w="108" w:type="dxa"/>
            </w:tcMar>
            <w:vAlign w:val="top"/>
          </w:tcPr>
          <w:p w14:paraId="4AF60A75">
            <w:pPr>
              <w:rPr>
                <w:rFonts w:hint="eastAsia"/>
              </w:rPr>
            </w:pPr>
            <w:r>
              <w:rPr>
                <w:rFonts w:hint="eastAsia"/>
              </w:rPr>
              <w:t>超高温灭菌羊乳（每吨）</w:t>
            </w:r>
          </w:p>
        </w:tc>
        <w:tc>
          <w:tcPr>
            <w:tcW w:w="4305" w:type="dxa"/>
            <w:tcBorders>
              <w:top w:val="nil"/>
              <w:left w:val="nil"/>
              <w:bottom w:val="single" w:color="auto" w:sz="8" w:space="0"/>
              <w:right w:val="single" w:color="auto" w:sz="8" w:space="0"/>
            </w:tcBorders>
            <w:shd w:val="clear" w:color="auto" w:fill="FFFFFF"/>
            <w:tcMar>
              <w:left w:w="108" w:type="dxa"/>
              <w:right w:w="108" w:type="dxa"/>
            </w:tcMar>
            <w:vAlign w:val="top"/>
          </w:tcPr>
          <w:p w14:paraId="78EF7282">
            <w:pPr>
              <w:rPr>
                <w:rFonts w:hint="eastAsia"/>
              </w:rPr>
            </w:pPr>
            <w:r>
              <w:rPr>
                <w:rFonts w:hint="eastAsia"/>
              </w:rPr>
              <w:t>1.023</w:t>
            </w:r>
          </w:p>
        </w:tc>
      </w:tr>
      <w:tr w14:paraId="1F68F001">
        <w:tblPrEx>
          <w:tblBorders>
            <w:top w:val="single" w:color="000000" w:sz="4" w:space="0"/>
            <w:left w:val="single" w:color="000000" w:sz="4" w:space="0"/>
            <w:bottom w:val="single" w:color="000000" w:sz="4" w:space="0"/>
            <w:right w:val="single" w:color="000000" w:sz="4" w:space="0"/>
            <w:insideH w:val="outset" w:color="auto" w:sz="6" w:space="0"/>
            <w:insideV w:val="outset" w:color="auto" w:sz="6" w:space="0"/>
          </w:tblBorders>
          <w:shd w:val="clear" w:color="auto" w:fill="FFFFFF"/>
          <w:tblCellMar>
            <w:top w:w="0" w:type="dxa"/>
            <w:left w:w="0" w:type="dxa"/>
            <w:bottom w:w="0" w:type="dxa"/>
            <w:right w:w="0" w:type="dxa"/>
          </w:tblCellMar>
        </w:tblPrEx>
        <w:tc>
          <w:tcPr>
            <w:tcW w:w="4308" w:type="dxa"/>
            <w:tcBorders>
              <w:top w:val="nil"/>
              <w:left w:val="single" w:color="auto" w:sz="8" w:space="0"/>
              <w:bottom w:val="single" w:color="auto" w:sz="8" w:space="0"/>
              <w:right w:val="single" w:color="auto" w:sz="8" w:space="0"/>
            </w:tcBorders>
            <w:shd w:val="clear" w:color="auto" w:fill="FFFFFF"/>
            <w:tcMar>
              <w:left w:w="108" w:type="dxa"/>
              <w:right w:w="108" w:type="dxa"/>
            </w:tcMar>
            <w:vAlign w:val="top"/>
          </w:tcPr>
          <w:p w14:paraId="32A3B8D6">
            <w:pPr>
              <w:rPr>
                <w:rFonts w:hint="eastAsia"/>
              </w:rPr>
            </w:pPr>
            <w:r>
              <w:rPr>
                <w:rFonts w:hint="eastAsia"/>
              </w:rPr>
              <w:t>巴氏杀菌羊乳（每吨）</w:t>
            </w:r>
          </w:p>
        </w:tc>
        <w:tc>
          <w:tcPr>
            <w:tcW w:w="4305" w:type="dxa"/>
            <w:tcBorders>
              <w:top w:val="nil"/>
              <w:left w:val="nil"/>
              <w:bottom w:val="single" w:color="auto" w:sz="8" w:space="0"/>
              <w:right w:val="single" w:color="auto" w:sz="8" w:space="0"/>
            </w:tcBorders>
            <w:shd w:val="clear" w:color="auto" w:fill="FFFFFF"/>
            <w:tcMar>
              <w:left w:w="108" w:type="dxa"/>
              <w:right w:w="108" w:type="dxa"/>
            </w:tcMar>
            <w:vAlign w:val="top"/>
          </w:tcPr>
          <w:p w14:paraId="69333ECB">
            <w:pPr>
              <w:rPr>
                <w:rFonts w:hint="eastAsia"/>
              </w:rPr>
            </w:pPr>
            <w:r>
              <w:rPr>
                <w:rFonts w:hint="eastAsia"/>
              </w:rPr>
              <w:t>1.062</w:t>
            </w:r>
          </w:p>
        </w:tc>
      </w:tr>
    </w:tbl>
    <w:p w14:paraId="4D994BB6"/>
    <w:p w14:paraId="78F57ABC"/>
    <w:p w14:paraId="281ACF2B"/>
    <w:p w14:paraId="19718404"/>
    <w:p w14:paraId="3FC5C3BE">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DE39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2026-07-20T14:14:39Z</dcterms:created>
  <dc:creator>Yang</dc:creator>
  <cp:lastModifiedBy>沙丘上的狐狸</cp:lastModifiedBy>
  <dcterms:modified xsi:type="dcterms:W3CDTF">2026-07-20T14:17:51Z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eyJoZGlkIjoiMGQ3MTQ0NDViZDJiZWU4OGU3MGNkMzZmMWE2ODlkMTQiLCJ1c2VySWQiOiIxMTQ1NzgzNjIxIn0=</vt:lpwstr>
  </property>
  <property fmtid="{D5CDD505-2E9C-101B-9397-08002B2CF9AE}" pid="4" name="ICV">
    <vt:lpwstr>5D92C0EF1BE8444BA64F4830A21F5A49_12</vt:lpwstr>
  </property>
</Properties>
</file>