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jc w:val="center"/>
      </w:pPr>
      <w:r>
        <w:rPr>
          <w:rFonts w:ascii="Arial" w:cs="Arial" w:eastAsia="Arial" w:hAnsi="Arial"/>
          <w:b/>
          <w:bCs/>
          <w:color w:val="0F4C2A"/>
          <w:sz w:val="52"/>
          <w:szCs w:val="52"/>
        </w:rPr>
        <w:t xml:space="preserve">StudyMind Elite</w:t>
      </w:r>
    </w:p>
    <w:p>
      <w:pPr>
        <w:spacing w:before="0" w:after="20"/>
        <w:jc w:val="center"/>
      </w:pPr>
      <w:r>
        <w:rPr>
          <w:rFonts w:ascii="Arial" w:cs="Arial" w:eastAsia="Arial" w:hAnsi="Arial"/>
          <w:color w:val="1A7A45"/>
          <w:sz w:val="28"/>
          <w:szCs w:val="28"/>
        </w:rPr>
        <w:t xml:space="preserve">Multi-Agent AI Academic Coach</w:t>
      </w:r>
    </w:p>
    <w:p>
      <w:pPr>
        <w:spacing w:before="0" w:after="240"/>
        <w:jc w:val="center"/>
      </w:pPr>
      <w:r>
        <w:rPr>
          <w:rFonts w:ascii="Arial" w:cs="Arial" w:eastAsia="Arial" w:hAnsi="Arial"/>
          <w:color w:val="3A5C45"/>
          <w:sz w:val="20"/>
          <w:szCs w:val="20"/>
        </w:rPr>
        <w:t xml:space="preserve">Milestone II  |  Multi-Agent Workflow Design Document  |  AGENTIC AI Section 003  |  Spring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Student</w:t>
            </w:r>
          </w:p>
        </w:tc>
        <w:tc>
          <w:tcPr>
            <w:tcW w:type="dxa" w:w="6960"/>
            <w:tcBorders>
              <w:top w:val="single" w:color="4CAF73" w:sz="1"/>
              <w:left w:val="single" w:color="4CAF73" w:sz="1"/>
              <w:bottom w:val="single" w:color="4CAF73" w:sz="1"/>
              <w:right w:val="single" w:color="4CAF73" w:sz="1"/>
            </w:tcBorders>
            <w:shd w:fill="F0FAF3" w:val="clear"/>
            <w:tcMar>
              <w:top w:type="dxa" w:w="80"/>
              <w:left w:type="dxa" w:w="120"/>
              <w:bottom w:type="dxa" w:w="80"/>
              <w:right w:type="dxa" w:w="120"/>
            </w:tcMar>
          </w:tcPr>
          <w:p>
            <w:r>
              <w:rPr>
                <w:rFonts w:ascii="Arial" w:cs="Arial" w:eastAsia="Arial" w:hAnsi="Arial"/>
                <w:color w:val="1A2E1F"/>
                <w:sz w:val="20"/>
                <w:szCs w:val="20"/>
              </w:rPr>
              <w:t xml:space="preserve">Abenezer Bekele</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Course</w:t>
            </w:r>
          </w:p>
        </w:tc>
        <w:tc>
          <w:tcPr>
            <w:tcW w:type="dxa" w:w="6960"/>
            <w:tcBorders>
              <w:top w:val="single" w:color="4CAF73" w:sz="1"/>
              <w:left w:val="single" w:color="4CAF73" w:sz="1"/>
              <w:bottom w:val="single" w:color="4CAF73" w:sz="1"/>
              <w:right w:val="single" w:color="4CAF73" w:sz="1"/>
            </w:tcBorders>
            <w:shd w:fill="FFFFFF" w:val="clear"/>
            <w:tcMar>
              <w:top w:type="dxa" w:w="80"/>
              <w:left w:type="dxa" w:w="120"/>
              <w:bottom w:type="dxa" w:w="80"/>
              <w:right w:type="dxa" w:w="120"/>
            </w:tcMar>
          </w:tcPr>
          <w:p>
            <w:r>
              <w:rPr>
                <w:rFonts w:ascii="Arial" w:cs="Arial" w:eastAsia="Arial" w:hAnsi="Arial"/>
                <w:color w:val="1A2E1F"/>
                <w:sz w:val="20"/>
                <w:szCs w:val="20"/>
              </w:rPr>
              <w:t xml:space="preserve">AGENTIC AI Section 003 Spring 2026</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Milestone</w:t>
            </w:r>
          </w:p>
        </w:tc>
        <w:tc>
          <w:tcPr>
            <w:tcW w:type="dxa" w:w="6960"/>
            <w:tcBorders>
              <w:top w:val="single" w:color="4CAF73" w:sz="1"/>
              <w:left w:val="single" w:color="4CAF73" w:sz="1"/>
              <w:bottom w:val="single" w:color="4CAF73" w:sz="1"/>
              <w:right w:val="single" w:color="4CAF73" w:sz="1"/>
            </w:tcBorders>
            <w:shd w:fill="F0FAF3" w:val="clear"/>
            <w:tcMar>
              <w:top w:type="dxa" w:w="80"/>
              <w:left w:type="dxa" w:w="120"/>
              <w:bottom w:type="dxa" w:w="80"/>
              <w:right w:type="dxa" w:w="120"/>
            </w:tcMar>
          </w:tcPr>
          <w:p>
            <w:r>
              <w:rPr>
                <w:rFonts w:ascii="Arial" w:cs="Arial" w:eastAsia="Arial" w:hAnsi="Arial"/>
                <w:color w:val="1A2E1F"/>
                <w:sz w:val="20"/>
                <w:szCs w:val="20"/>
              </w:rPr>
              <w:t xml:space="preserve">Milestone II Multi-Agent Workflow 5 percent of final grade</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Live App</w:t>
            </w:r>
          </w:p>
        </w:tc>
        <w:tc>
          <w:tcPr>
            <w:tcW w:type="dxa" w:w="6960"/>
            <w:tcBorders>
              <w:top w:val="single" w:color="4CAF73" w:sz="1"/>
              <w:left w:val="single" w:color="4CAF73" w:sz="1"/>
              <w:bottom w:val="single" w:color="4CAF73" w:sz="1"/>
              <w:right w:val="single" w:color="4CAF73" w:sz="1"/>
            </w:tcBorders>
            <w:shd w:fill="FFFFFF" w:val="clear"/>
            <w:tcMar>
              <w:top w:type="dxa" w:w="80"/>
              <w:left w:type="dxa" w:w="120"/>
              <w:bottom w:type="dxa" w:w="80"/>
              <w:right w:type="dxa" w:w="120"/>
            </w:tcMar>
          </w:tcPr>
          <w:p>
            <w:r>
              <w:rPr>
                <w:rFonts w:ascii="Arial" w:cs="Arial" w:eastAsia="Arial" w:hAnsi="Arial"/>
                <w:color w:val="1A2E1F"/>
                <w:sz w:val="20"/>
                <w:szCs w:val="20"/>
              </w:rPr>
              <w:t xml:space="preserve">opal.google/app/1goGNCROe2AuCkEVwFu7gDV47ss3QIPQe</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Published</w:t>
            </w:r>
          </w:p>
        </w:tc>
        <w:tc>
          <w:tcPr>
            <w:tcW w:type="dxa" w:w="6960"/>
            <w:tcBorders>
              <w:top w:val="single" w:color="4CAF73" w:sz="1"/>
              <w:left w:val="single" w:color="4CAF73" w:sz="1"/>
              <w:bottom w:val="single" w:color="4CAF73" w:sz="1"/>
              <w:right w:val="single" w:color="4CAF73" w:sz="1"/>
            </w:tcBorders>
            <w:shd w:fill="F0FAF3" w:val="clear"/>
            <w:tcMar>
              <w:top w:type="dxa" w:w="80"/>
              <w:left w:type="dxa" w:w="120"/>
              <w:bottom w:type="dxa" w:w="80"/>
              <w:right w:type="dxa" w:w="120"/>
            </w:tcMar>
          </w:tcPr>
          <w:p>
            <w:r>
              <w:rPr>
                <w:rFonts w:ascii="Arial" w:cs="Arial" w:eastAsia="Arial" w:hAnsi="Arial"/>
                <w:color w:val="1A2E1F"/>
                <w:sz w:val="20"/>
                <w:szCs w:val="20"/>
              </w:rPr>
              <w:t xml:space="preserve">March 26 2026</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Agents</w:t>
            </w:r>
          </w:p>
        </w:tc>
        <w:tc>
          <w:tcPr>
            <w:tcW w:type="dxa" w:w="6960"/>
            <w:tcBorders>
              <w:top w:val="single" w:color="4CAF73" w:sz="1"/>
              <w:left w:val="single" w:color="4CAF73" w:sz="1"/>
              <w:bottom w:val="single" w:color="4CAF73" w:sz="1"/>
              <w:right w:val="single" w:color="4CAF73" w:sz="1"/>
            </w:tcBorders>
            <w:shd w:fill="FFFFFF" w:val="clear"/>
            <w:tcMar>
              <w:top w:type="dxa" w:w="80"/>
              <w:left w:type="dxa" w:w="120"/>
              <w:bottom w:type="dxa" w:w="80"/>
              <w:right w:type="dxa" w:w="120"/>
            </w:tcMar>
          </w:tcPr>
          <w:p>
            <w:r>
              <w:rPr>
                <w:rFonts w:ascii="Arial" w:cs="Arial" w:eastAsia="Arial" w:hAnsi="Arial"/>
                <w:color w:val="1A2E1F"/>
                <w:sz w:val="20"/>
                <w:szCs w:val="20"/>
              </w:rPr>
              <w:t xml:space="preserve">7 specialized agents across 4 functional layers</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Pattern</w:t>
            </w:r>
          </w:p>
        </w:tc>
        <w:tc>
          <w:tcPr>
            <w:tcW w:type="dxa" w:w="6960"/>
            <w:tcBorders>
              <w:top w:val="single" w:color="4CAF73" w:sz="1"/>
              <w:left w:val="single" w:color="4CAF73" w:sz="1"/>
              <w:bottom w:val="single" w:color="4CAF73" w:sz="1"/>
              <w:right w:val="single" w:color="4CAF73" w:sz="1"/>
            </w:tcBorders>
            <w:shd w:fill="F0FAF3" w:val="clear"/>
            <w:tcMar>
              <w:top w:type="dxa" w:w="80"/>
              <w:left w:type="dxa" w:w="120"/>
              <w:bottom w:type="dxa" w:w="80"/>
              <w:right w:type="dxa" w:w="120"/>
            </w:tcMar>
          </w:tcPr>
          <w:p>
            <w:r>
              <w:rPr>
                <w:rFonts w:ascii="Arial" w:cs="Arial" w:eastAsia="Arial" w:hAnsi="Arial"/>
                <w:color w:val="1A2E1F"/>
                <w:sz w:val="20"/>
                <w:szCs w:val="20"/>
              </w:rPr>
              <w:t xml:space="preserve">Fixed pipeline with generate-critique-revise loop and stopping condition at 3 cycles</w:t>
            </w:r>
          </w:p>
        </w:tc>
      </w:tr>
    </w:tbl>
    <w:p>
      <w:pPr>
        <w:spacing w:before="0" w:after="0"/>
      </w:pPr>
      <w:r>
        <w:t xml:space="preserve"/>
      </w:r>
    </w:p>
    <w:p>
      <w:pPr>
        <w:spacing w:before="0" w:after="0"/>
      </w:pPr>
      <w:r>
        <w:t xml:space="preserve"/>
      </w:r>
    </w:p>
    <w:p>
      <w:pPr>
        <w:pStyle w:val="Heading1"/>
        <w:pBdr>
          <w:bottom w:val="single" w:color="1A7A45" w:sz="8" w:space="4"/>
        </w:pBdr>
        <w:spacing w:before="300" w:after="120"/>
      </w:pPr>
      <w:r>
        <w:rPr>
          <w:rFonts w:ascii="Arial" w:cs="Arial" w:eastAsia="Arial" w:hAnsi="Arial"/>
          <w:b/>
          <w:bCs/>
          <w:color w:val="0F4C2A"/>
          <w:sz w:val="32"/>
          <w:szCs w:val="32"/>
        </w:rPr>
        <w:t xml:space="preserve">1. System Overview</w:t>
      </w:r>
    </w:p>
    <w:p>
      <w:pPr>
        <w:spacing w:before="60" w:after="80"/>
      </w:pPr>
      <w:r>
        <w:rPr>
          <w:rFonts w:ascii="Arial" w:cs="Arial" w:eastAsia="Arial" w:hAnsi="Arial"/>
          <w:color w:val="1A2E1F"/>
          <w:sz w:val="22"/>
          <w:szCs w:val="22"/>
        </w:rPr>
        <w:t xml:space="preserve">StudyMind Elite is a fully implemented 7-agent AI study planning system built on Google Opal with Gemini 1.5 Flash. A student uploads one syllabus PDF and the system automatically extracts all deadlines and builds a prioritized 7-day study schedule and runs a self-correcting quality review and renders an interactive calendar dashboard. The student does not type a single deadline manually.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73" w:sz="1"/>
              <w:left w:val="single" w:color="0F4C2A" w:sz="10"/>
              <w:bottom w:val="single" w:color="4CAF73" w:sz="1"/>
              <w:right w:val="single" w:color="4CAF73" w:sz="1"/>
            </w:tcBorders>
            <w:shd w:fill="D6EFDF" w:val="clear"/>
            <w:tcMar>
              <w:top w:type="dxa" w:w="80"/>
              <w:left w:type="dxa" w:w="120"/>
              <w:bottom w:type="dxa" w:w="80"/>
              <w:right w:type="dxa" w:w="120"/>
            </w:tcMar>
          </w:tcPr>
          <w:p>
            <w:pPr>
              <w:spacing w:before="0" w:after="0"/>
            </w:pPr>
            <w:r>
              <w:rPr>
                <w:rFonts w:ascii="Arial" w:cs="Arial" w:eastAsia="Arial" w:hAnsi="Arial"/>
                <w:b/>
                <w:bCs/>
                <w:color w:val="0F4C2A"/>
                <w:sz w:val="20"/>
                <w:szCs w:val="20"/>
              </w:rPr>
              <w:t xml:space="preserve">Multi-agent pattern used: </w:t>
            </w:r>
            <w:r>
              <w:rPr>
                <w:rFonts w:ascii="Arial" w:cs="Arial" w:eastAsia="Arial" w:hAnsi="Arial"/>
                <w:color w:val="0F4C2A"/>
                <w:sz w:val="20"/>
                <w:szCs w:val="20"/>
              </w:rPr>
              <w:t xml:space="preserve">Fixed sequential pipeline from Ingestion Agent through Interface Agent with an inner generate-critique-revise loop between the Critic Agent and Rewriter Agent. The loop runs a maximum of 3 cycles as the stopping condition before passing the best available schedule to the Interface Agent regardless of remaining issues.</w:t>
            </w:r>
          </w:p>
        </w:tc>
      </w:tr>
    </w:tbl>
    <w:p>
      <w:pPr>
        <w:spacing w:before="0" w:after="0"/>
      </w:pPr>
      <w:r>
        <w:t xml:space="preserve"/>
      </w:r>
    </w:p>
    <w:p>
      <w:pPr>
        <w:spacing w:before="0" w:after="0"/>
      </w:pPr>
      <w:r>
        <w:t xml:space="preserve"/>
      </w:r>
    </w:p>
    <w:p>
      <w:pPr>
        <w:pStyle w:val="Heading1"/>
        <w:pBdr>
          <w:bottom w:val="single" w:color="1A7A45" w:sz="8" w:space="4"/>
        </w:pBdr>
        <w:spacing w:before="300" w:after="120"/>
      </w:pPr>
      <w:r>
        <w:rPr>
          <w:rFonts w:ascii="Arial" w:cs="Arial" w:eastAsia="Arial" w:hAnsi="Arial"/>
          <w:b/>
          <w:bCs/>
          <w:color w:val="0F4C2A"/>
          <w:sz w:val="32"/>
          <w:szCs w:val="32"/>
        </w:rPr>
        <w:t xml:space="preserve">2. Working Implementation Screenshots</w:t>
      </w:r>
    </w:p>
    <w:p>
      <w:pPr>
        <w:pStyle w:val="Heading2"/>
        <w:spacing w:before="200" w:after="80"/>
      </w:pPr>
      <w:r>
        <w:rPr>
          <w:rFonts w:ascii="Arial" w:cs="Arial" w:eastAsia="Arial" w:hAnsi="Arial"/>
          <w:b/>
          <w:bCs/>
          <w:color w:val="1A7A45"/>
          <w:sz w:val="26"/>
          <w:szCs w:val="26"/>
        </w:rPr>
        <w:t xml:space="preserve">Screenshot 1 — Live Dashboard Output</w:t>
      </w:r>
    </w:p>
    <w:p>
      <w:pPr>
        <w:spacing w:before="60" w:after="80"/>
      </w:pPr>
      <w:r>
        <w:rPr>
          <w:rFonts w:ascii="Arial" w:cs="Arial" w:eastAsia="Arial" w:hAnsi="Arial"/>
          <w:color w:val="1A2E1F"/>
          <w:sz w:val="22"/>
          <w:szCs w:val="22"/>
        </w:rPr>
        <w:t xml:space="preserve">The following screenshot shows the fully working StudyMind Elite dashboard running at the live Opal link. The system successfully extracted all deadlines from the BUSA 4980 syllabus and generated a complete 7-day study schedule with spaced repetition sessions. The deadline urgency panel correctly flags BSG Strategy Journal Entry 3 as Critical with 1 day remaining. All Done buttons and session type labels are functional.</w:t>
      </w:r>
    </w:p>
    <w:p>
      <w:pPr>
        <w:spacing w:before="0" w:after="0"/>
      </w:pPr>
      <w:r>
        <w:t xml:space="preserve"/>
      </w:r>
    </w:p>
    <w:p>
      <w:pPr>
        <w:spacing w:before="80" w:after="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429000"/>
                    </a:xfrm>
                    <a:prstGeom prst="rect">
                      <a:avLst/>
                    </a:prstGeom>
                  </pic:spPr>
                </pic:pic>
              </a:graphicData>
            </a:graphic>
          </wp:inline>
        </w:drawing>
      </w:r>
    </w:p>
    <w:p>
      <w:pPr>
        <w:spacing w:before="40" w:after="160"/>
        <w:jc w:val="center"/>
      </w:pPr>
      <w:r>
        <w:rPr>
          <w:rFonts w:ascii="Arial" w:cs="Arial" w:eastAsia="Arial" w:hAnsi="Arial"/>
          <w:i/>
          <w:iCs/>
          <w:color w:val="1A7A45"/>
          <w:sz w:val="18"/>
          <w:szCs w:val="18"/>
        </w:rPr>
        <w:t xml:space="preserve">Figure 1 — Live StudyMind Elite dashboard at opal.google/app/1goGNCROe2AuCkEVwFu7gDV47ss3QIPQe</w:t>
      </w:r>
    </w:p>
    <w:p>
      <w:pPr>
        <w:pStyle w:val="Heading2"/>
        <w:spacing w:before="200" w:after="80"/>
      </w:pPr>
      <w:r>
        <w:rPr>
          <w:rFonts w:ascii="Arial" w:cs="Arial" w:eastAsia="Arial" w:hAnsi="Arial"/>
          <w:b/>
          <w:bCs/>
          <w:color w:val="1A7A45"/>
          <w:sz w:val="26"/>
          <w:szCs w:val="26"/>
        </w:rPr>
        <w:t xml:space="preserve">Screenshot 2 — 9-Step Agent Pipeline in Opal Editor</w:t>
      </w:r>
    </w:p>
    <w:p>
      <w:pPr>
        <w:spacing w:before="60" w:after="80"/>
      </w:pPr>
      <w:r>
        <w:rPr>
          <w:rFonts w:ascii="Arial" w:cs="Arial" w:eastAsia="Arial" w:hAnsi="Arial"/>
          <w:color w:val="1A2E1F"/>
          <w:sz w:val="22"/>
          <w:szCs w:val="22"/>
        </w:rPr>
        <w:t xml:space="preserve">The Opal editor view shows the complete 9-step agent pipeline. Each node contains a detailed agent-specific prompt implementing the architecture described in this document. The pipeline runs left to right from syllabus upload through the final calendar dashboard output.</w:t>
      </w:r>
    </w:p>
    <w:p>
      <w:pPr>
        <w:spacing w:before="0" w:after="0"/>
      </w:pPr>
      <w:r>
        <w:t xml:space="preserve"/>
      </w:r>
    </w:p>
    <w:p>
      <w:pPr>
        <w:spacing w:before="80"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before="40" w:after="160"/>
        <w:jc w:val="center"/>
      </w:pPr>
      <w:r>
        <w:rPr>
          <w:rFonts w:ascii="Arial" w:cs="Arial" w:eastAsia="Arial" w:hAnsi="Arial"/>
          <w:i/>
          <w:iCs/>
          <w:color w:val="1A7A45"/>
          <w:sz w:val="18"/>
          <w:szCs w:val="18"/>
        </w:rPr>
        <w:t xml:space="preserve">Figure 2 — Opal editor showing all 9 configured agent steps</w:t>
      </w:r>
    </w:p>
    <w:p>
      <w:pPr>
        <w:spacing w:before="0" w:after="0"/>
      </w:pPr>
      <w:r>
        <w:t xml:space="preserve"/>
      </w:r>
    </w:p>
    <w:p>
      <w:pPr>
        <w:spacing w:before="0" w:after="0"/>
      </w:pPr>
      <w:r>
        <w:t xml:space="preserve"/>
      </w:r>
    </w:p>
    <w:p>
      <w:pPr>
        <w:pStyle w:val="Heading1"/>
        <w:pBdr>
          <w:bottom w:val="single" w:color="1A7A45" w:sz="8" w:space="4"/>
        </w:pBdr>
        <w:spacing w:before="300" w:after="120"/>
      </w:pPr>
      <w:r>
        <w:rPr>
          <w:rFonts w:ascii="Arial" w:cs="Arial" w:eastAsia="Arial" w:hAnsi="Arial"/>
          <w:b/>
          <w:bCs/>
          <w:color w:val="0F4C2A"/>
          <w:sz w:val="32"/>
          <w:szCs w:val="32"/>
        </w:rPr>
        <w:t xml:space="preserve">3. Agent Architecture</w:t>
      </w:r>
    </w:p>
    <w:p>
      <w:pPr>
        <w:spacing w:before="60" w:after="80"/>
      </w:pPr>
      <w:r>
        <w:rPr>
          <w:rFonts w:ascii="Arial" w:cs="Arial" w:eastAsia="Arial" w:hAnsi="Arial"/>
          <w:color w:val="1A2E1F"/>
          <w:sz w:val="22"/>
          <w:szCs w:val="22"/>
        </w:rPr>
        <w:t xml:space="preserve">The system implements 7 specialized agents organized into 4 functional layers. Each agent has a distinct role with a defined input format and a structured JSON output that feeds the next agent in the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600"/>
        <w:gridCol w:w="3260"/>
      </w:tblGrid>
      <w:tr>
        <w:tc>
          <w:tcPr>
            <w:tcW w:type="dxa" w:w="1600"/>
            <w:tcBorders>
              <w:top w:val="single" w:color="4CAF73" w:sz="1"/>
              <w:left w:val="single" w:color="4CAF73" w:sz="1"/>
              <w:bottom w:val="single" w:color="4CAF73" w:sz="1"/>
              <w:right w:val="single" w:color="4CAF73" w:sz="1"/>
            </w:tcBorders>
            <w:shd w:fill="0F4C2A"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1900"/>
            <w:tcBorders>
              <w:top w:val="single" w:color="4CAF73" w:sz="1"/>
              <w:left w:val="single" w:color="4CAF73" w:sz="1"/>
              <w:bottom w:val="single" w:color="4CAF73" w:sz="1"/>
              <w:right w:val="single" w:color="4CAF73" w:sz="1"/>
            </w:tcBorders>
            <w:shd w:fill="0F4C2A" w:val="clear"/>
            <w:tcMar>
              <w:top w:type="dxa" w:w="60"/>
              <w:left w:type="dxa" w:w="100"/>
              <w:bottom w:type="dxa" w:w="60"/>
              <w:right w:type="dxa" w:w="100"/>
            </w:tcMar>
          </w:tcPr>
          <w:p>
            <w:r>
              <w:rPr>
                <w:rFonts w:ascii="Arial" w:cs="Arial" w:eastAsia="Arial" w:hAnsi="Arial"/>
                <w:b/>
                <w:bCs/>
                <w:color w:val="FFFFFF"/>
                <w:sz w:val="19"/>
                <w:szCs w:val="19"/>
              </w:rPr>
              <w:t xml:space="preserve">Agent</w:t>
            </w:r>
          </w:p>
        </w:tc>
        <w:tc>
          <w:tcPr>
            <w:tcW w:type="dxa" w:w="2600"/>
            <w:tcBorders>
              <w:top w:val="single" w:color="4CAF73" w:sz="1"/>
              <w:left w:val="single" w:color="4CAF73" w:sz="1"/>
              <w:bottom w:val="single" w:color="4CAF73" w:sz="1"/>
              <w:right w:val="single" w:color="4CAF73" w:sz="1"/>
            </w:tcBorders>
            <w:shd w:fill="0F4C2A"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3260"/>
            <w:tcBorders>
              <w:top w:val="single" w:color="4CAF73" w:sz="1"/>
              <w:left w:val="single" w:color="4CAF73" w:sz="1"/>
              <w:bottom w:val="single" w:color="4CAF73" w:sz="1"/>
              <w:right w:val="single" w:color="4CAF73" w:sz="1"/>
            </w:tcBorders>
            <w:shd w:fill="0F4C2A" w:val="clear"/>
            <w:tcMar>
              <w:top w:type="dxa" w:w="60"/>
              <w:left w:type="dxa" w:w="100"/>
              <w:bottom w:type="dxa" w:w="60"/>
              <w:right w:type="dxa" w:w="100"/>
            </w:tcMar>
          </w:tcPr>
          <w:p>
            <w:r>
              <w:rPr>
                <w:rFonts w:ascii="Arial" w:cs="Arial" w:eastAsia="Arial" w:hAnsi="Arial"/>
                <w:b/>
                <w:bCs/>
                <w:color w:val="FFFFFF"/>
                <w:sz w:val="19"/>
                <w:szCs w:val="19"/>
              </w:rPr>
              <w:t xml:space="preserve">Tools and Output</w:t>
            </w:r>
          </w:p>
        </w:tc>
      </w:tr>
      <w:tr>
        <w:tc>
          <w:tcPr>
            <w:tcW w:type="dxa" w:w="1600"/>
            <w:tcBorders>
              <w:top w:val="single" w:color="4CAF73" w:sz="1"/>
              <w:left w:val="single" w:color="4CAF73" w:sz="1"/>
              <w:bottom w:val="single" w:color="4CAF73" w:sz="1"/>
              <w:right w:val="single" w:color="4CAF73" w:sz="1"/>
            </w:tcBorders>
            <w:shd w:fill="D6EFDF" w:val="clear"/>
            <w:tcMar>
              <w:top w:type="dxa" w:w="60"/>
              <w:left w:type="dxa" w:w="100"/>
              <w:bottom w:type="dxa" w:w="60"/>
              <w:right w:type="dxa" w:w="100"/>
            </w:tcMar>
          </w:tcPr>
          <w:p>
            <w:r>
              <w:rPr>
                <w:rFonts w:ascii="Arial" w:cs="Arial" w:eastAsia="Arial" w:hAnsi="Arial"/>
                <w:b/>
                <w:bCs/>
                <w:color w:val="0F4C2A"/>
                <w:sz w:val="19"/>
                <w:szCs w:val="19"/>
              </w:rPr>
              <w:t xml:space="preserve">Input</w:t>
            </w:r>
          </w:p>
        </w:tc>
        <w:tc>
          <w:tcPr>
            <w:tcW w:type="dxa" w:w="19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Ingestion Agent</w:t>
            </w:r>
          </w:p>
        </w:tc>
        <w:tc>
          <w:tcPr>
            <w:tcW w:type="dxa" w:w="26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Extracts full raw text from uploaded PDF without summarizing</w:t>
            </w:r>
          </w:p>
        </w:tc>
        <w:tc>
          <w:tcPr>
            <w:tcW w:type="dxa" w:w="326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Gemini document understanding outputs raw text string</w:t>
            </w:r>
          </w:p>
        </w:tc>
      </w:tr>
      <w:tr>
        <w:tc>
          <w:tcPr>
            <w:tcW w:type="dxa" w:w="1600"/>
            <w:tcBorders>
              <w:top w:val="single" w:color="4CAF73" w:sz="1"/>
              <w:left w:val="single" w:color="4CAF73" w:sz="1"/>
              <w:bottom w:val="single" w:color="4CAF73" w:sz="1"/>
              <w:right w:val="single" w:color="4CAF73" w:sz="1"/>
            </w:tcBorders>
            <w:shd w:fill="D6EFDF" w:val="clear"/>
            <w:tcMar>
              <w:top w:type="dxa" w:w="60"/>
              <w:left w:type="dxa" w:w="100"/>
              <w:bottom w:type="dxa" w:w="60"/>
              <w:right w:type="dxa" w:w="100"/>
            </w:tcMar>
          </w:tcPr>
          <w:p>
            <w:r>
              <w:rPr>
                <w:rFonts w:ascii="Arial" w:cs="Arial" w:eastAsia="Arial" w:hAnsi="Arial"/>
                <w:b/>
                <w:bCs/>
                <w:color w:val="0F4C2A"/>
                <w:sz w:val="19"/>
                <w:szCs w:val="19"/>
              </w:rPr>
              <w:t xml:space="preserve">Input</w:t>
            </w:r>
          </w:p>
        </w:tc>
        <w:tc>
          <w:tcPr>
            <w:tcW w:type="dxa" w:w="19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Extraction Agent</w:t>
            </w:r>
          </w:p>
        </w:tc>
        <w:tc>
          <w:tcPr>
            <w:tcW w:type="dxa" w:w="26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Parses raw text into structured JSON with deadlines and grade weights</w:t>
            </w:r>
          </w:p>
        </w:tc>
        <w:tc>
          <w:tcPr>
            <w:tcW w:type="dxa" w:w="326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Gemini structured output produces deadline JSON with confidence scores</w:t>
            </w:r>
          </w:p>
        </w:tc>
      </w:tr>
      <w:tr>
        <w:tc>
          <w:tcPr>
            <w:tcW w:type="dxa" w:w="1600"/>
            <w:tcBorders>
              <w:top w:val="single" w:color="4CAF73" w:sz="1"/>
              <w:left w:val="single" w:color="4CAF73" w:sz="1"/>
              <w:bottom w:val="single" w:color="4CAF73" w:sz="1"/>
              <w:right w:val="single" w:color="4CAF73" w:sz="1"/>
            </w:tcBorders>
            <w:shd w:fill="D6EFDF" w:val="clear"/>
            <w:tcMar>
              <w:top w:type="dxa" w:w="60"/>
              <w:left w:type="dxa" w:w="100"/>
              <w:bottom w:type="dxa" w:w="60"/>
              <w:right w:type="dxa" w:w="100"/>
            </w:tcMar>
          </w:tcPr>
          <w:p>
            <w:r>
              <w:rPr>
                <w:rFonts w:ascii="Arial" w:cs="Arial" w:eastAsia="Arial" w:hAnsi="Arial"/>
                <w:b/>
                <w:bCs/>
                <w:color w:val="0F4C2A"/>
                <w:sz w:val="19"/>
                <w:szCs w:val="19"/>
              </w:rPr>
              <w:t xml:space="preserve">Intelligence</w:t>
            </w:r>
          </w:p>
        </w:tc>
        <w:tc>
          <w:tcPr>
            <w:tcW w:type="dxa" w:w="19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Planner Agent</w:t>
            </w:r>
          </w:p>
        </w:tc>
        <w:tc>
          <w:tcPr>
            <w:tcW w:type="dxa" w:w="26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Scores each assignment by urgency and classifies as Critical or Important or Scheduled</w:t>
            </w:r>
          </w:p>
        </w:tc>
        <w:tc>
          <w:tcPr>
            <w:tcW w:type="dxa" w:w="326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Priority formula outputs planning manifest JSON</w:t>
            </w:r>
          </w:p>
        </w:tc>
      </w:tr>
      <w:tr>
        <w:tc>
          <w:tcPr>
            <w:tcW w:type="dxa" w:w="1600"/>
            <w:tcBorders>
              <w:top w:val="single" w:color="4CAF73" w:sz="1"/>
              <w:left w:val="single" w:color="4CAF73" w:sz="1"/>
              <w:bottom w:val="single" w:color="4CAF73" w:sz="1"/>
              <w:right w:val="single" w:color="4CAF73" w:sz="1"/>
            </w:tcBorders>
            <w:shd w:fill="D6EFDF" w:val="clear"/>
            <w:tcMar>
              <w:top w:type="dxa" w:w="60"/>
              <w:left w:type="dxa" w:w="100"/>
              <w:bottom w:type="dxa" w:w="60"/>
              <w:right w:type="dxa" w:w="100"/>
            </w:tcMar>
          </w:tcPr>
          <w:p>
            <w:r>
              <w:rPr>
                <w:rFonts w:ascii="Arial" w:cs="Arial" w:eastAsia="Arial" w:hAnsi="Arial"/>
                <w:b/>
                <w:bCs/>
                <w:color w:val="0F4C2A"/>
                <w:sz w:val="19"/>
                <w:szCs w:val="19"/>
              </w:rPr>
              <w:t xml:space="preserve">Intelligence</w:t>
            </w:r>
          </w:p>
        </w:tc>
        <w:tc>
          <w:tcPr>
            <w:tcW w:type="dxa" w:w="19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Content Agent</w:t>
            </w:r>
          </w:p>
        </w:tc>
        <w:tc>
          <w:tcPr>
            <w:tcW w:type="dxa" w:w="26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Generates topic summaries and flashcard questions for each study subject</w:t>
            </w:r>
          </w:p>
        </w:tc>
        <w:tc>
          <w:tcPr>
            <w:tcW w:type="dxa" w:w="326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Gemini generation outputs content blocks per topic</w:t>
            </w:r>
          </w:p>
        </w:tc>
      </w:tr>
      <w:tr>
        <w:tc>
          <w:tcPr>
            <w:tcW w:type="dxa" w:w="1600"/>
            <w:tcBorders>
              <w:top w:val="single" w:color="4CAF73" w:sz="1"/>
              <w:left w:val="single" w:color="4CAF73" w:sz="1"/>
              <w:bottom w:val="single" w:color="4CAF73" w:sz="1"/>
              <w:right w:val="single" w:color="4CAF73" w:sz="1"/>
            </w:tcBorders>
            <w:shd w:fill="D6EFDF" w:val="clear"/>
            <w:tcMar>
              <w:top w:type="dxa" w:w="60"/>
              <w:left w:type="dxa" w:w="100"/>
              <w:bottom w:type="dxa" w:w="60"/>
              <w:right w:type="dxa" w:w="100"/>
            </w:tcMar>
          </w:tcPr>
          <w:p>
            <w:r>
              <w:rPr>
                <w:rFonts w:ascii="Arial" w:cs="Arial" w:eastAsia="Arial" w:hAnsi="Arial"/>
                <w:b/>
                <w:bCs/>
                <w:color w:val="0F4C2A"/>
                <w:sz w:val="19"/>
                <w:szCs w:val="19"/>
              </w:rPr>
              <w:t xml:space="preserve">Intelligence</w:t>
            </w:r>
          </w:p>
        </w:tc>
        <w:tc>
          <w:tcPr>
            <w:tcW w:type="dxa" w:w="19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Scheduler Agent</w:t>
            </w:r>
          </w:p>
        </w:tc>
        <w:tc>
          <w:tcPr>
            <w:tcW w:type="dxa" w:w="26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Builds 7-day schedule using spaced repetition and respects blocked times</w:t>
            </w:r>
          </w:p>
        </w:tc>
        <w:tc>
          <w:tcPr>
            <w:tcW w:type="dxa" w:w="326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SM-2 algorithm outputs schedule JSON version 1</w:t>
            </w:r>
          </w:p>
        </w:tc>
      </w:tr>
      <w:tr>
        <w:tc>
          <w:tcPr>
            <w:tcW w:type="dxa" w:w="1600"/>
            <w:tcBorders>
              <w:top w:val="single" w:color="4CAF73" w:sz="1"/>
              <w:left w:val="single" w:color="4CAF73" w:sz="1"/>
              <w:bottom w:val="single" w:color="4CAF73" w:sz="1"/>
              <w:right w:val="single" w:color="4CAF73" w:sz="1"/>
            </w:tcBorders>
            <w:shd w:fill="D6EFDF" w:val="clear"/>
            <w:tcMar>
              <w:top w:type="dxa" w:w="60"/>
              <w:left w:type="dxa" w:w="100"/>
              <w:bottom w:type="dxa" w:w="60"/>
              <w:right w:type="dxa" w:w="100"/>
            </w:tcMar>
          </w:tcPr>
          <w:p>
            <w:r>
              <w:rPr>
                <w:rFonts w:ascii="Arial" w:cs="Arial" w:eastAsia="Arial" w:hAnsi="Arial"/>
                <w:b/>
                <w:bCs/>
                <w:color w:val="0F4C2A"/>
                <w:sz w:val="19"/>
                <w:szCs w:val="19"/>
              </w:rPr>
              <w:t xml:space="preserve">Quality Control</w:t>
            </w:r>
          </w:p>
        </w:tc>
        <w:tc>
          <w:tcPr>
            <w:tcW w:type="dxa" w:w="19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Critic Agent</w:t>
            </w:r>
          </w:p>
        </w:tc>
        <w:tc>
          <w:tcPr>
            <w:tcW w:type="dxa" w:w="26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Reviews schedule against 5 hard rules and returns verdict with specific issues</w:t>
            </w:r>
          </w:p>
        </w:tc>
        <w:tc>
          <w:tcPr>
            <w:tcW w:type="dxa" w:w="326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Rules engine outputs verdict JSON with suggested fixes</w:t>
            </w:r>
          </w:p>
        </w:tc>
      </w:tr>
      <w:tr>
        <w:tc>
          <w:tcPr>
            <w:tcW w:type="dxa" w:w="1600"/>
            <w:tcBorders>
              <w:top w:val="single" w:color="4CAF73" w:sz="1"/>
              <w:left w:val="single" w:color="4CAF73" w:sz="1"/>
              <w:bottom w:val="single" w:color="4CAF73" w:sz="1"/>
              <w:right w:val="single" w:color="4CAF73" w:sz="1"/>
            </w:tcBorders>
            <w:shd w:fill="D6EFDF" w:val="clear"/>
            <w:tcMar>
              <w:top w:type="dxa" w:w="60"/>
              <w:left w:type="dxa" w:w="100"/>
              <w:bottom w:type="dxa" w:w="60"/>
              <w:right w:type="dxa" w:w="100"/>
            </w:tcMar>
          </w:tcPr>
          <w:p>
            <w:r>
              <w:rPr>
                <w:rFonts w:ascii="Arial" w:cs="Arial" w:eastAsia="Arial" w:hAnsi="Arial"/>
                <w:b/>
                <w:bCs/>
                <w:color w:val="0F4C2A"/>
                <w:sz w:val="19"/>
                <w:szCs w:val="19"/>
              </w:rPr>
              <w:t xml:space="preserve">Quality Control</w:t>
            </w:r>
          </w:p>
        </w:tc>
        <w:tc>
          <w:tcPr>
            <w:tcW w:type="dxa" w:w="19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Rewriter Agent</w:t>
            </w:r>
          </w:p>
        </w:tc>
        <w:tc>
          <w:tcPr>
            <w:tcW w:type="dxa" w:w="26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Applies Critic fixes and logs all changes then returns corrected schedule</w:t>
            </w:r>
          </w:p>
        </w:tc>
        <w:tc>
          <w:tcPr>
            <w:tcW w:type="dxa" w:w="326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Diff logic outputs revised schedule JSON version 2</w:t>
            </w:r>
          </w:p>
        </w:tc>
      </w:tr>
      <w:tr>
        <w:tc>
          <w:tcPr>
            <w:tcW w:type="dxa" w:w="1600"/>
            <w:tcBorders>
              <w:top w:val="single" w:color="4CAF73" w:sz="1"/>
              <w:left w:val="single" w:color="4CAF73" w:sz="1"/>
              <w:bottom w:val="single" w:color="4CAF73" w:sz="1"/>
              <w:right w:val="single" w:color="4CAF73" w:sz="1"/>
            </w:tcBorders>
            <w:shd w:fill="D6EFDF" w:val="clear"/>
            <w:tcMar>
              <w:top w:type="dxa" w:w="60"/>
              <w:left w:type="dxa" w:w="100"/>
              <w:bottom w:type="dxa" w:w="60"/>
              <w:right w:type="dxa" w:w="100"/>
            </w:tcMar>
          </w:tcPr>
          <w:p>
            <w:r>
              <w:rPr>
                <w:rFonts w:ascii="Arial" w:cs="Arial" w:eastAsia="Arial" w:hAnsi="Arial"/>
                <w:b/>
                <w:bCs/>
                <w:color w:val="0F4C2A"/>
                <w:sz w:val="19"/>
                <w:szCs w:val="19"/>
              </w:rPr>
              <w:t xml:space="preserve">Output</w:t>
            </w:r>
          </w:p>
        </w:tc>
        <w:tc>
          <w:tcPr>
            <w:tcW w:type="dxa" w:w="19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Interface Agent</w:t>
            </w:r>
          </w:p>
        </w:tc>
        <w:tc>
          <w:tcPr>
            <w:tcW w:type="dxa" w:w="26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Renders interactive calendar and deadline heatmap and progress rings</w:t>
            </w:r>
          </w:p>
        </w:tc>
        <w:tc>
          <w:tcPr>
            <w:tcW w:type="dxa" w:w="326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HTML renderer outputs live student dashboard</w:t>
            </w:r>
          </w:p>
        </w:tc>
      </w:tr>
    </w:tbl>
    <w:p>
      <w:pPr>
        <w:spacing w:before="0" w:after="0"/>
      </w:pPr>
      <w:r>
        <w:t xml:space="preserve"/>
      </w:r>
    </w:p>
    <w:p>
      <w:pPr>
        <w:spacing w:before="0" w:after="0"/>
      </w:pPr>
      <w:r>
        <w:t xml:space="preserve"/>
      </w:r>
    </w:p>
    <w:p>
      <w:pPr>
        <w:pStyle w:val="Heading1"/>
        <w:pBdr>
          <w:bottom w:val="single" w:color="1A7A45" w:sz="8" w:space="4"/>
        </w:pBdr>
        <w:spacing w:before="300" w:after="120"/>
      </w:pPr>
      <w:r>
        <w:rPr>
          <w:rFonts w:ascii="Arial" w:cs="Arial" w:eastAsia="Arial" w:hAnsi="Arial"/>
          <w:b/>
          <w:bCs/>
          <w:color w:val="0F4C2A"/>
          <w:sz w:val="32"/>
          <w:szCs w:val="32"/>
        </w:rPr>
        <w:t xml:space="preserve">4. Agent Communication and Data Flow</w:t>
      </w:r>
    </w:p>
    <w:p>
      <w:pPr>
        <w:spacing w:before="60" w:after="80"/>
      </w:pPr>
      <w:r>
        <w:rPr>
          <w:rFonts w:ascii="Arial" w:cs="Arial" w:eastAsia="Arial" w:hAnsi="Arial"/>
          <w:color w:val="1A2E1F"/>
          <w:sz w:val="22"/>
          <w:szCs w:val="22"/>
        </w:rPr>
        <w:t xml:space="preserve">All agents communicate through structured JSON passed as step output in the Opal workflow. Each agent reads the output of the previous step and produces its own structured output. The table below shows every data handoff in the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600"/>
        <w:gridCol w:w="2660"/>
      </w:tblGrid>
      <w:tr>
        <w:tc>
          <w:tcPr>
            <w:tcW w:type="dxa" w:w="2000"/>
            <w:tcBorders>
              <w:top w:val="single" w:color="4CAF73" w:sz="1"/>
              <w:left w:val="single" w:color="4CAF73" w:sz="1"/>
              <w:bottom w:val="single" w:color="4CAF73" w:sz="1"/>
              <w:right w:val="single" w:color="4CAF73" w:sz="1"/>
            </w:tcBorders>
            <w:shd w:fill="0F4C2A" w:val="clear"/>
            <w:tcMar>
              <w:top w:type="dxa" w:w="60"/>
              <w:left w:type="dxa" w:w="100"/>
              <w:bottom w:type="dxa" w:w="60"/>
              <w:right w:type="dxa" w:w="100"/>
            </w:tcMar>
          </w:tcPr>
          <w:p>
            <w:r>
              <w:rPr>
                <w:rFonts w:ascii="Arial" w:cs="Arial" w:eastAsia="Arial" w:hAnsi="Arial"/>
                <w:b/>
                <w:bCs/>
                <w:color w:val="FFFFFF"/>
                <w:sz w:val="19"/>
                <w:szCs w:val="19"/>
              </w:rPr>
              <w:t xml:space="preserve">From agent</w:t>
            </w:r>
          </w:p>
        </w:tc>
        <w:tc>
          <w:tcPr>
            <w:tcW w:type="dxa" w:w="2100"/>
            <w:tcBorders>
              <w:top w:val="single" w:color="4CAF73" w:sz="1"/>
              <w:left w:val="single" w:color="4CAF73" w:sz="1"/>
              <w:bottom w:val="single" w:color="4CAF73" w:sz="1"/>
              <w:right w:val="single" w:color="4CAF73" w:sz="1"/>
            </w:tcBorders>
            <w:shd w:fill="0F4C2A" w:val="clear"/>
            <w:tcMar>
              <w:top w:type="dxa" w:w="60"/>
              <w:left w:type="dxa" w:w="100"/>
              <w:bottom w:type="dxa" w:w="60"/>
              <w:right w:type="dxa" w:w="100"/>
            </w:tcMar>
          </w:tcPr>
          <w:p>
            <w:r>
              <w:rPr>
                <w:rFonts w:ascii="Arial" w:cs="Arial" w:eastAsia="Arial" w:hAnsi="Arial"/>
                <w:b/>
                <w:bCs/>
                <w:color w:val="FFFFFF"/>
                <w:sz w:val="19"/>
                <w:szCs w:val="19"/>
              </w:rPr>
              <w:t xml:space="preserve">To agent</w:t>
            </w:r>
          </w:p>
        </w:tc>
        <w:tc>
          <w:tcPr>
            <w:tcW w:type="dxa" w:w="2600"/>
            <w:tcBorders>
              <w:top w:val="single" w:color="4CAF73" w:sz="1"/>
              <w:left w:val="single" w:color="4CAF73" w:sz="1"/>
              <w:bottom w:val="single" w:color="4CAF73" w:sz="1"/>
              <w:right w:val="single" w:color="4CAF73" w:sz="1"/>
            </w:tcBorders>
            <w:shd w:fill="0F4C2A" w:val="clear"/>
            <w:tcMar>
              <w:top w:type="dxa" w:w="60"/>
              <w:left w:type="dxa" w:w="100"/>
              <w:bottom w:type="dxa" w:w="60"/>
              <w:right w:type="dxa" w:w="100"/>
            </w:tcMar>
          </w:tcPr>
          <w:p>
            <w:r>
              <w:rPr>
                <w:rFonts w:ascii="Arial" w:cs="Arial" w:eastAsia="Arial" w:hAnsi="Arial"/>
                <w:b/>
                <w:bCs/>
                <w:color w:val="FFFFFF"/>
                <w:sz w:val="19"/>
                <w:szCs w:val="19"/>
              </w:rPr>
              <w:t xml:space="preserve">Data passed</w:t>
            </w:r>
          </w:p>
        </w:tc>
        <w:tc>
          <w:tcPr>
            <w:tcW w:type="dxa" w:w="2660"/>
            <w:tcBorders>
              <w:top w:val="single" w:color="4CAF73" w:sz="1"/>
              <w:left w:val="single" w:color="4CAF73" w:sz="1"/>
              <w:bottom w:val="single" w:color="4CAF73" w:sz="1"/>
              <w:right w:val="single" w:color="4CAF73" w:sz="1"/>
            </w:tcBorders>
            <w:shd w:fill="0F4C2A" w:val="clear"/>
            <w:tcMar>
              <w:top w:type="dxa" w:w="60"/>
              <w:left w:type="dxa" w:w="100"/>
              <w:bottom w:type="dxa" w:w="60"/>
              <w:right w:type="dxa" w:w="100"/>
            </w:tcMar>
          </w:tcPr>
          <w:p>
            <w:r>
              <w:rPr>
                <w:rFonts w:ascii="Arial" w:cs="Arial" w:eastAsia="Arial" w:hAnsi="Arial"/>
                <w:b/>
                <w:bCs/>
                <w:color w:val="FFFFFF"/>
                <w:sz w:val="19"/>
                <w:szCs w:val="19"/>
              </w:rPr>
              <w:t xml:space="preserve">Format</w:t>
            </w:r>
          </w:p>
        </w:tc>
      </w:tr>
      <w:tr>
        <w:tc>
          <w:tcPr>
            <w:tcW w:type="dxa" w:w="20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Ingestion Agent</w:t>
            </w:r>
          </w:p>
        </w:tc>
        <w:tc>
          <w:tcPr>
            <w:tcW w:type="dxa" w:w="21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Extraction Agent</w:t>
            </w:r>
          </w:p>
        </w:tc>
        <w:tc>
          <w:tcPr>
            <w:tcW w:type="dxa" w:w="26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Full raw syllabus text</w:t>
            </w:r>
          </w:p>
        </w:tc>
        <w:tc>
          <w:tcPr>
            <w:tcW w:type="dxa" w:w="266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Plain text string</w:t>
            </w:r>
          </w:p>
        </w:tc>
      </w:tr>
      <w:tr>
        <w:tc>
          <w:tcPr>
            <w:tcW w:type="dxa" w:w="20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Extraction Agent</w:t>
            </w:r>
          </w:p>
        </w:tc>
        <w:tc>
          <w:tcPr>
            <w:tcW w:type="dxa" w:w="21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Planner Agent</w:t>
            </w:r>
          </w:p>
        </w:tc>
        <w:tc>
          <w:tcPr>
            <w:tcW w:type="dxa" w:w="26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All deadlines and exams and grade weights</w:t>
            </w:r>
          </w:p>
        </w:tc>
        <w:tc>
          <w:tcPr>
            <w:tcW w:type="dxa" w:w="266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JSON with deadline and exam arrays</w:t>
            </w:r>
          </w:p>
        </w:tc>
      </w:tr>
      <w:tr>
        <w:tc>
          <w:tcPr>
            <w:tcW w:type="dxa" w:w="20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Input Agent</w:t>
            </w:r>
          </w:p>
        </w:tc>
        <w:tc>
          <w:tcPr>
            <w:tcW w:type="dxa" w:w="21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Planner Agent</w:t>
            </w:r>
          </w:p>
        </w:tc>
        <w:tc>
          <w:tcPr>
            <w:tcW w:type="dxa" w:w="26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Daily study hours and blocked time windows</w:t>
            </w:r>
          </w:p>
        </w:tc>
        <w:tc>
          <w:tcPr>
            <w:tcW w:type="dxa" w:w="266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Two text strings merged into planner context</w:t>
            </w:r>
          </w:p>
        </w:tc>
      </w:tr>
      <w:tr>
        <w:tc>
          <w:tcPr>
            <w:tcW w:type="dxa" w:w="20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Planner Agent</w:t>
            </w:r>
          </w:p>
        </w:tc>
        <w:tc>
          <w:tcPr>
            <w:tcW w:type="dxa" w:w="21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Scheduler Agent</w:t>
            </w:r>
          </w:p>
        </w:tc>
        <w:tc>
          <w:tcPr>
            <w:tcW w:type="dxa" w:w="26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Priority queue and daily minute targets</w:t>
            </w:r>
          </w:p>
        </w:tc>
        <w:tc>
          <w:tcPr>
            <w:tcW w:type="dxa" w:w="266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Planning manifest JSON</w:t>
            </w:r>
          </w:p>
        </w:tc>
      </w:tr>
      <w:tr>
        <w:tc>
          <w:tcPr>
            <w:tcW w:type="dxa" w:w="20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Scheduler Agent</w:t>
            </w:r>
          </w:p>
        </w:tc>
        <w:tc>
          <w:tcPr>
            <w:tcW w:type="dxa" w:w="21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Critic Agent</w:t>
            </w:r>
          </w:p>
        </w:tc>
        <w:tc>
          <w:tcPr>
            <w:tcW w:type="dxa" w:w="26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7-day schedule with all sessions</w:t>
            </w:r>
          </w:p>
        </w:tc>
        <w:tc>
          <w:tcPr>
            <w:tcW w:type="dxa" w:w="266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Schedule JSON version 1</w:t>
            </w:r>
          </w:p>
        </w:tc>
      </w:tr>
      <w:tr>
        <w:tc>
          <w:tcPr>
            <w:tcW w:type="dxa" w:w="20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Critic Agent</w:t>
            </w:r>
          </w:p>
        </w:tc>
        <w:tc>
          <w:tcPr>
            <w:tcW w:type="dxa" w:w="21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Rewriter Agent</w:t>
            </w:r>
          </w:p>
        </w:tc>
        <w:tc>
          <w:tcPr>
            <w:tcW w:type="dxa" w:w="26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Verdict and issues and fix suggestions</w:t>
            </w:r>
          </w:p>
        </w:tc>
        <w:tc>
          <w:tcPr>
            <w:tcW w:type="dxa" w:w="266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Verdict JSON</w:t>
            </w:r>
          </w:p>
        </w:tc>
      </w:tr>
      <w:tr>
        <w:tc>
          <w:tcPr>
            <w:tcW w:type="dxa" w:w="20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Rewriter Agent</w:t>
            </w:r>
          </w:p>
        </w:tc>
        <w:tc>
          <w:tcPr>
            <w:tcW w:type="dxa" w:w="21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bCs/>
                <w:color w:val="1A7A45"/>
                <w:sz w:val="19"/>
                <w:szCs w:val="19"/>
              </w:rPr>
              <w:t xml:space="preserve">Critic Agent loop</w:t>
            </w:r>
          </w:p>
        </w:tc>
        <w:tc>
          <w:tcPr>
            <w:tcW w:type="dxa" w:w="260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Revised schedule for re-review up to 3 cycles</w:t>
            </w:r>
          </w:p>
        </w:tc>
        <w:tc>
          <w:tcPr>
            <w:tcW w:type="dxa" w:w="2660"/>
            <w:tcBorders>
              <w:top w:val="single" w:color="4CAF73" w:sz="1"/>
              <w:left w:val="single" w:color="4CAF73" w:sz="1"/>
              <w:bottom w:val="single" w:color="4CAF73" w:sz="1"/>
              <w:right w:val="single" w:color="4CAF73" w:sz="1"/>
            </w:tcBorders>
            <w:shd w:fill="F0FAF3" w:val="clear"/>
            <w:tcMar>
              <w:top w:type="dxa" w:w="60"/>
              <w:left w:type="dxa" w:w="100"/>
              <w:bottom w:type="dxa" w:w="60"/>
              <w:right w:type="dxa" w:w="100"/>
            </w:tcMar>
          </w:tcPr>
          <w:p>
            <w:r>
              <w:rPr>
                <w:rFonts w:ascii="Arial" w:cs="Arial" w:eastAsia="Arial" w:hAnsi="Arial"/>
                <w:b w:val="false"/>
                <w:bCs w:val="false"/>
                <w:color w:val="1A2E1F"/>
                <w:sz w:val="19"/>
                <w:szCs w:val="19"/>
              </w:rPr>
              <w:t xml:space="preserve">Schedule JSON version 2</w:t>
            </w:r>
          </w:p>
        </w:tc>
      </w:tr>
      <w:tr>
        <w:tc>
          <w:tcPr>
            <w:tcW w:type="dxa" w:w="20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Rewriter Agent</w:t>
            </w:r>
          </w:p>
        </w:tc>
        <w:tc>
          <w:tcPr>
            <w:tcW w:type="dxa" w:w="21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bCs/>
                <w:color w:val="1A7A45"/>
                <w:sz w:val="19"/>
                <w:szCs w:val="19"/>
              </w:rPr>
              <w:t xml:space="preserve">Interface Agent</w:t>
            </w:r>
          </w:p>
        </w:tc>
        <w:tc>
          <w:tcPr>
            <w:tcW w:type="dxa" w:w="260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Final validated schedule</w:t>
            </w:r>
          </w:p>
        </w:tc>
        <w:tc>
          <w:tcPr>
            <w:tcW w:type="dxa" w:w="2660"/>
            <w:tcBorders>
              <w:top w:val="single" w:color="4CAF73" w:sz="1"/>
              <w:left w:val="single" w:color="4CAF73" w:sz="1"/>
              <w:bottom w:val="single" w:color="4CAF73" w:sz="1"/>
              <w:right w:val="single" w:color="4CAF73" w:sz="1"/>
            </w:tcBorders>
            <w:shd w:fill="FFFFFF" w:val="clear"/>
            <w:tcMar>
              <w:top w:type="dxa" w:w="60"/>
              <w:left w:type="dxa" w:w="100"/>
              <w:bottom w:type="dxa" w:w="60"/>
              <w:right w:type="dxa" w:w="100"/>
            </w:tcMar>
          </w:tcPr>
          <w:p>
            <w:r>
              <w:rPr>
                <w:rFonts w:ascii="Arial" w:cs="Arial" w:eastAsia="Arial" w:hAnsi="Arial"/>
                <w:b w:val="false"/>
                <w:bCs w:val="false"/>
                <w:color w:val="1A2E1F"/>
                <w:sz w:val="19"/>
                <w:szCs w:val="19"/>
              </w:rPr>
              <w:t xml:space="preserve">Schedule JSON final version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73" w:sz="1"/>
              <w:left w:val="single" w:color="0F4C2A" w:sz="10"/>
              <w:bottom w:val="single" w:color="4CAF73" w:sz="1"/>
              <w:right w:val="single" w:color="4CAF73" w:sz="1"/>
            </w:tcBorders>
            <w:shd w:fill="D6EFDF" w:val="clear"/>
            <w:tcMar>
              <w:top w:type="dxa" w:w="80"/>
              <w:left w:type="dxa" w:w="120"/>
              <w:bottom w:type="dxa" w:w="80"/>
              <w:right w:type="dxa" w:w="120"/>
            </w:tcMar>
          </w:tcPr>
          <w:p>
            <w:pPr>
              <w:spacing w:before="0" w:after="0"/>
            </w:pPr>
            <w:r>
              <w:rPr>
                <w:rFonts w:ascii="Arial" w:cs="Arial" w:eastAsia="Arial" w:hAnsi="Arial"/>
                <w:b/>
                <w:bCs/>
                <w:color w:val="0F4C2A"/>
                <w:sz w:val="20"/>
                <w:szCs w:val="20"/>
              </w:rPr>
              <w:t xml:space="preserve">Loop stopping condition: </w:t>
            </w:r>
            <w:r>
              <w:rPr>
                <w:rFonts w:ascii="Arial" w:cs="Arial" w:eastAsia="Arial" w:hAnsi="Arial"/>
                <w:color w:val="0F4C2A"/>
                <w:sz w:val="20"/>
                <w:szCs w:val="20"/>
              </w:rPr>
              <w:t xml:space="preserve">The Rewriter Agent checks a cycle_count field embedded in the JSON payload. If cycle_count is below 3 and the verdict is needs-revision the loop continues. If cycle_count reaches 3 or the verdict is pass the pipeline exits to the Interface Agent. Unresolved issues are shown as orange warning flags on the dashboard rather than blocking output.</w:t>
            </w:r>
          </w:p>
        </w:tc>
      </w:tr>
    </w:tbl>
    <w:p>
      <w:pPr>
        <w:spacing w:before="0" w:after="0"/>
      </w:pPr>
      <w:r>
        <w:t xml:space="preserve"/>
      </w:r>
    </w:p>
    <w:p>
      <w:pPr>
        <w:spacing w:before="0" w:after="0"/>
      </w:pPr>
      <w:r>
        <w:t xml:space="preserve"/>
      </w:r>
    </w:p>
    <w:p>
      <w:pPr>
        <w:pStyle w:val="Heading1"/>
        <w:pBdr>
          <w:bottom w:val="single" w:color="1A7A45" w:sz="8" w:space="4"/>
        </w:pBdr>
        <w:spacing w:before="300" w:after="120"/>
      </w:pPr>
      <w:r>
        <w:rPr>
          <w:rFonts w:ascii="Arial" w:cs="Arial" w:eastAsia="Arial" w:hAnsi="Arial"/>
          <w:b/>
          <w:bCs/>
          <w:color w:val="0F4C2A"/>
          <w:sz w:val="32"/>
          <w:szCs w:val="32"/>
        </w:rPr>
        <w:t xml:space="preserve">5. Failure and Low Quality Output Handling</w:t>
      </w:r>
    </w:p>
    <w:p>
      <w:pPr>
        <w:pStyle w:val="Heading3"/>
        <w:spacing w:before="160" w:after="60"/>
      </w:pPr>
      <w:r>
        <w:rPr>
          <w:rFonts w:ascii="Arial" w:cs="Arial" w:eastAsia="Arial" w:hAnsi="Arial"/>
          <w:b/>
          <w:bCs/>
          <w:color w:val="0F4C2A"/>
          <w:sz w:val="22"/>
          <w:szCs w:val="22"/>
        </w:rPr>
        <w:t xml:space="preserve">Data extraction failures</w:t>
      </w:r>
    </w:p>
    <w:p>
      <w:pPr>
        <w:pStyle w:val="ListParagraph"/>
        <w:numPr>
          <w:ilvl w:val="0"/>
          <w:numId w:val="2"/>
        </w:numPr>
        <w:spacing w:before="40" w:after="40"/>
      </w:pPr>
      <w:r>
        <w:rPr>
          <w:rFonts w:ascii="Arial" w:cs="Arial" w:eastAsia="Arial" w:hAnsi="Arial"/>
          <w:color w:val="1A2E1F"/>
          <w:sz w:val="21"/>
          <w:szCs w:val="21"/>
        </w:rPr>
        <w:t xml:space="preserve">If a date has confidence below 0.7 the Extraction Agent appends a question mark to the assignment name and displays it for student verification before planning begins.</w:t>
      </w:r>
    </w:p>
    <w:p>
      <w:pPr>
        <w:pStyle w:val="ListParagraph"/>
        <w:numPr>
          <w:ilvl w:val="0"/>
          <w:numId w:val="2"/>
        </w:numPr>
        <w:spacing w:before="40" w:after="40"/>
      </w:pPr>
      <w:r>
        <w:rPr>
          <w:rFonts w:ascii="Arial" w:cs="Arial" w:eastAsia="Arial" w:hAnsi="Arial"/>
          <w:color w:val="1A2E1F"/>
          <w:sz w:val="21"/>
          <w:szCs w:val="21"/>
        </w:rPr>
        <w:t xml:space="preserve">If the uploaded file produces no readable text the Ingestion Agent halts the pipeline and asks the student to upload a clearer file.</w:t>
      </w:r>
    </w:p>
    <w:p>
      <w:pPr>
        <w:pStyle w:val="ListParagraph"/>
        <w:numPr>
          <w:ilvl w:val="0"/>
          <w:numId w:val="2"/>
        </w:numPr>
        <w:spacing w:before="40" w:after="40"/>
      </w:pPr>
      <w:r>
        <w:rPr>
          <w:rFonts w:ascii="Arial" w:cs="Arial" w:eastAsia="Arial" w:hAnsi="Arial"/>
          <w:color w:val="1A2E1F"/>
          <w:sz w:val="21"/>
          <w:szCs w:val="21"/>
        </w:rPr>
        <w:t xml:space="preserve">If fewer than 2 deadlines are found the system warns the student that the syllabus may be incomplete and offers to proceed with partial data.</w:t>
      </w:r>
    </w:p>
    <w:p>
      <w:pPr>
        <w:spacing w:before="0" w:after="0"/>
      </w:pPr>
      <w:r>
        <w:t xml:space="preserve"/>
      </w:r>
    </w:p>
    <w:p>
      <w:pPr>
        <w:pStyle w:val="Heading3"/>
        <w:spacing w:before="160" w:after="60"/>
      </w:pPr>
      <w:r>
        <w:rPr>
          <w:rFonts w:ascii="Arial" w:cs="Arial" w:eastAsia="Arial" w:hAnsi="Arial"/>
          <w:b/>
          <w:bCs/>
          <w:color w:val="0F4C2A"/>
          <w:sz w:val="22"/>
          <w:szCs w:val="22"/>
        </w:rPr>
        <w:t xml:space="preserve">Scheduling failures</w:t>
      </w:r>
    </w:p>
    <w:p>
      <w:pPr>
        <w:pStyle w:val="ListParagraph"/>
        <w:numPr>
          <w:ilvl w:val="0"/>
          <w:numId w:val="2"/>
        </w:numPr>
        <w:spacing w:before="40" w:after="40"/>
      </w:pPr>
      <w:r>
        <w:rPr>
          <w:rFonts w:ascii="Arial" w:cs="Arial" w:eastAsia="Arial" w:hAnsi="Arial"/>
          <w:color w:val="1A2E1F"/>
          <w:sz w:val="21"/>
          <w:szCs w:val="21"/>
        </w:rPr>
        <w:t xml:space="preserve">If total study demand exceeds available hours the Planner Agent sets overload_warning to true and the Scheduler reduces lower-priority sessions while protecting Critical tier assignments.</w:t>
      </w:r>
    </w:p>
    <w:p>
      <w:pPr>
        <w:pStyle w:val="ListParagraph"/>
        <w:numPr>
          <w:ilvl w:val="0"/>
          <w:numId w:val="2"/>
        </w:numPr>
        <w:spacing w:before="40" w:after="40"/>
      </w:pPr>
      <w:r>
        <w:rPr>
          <w:rFonts w:ascii="Arial" w:cs="Arial" w:eastAsia="Arial" w:hAnsi="Arial"/>
          <w:color w:val="1A2E1F"/>
          <w:sz w:val="21"/>
          <w:szCs w:val="21"/>
        </w:rPr>
        <w:t xml:space="preserve">If a deadline cannot be covered with 2 days of buffer the Scheduler adds a coverage_gap flag so the Critic can detect and the Rewriter can attempt to resolve it.</w:t>
      </w:r>
    </w:p>
    <w:p>
      <w:pPr>
        <w:spacing w:before="0" w:after="0"/>
      </w:pPr>
      <w:r>
        <w:t xml:space="preserve"/>
      </w:r>
    </w:p>
    <w:p>
      <w:pPr>
        <w:pStyle w:val="Heading3"/>
        <w:spacing w:before="160" w:after="60"/>
      </w:pPr>
      <w:r>
        <w:rPr>
          <w:rFonts w:ascii="Arial" w:cs="Arial" w:eastAsia="Arial" w:hAnsi="Arial"/>
          <w:b/>
          <w:bCs/>
          <w:color w:val="0F4C2A"/>
          <w:sz w:val="22"/>
          <w:szCs w:val="22"/>
        </w:rPr>
        <w:t xml:space="preserve">Critic loop failures</w:t>
      </w:r>
    </w:p>
    <w:p>
      <w:pPr>
        <w:pStyle w:val="ListParagraph"/>
        <w:numPr>
          <w:ilvl w:val="0"/>
          <w:numId w:val="2"/>
        </w:numPr>
        <w:spacing w:before="40" w:after="40"/>
      </w:pPr>
      <w:r>
        <w:rPr>
          <w:rFonts w:ascii="Arial" w:cs="Arial" w:eastAsia="Arial" w:hAnsi="Arial"/>
          <w:color w:val="1A2E1F"/>
          <w:sz w:val="21"/>
          <w:szCs w:val="21"/>
        </w:rPr>
        <w:t xml:space="preserve">The loop has a hard maximum of 3 revision cycles to prevent infinite loops when fixes create new violations.</w:t>
      </w:r>
    </w:p>
    <w:p>
      <w:pPr>
        <w:pStyle w:val="ListParagraph"/>
        <w:numPr>
          <w:ilvl w:val="0"/>
          <w:numId w:val="2"/>
        </w:numPr>
        <w:spacing w:before="40" w:after="40"/>
      </w:pPr>
      <w:r>
        <w:rPr>
          <w:rFonts w:ascii="Arial" w:cs="Arial" w:eastAsia="Arial" w:hAnsi="Arial"/>
          <w:color w:val="1A2E1F"/>
          <w:sz w:val="21"/>
          <w:szCs w:val="21"/>
        </w:rPr>
        <w:t xml:space="preserve">After 3 cycles the Interface Agent renders the schedule with unresolved issues highlighted in orange. The student sees exactly which rules still have issues rather than seeing a blocked or empty output.</w:t>
      </w:r>
    </w:p>
    <w:p>
      <w:pPr>
        <w:pStyle w:val="ListParagraph"/>
        <w:numPr>
          <w:ilvl w:val="0"/>
          <w:numId w:val="2"/>
        </w:numPr>
        <w:spacing w:before="40" w:after="40"/>
      </w:pPr>
      <w:r>
        <w:rPr>
          <w:rFonts w:ascii="Arial" w:cs="Arial" w:eastAsia="Arial" w:hAnsi="Arial"/>
          <w:color w:val="1A2E1F"/>
          <w:sz w:val="21"/>
          <w:szCs w:val="21"/>
        </w:rPr>
        <w:t xml:space="preserve">If the Critic Agent cannot evaluate a rule due to missing data the rule is marked as skipped rather than failed so it does not trigger unnecessary rewrites.</w:t>
      </w:r>
    </w:p>
    <w:p>
      <w:pPr>
        <w:spacing w:before="0" w:after="0"/>
      </w:pPr>
      <w:r>
        <w:t xml:space="preserve"/>
      </w:r>
    </w:p>
    <w:p>
      <w:pPr>
        <w:spacing w:before="0" w:after="0"/>
      </w:pPr>
      <w:r>
        <w:t xml:space="preserve"/>
      </w:r>
    </w:p>
    <w:p>
      <w:pPr>
        <w:pStyle w:val="Heading1"/>
        <w:pBdr>
          <w:bottom w:val="single" w:color="1A7A45" w:sz="8" w:space="4"/>
        </w:pBdr>
        <w:spacing w:before="300" w:after="120"/>
      </w:pPr>
      <w:r>
        <w:rPr>
          <w:rFonts w:ascii="Arial" w:cs="Arial" w:eastAsia="Arial" w:hAnsi="Arial"/>
          <w:b/>
          <w:bCs/>
          <w:color w:val="0F4C2A"/>
          <w:sz w:val="32"/>
          <w:szCs w:val="32"/>
        </w:rPr>
        <w:t xml:space="preserve">6. Milestone II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Architecture diagram</w:t>
            </w:r>
          </w:p>
        </w:tc>
        <w:tc>
          <w:tcPr>
            <w:tcW w:type="dxa" w:w="6960"/>
            <w:tcBorders>
              <w:top w:val="single" w:color="4CAF73" w:sz="1"/>
              <w:left w:val="single" w:color="4CAF73" w:sz="1"/>
              <w:bottom w:val="single" w:color="4CAF73" w:sz="1"/>
              <w:right w:val="single" w:color="4CAF73" w:sz="1"/>
            </w:tcBorders>
            <w:shd w:fill="F0FAF3" w:val="clear"/>
            <w:tcMar>
              <w:top w:type="dxa" w:w="80"/>
              <w:left w:type="dxa" w:w="120"/>
              <w:bottom w:type="dxa" w:w="80"/>
              <w:right w:type="dxa" w:w="120"/>
            </w:tcMar>
          </w:tcPr>
          <w:p>
            <w:r>
              <w:rPr>
                <w:rFonts w:ascii="Arial" w:cs="Arial" w:eastAsia="Arial" w:hAnsi="Arial"/>
                <w:color w:val="1A2E1F"/>
                <w:sz w:val="20"/>
                <w:szCs w:val="20"/>
              </w:rPr>
              <w:t xml:space="preserve">Submitted as separate high-resolution PNG showing all agents and tools and data flow and feedback loop</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Design document</w:t>
            </w:r>
          </w:p>
        </w:tc>
        <w:tc>
          <w:tcPr>
            <w:tcW w:type="dxa" w:w="6960"/>
            <w:tcBorders>
              <w:top w:val="single" w:color="4CAF73" w:sz="1"/>
              <w:left w:val="single" w:color="4CAF73" w:sz="1"/>
              <w:bottom w:val="single" w:color="4CAF73" w:sz="1"/>
              <w:right w:val="single" w:color="4CAF73" w:sz="1"/>
            </w:tcBorders>
            <w:shd w:fill="FFFFFF" w:val="clear"/>
            <w:tcMar>
              <w:top w:type="dxa" w:w="80"/>
              <w:left w:type="dxa" w:w="120"/>
              <w:bottom w:type="dxa" w:w="80"/>
              <w:right w:type="dxa" w:w="120"/>
            </w:tcMar>
          </w:tcPr>
          <w:p>
            <w:r>
              <w:rPr>
                <w:rFonts w:ascii="Arial" w:cs="Arial" w:eastAsia="Arial" w:hAnsi="Arial"/>
                <w:color w:val="1A2E1F"/>
                <w:sz w:val="20"/>
                <w:szCs w:val="20"/>
              </w:rPr>
              <w:t xml:space="preserve">This document covering agent roles and input and output formats and coordination mechanism and failure handling</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Live implementation</w:t>
            </w:r>
          </w:p>
        </w:tc>
        <w:tc>
          <w:tcPr>
            <w:tcW w:type="dxa" w:w="6960"/>
            <w:tcBorders>
              <w:top w:val="single" w:color="4CAF73" w:sz="1"/>
              <w:left w:val="single" w:color="4CAF73" w:sz="1"/>
              <w:bottom w:val="single" w:color="4CAF73" w:sz="1"/>
              <w:right w:val="single" w:color="4CAF73" w:sz="1"/>
            </w:tcBorders>
            <w:shd w:fill="F0FAF3" w:val="clear"/>
            <w:tcMar>
              <w:top w:type="dxa" w:w="80"/>
              <w:left w:type="dxa" w:w="120"/>
              <w:bottom w:type="dxa" w:w="80"/>
              <w:right w:type="dxa" w:w="120"/>
            </w:tcMar>
          </w:tcPr>
          <w:p>
            <w:r>
              <w:rPr>
                <w:rFonts w:ascii="Arial" w:cs="Arial" w:eastAsia="Arial" w:hAnsi="Arial"/>
                <w:color w:val="1A2E1F"/>
                <w:sz w:val="20"/>
                <w:szCs w:val="20"/>
              </w:rPr>
              <w:t xml:space="preserve">opal.google/app/1goGNCROe2AuCkEVwFu7gDV47ss3QIPQe — fully working and published</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Agent count</w:t>
            </w:r>
          </w:p>
        </w:tc>
        <w:tc>
          <w:tcPr>
            <w:tcW w:type="dxa" w:w="6960"/>
            <w:tcBorders>
              <w:top w:val="single" w:color="4CAF73" w:sz="1"/>
              <w:left w:val="single" w:color="4CAF73" w:sz="1"/>
              <w:bottom w:val="single" w:color="4CAF73" w:sz="1"/>
              <w:right w:val="single" w:color="4CAF73" w:sz="1"/>
            </w:tcBorders>
            <w:shd w:fill="FFFFFF" w:val="clear"/>
            <w:tcMar>
              <w:top w:type="dxa" w:w="80"/>
              <w:left w:type="dxa" w:w="120"/>
              <w:bottom w:type="dxa" w:w="80"/>
              <w:right w:type="dxa" w:w="120"/>
            </w:tcMar>
          </w:tcPr>
          <w:p>
            <w:r>
              <w:rPr>
                <w:rFonts w:ascii="Arial" w:cs="Arial" w:eastAsia="Arial" w:hAnsi="Arial"/>
                <w:color w:val="1A2E1F"/>
                <w:sz w:val="20"/>
                <w:szCs w:val="20"/>
              </w:rPr>
              <w:t xml:space="preserve">7 distinct agents with different roles exceeding the minimum requirement of 2</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Distinct agent roles</w:t>
            </w:r>
          </w:p>
        </w:tc>
        <w:tc>
          <w:tcPr>
            <w:tcW w:type="dxa" w:w="6960"/>
            <w:tcBorders>
              <w:top w:val="single" w:color="4CAF73" w:sz="1"/>
              <w:left w:val="single" w:color="4CAF73" w:sz="1"/>
              <w:bottom w:val="single" w:color="4CAF73" w:sz="1"/>
              <w:right w:val="single" w:color="4CAF73" w:sz="1"/>
            </w:tcBorders>
            <w:shd w:fill="F0FAF3" w:val="clear"/>
            <w:tcMar>
              <w:top w:type="dxa" w:w="80"/>
              <w:left w:type="dxa" w:w="120"/>
              <w:bottom w:type="dxa" w:w="80"/>
              <w:right w:type="dxa" w:w="120"/>
            </w:tcMar>
          </w:tcPr>
          <w:p>
            <w:r>
              <w:rPr>
                <w:rFonts w:ascii="Arial" w:cs="Arial" w:eastAsia="Arial" w:hAnsi="Arial"/>
                <w:color w:val="1A2E1F"/>
                <w:sz w:val="20"/>
                <w:szCs w:val="20"/>
              </w:rPr>
              <w:t xml:space="preserve">Planner and Executor and Critic and Verifier and Explainer roles all present</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Coordination pattern</w:t>
            </w:r>
          </w:p>
        </w:tc>
        <w:tc>
          <w:tcPr>
            <w:tcW w:type="dxa" w:w="6960"/>
            <w:tcBorders>
              <w:top w:val="single" w:color="4CAF73" w:sz="1"/>
              <w:left w:val="single" w:color="4CAF73" w:sz="1"/>
              <w:bottom w:val="single" w:color="4CAF73" w:sz="1"/>
              <w:right w:val="single" w:color="4CAF73" w:sz="1"/>
            </w:tcBorders>
            <w:shd w:fill="FFFFFF" w:val="clear"/>
            <w:tcMar>
              <w:top w:type="dxa" w:w="80"/>
              <w:left w:type="dxa" w:w="120"/>
              <w:bottom w:type="dxa" w:w="80"/>
              <w:right w:type="dxa" w:w="120"/>
            </w:tcMar>
          </w:tcPr>
          <w:p>
            <w:r>
              <w:rPr>
                <w:rFonts w:ascii="Arial" w:cs="Arial" w:eastAsia="Arial" w:hAnsi="Arial"/>
                <w:color w:val="1A2E1F"/>
                <w:sz w:val="20"/>
                <w:szCs w:val="20"/>
              </w:rPr>
              <w:t xml:space="preserve">Fixed pipeline with inner generate-critique-revise loop and cycle limit stopping condition</w:t>
            </w:r>
          </w:p>
        </w:tc>
      </w:tr>
      <w:tr>
        <w:tc>
          <w:tcPr>
            <w:tcW w:type="dxa" w:w="2400"/>
            <w:tcBorders>
              <w:top w:val="single" w:color="4CAF73" w:sz="1"/>
              <w:left w:val="single" w:color="4CAF73" w:sz="1"/>
              <w:bottom w:val="single" w:color="4CAF73" w:sz="1"/>
              <w:right w:val="single" w:color="4CAF73" w:sz="1"/>
            </w:tcBorders>
            <w:shd w:fill="D6EFDF" w:val="clear"/>
            <w:tcMar>
              <w:top w:type="dxa" w:w="80"/>
              <w:left w:type="dxa" w:w="120"/>
              <w:bottom w:type="dxa" w:w="80"/>
              <w:right w:type="dxa" w:w="120"/>
            </w:tcMar>
          </w:tcPr>
          <w:p>
            <w:r>
              <w:rPr>
                <w:rFonts w:ascii="Arial" w:cs="Arial" w:eastAsia="Arial" w:hAnsi="Arial"/>
                <w:b/>
                <w:bCs/>
                <w:color w:val="0F4C2A"/>
                <w:sz w:val="20"/>
                <w:szCs w:val="20"/>
              </w:rPr>
              <w:t xml:space="preserve">Working screenshot</w:t>
            </w:r>
          </w:p>
        </w:tc>
        <w:tc>
          <w:tcPr>
            <w:tcW w:type="dxa" w:w="6960"/>
            <w:tcBorders>
              <w:top w:val="single" w:color="4CAF73" w:sz="1"/>
              <w:left w:val="single" w:color="4CAF73" w:sz="1"/>
              <w:bottom w:val="single" w:color="4CAF73" w:sz="1"/>
              <w:right w:val="single" w:color="4CAF73" w:sz="1"/>
            </w:tcBorders>
            <w:shd w:fill="F0FAF3" w:val="clear"/>
            <w:tcMar>
              <w:top w:type="dxa" w:w="80"/>
              <w:left w:type="dxa" w:w="120"/>
              <w:bottom w:type="dxa" w:w="80"/>
              <w:right w:type="dxa" w:w="120"/>
            </w:tcMar>
          </w:tcPr>
          <w:p>
            <w:r>
              <w:rPr>
                <w:rFonts w:ascii="Arial" w:cs="Arial" w:eastAsia="Arial" w:hAnsi="Arial"/>
                <w:color w:val="1A2E1F"/>
                <w:sz w:val="20"/>
                <w:szCs w:val="20"/>
              </w:rPr>
              <w:t xml:space="preserve">Figure 1 above shows the live dashboard processing a real GSU BUSA 4980 syllabus</w:t>
            </w:r>
          </w:p>
        </w:tc>
      </w:tr>
    </w:tbl>
    <w:p>
      <w:pPr>
        <w:spacing w:before="0" w:after="0"/>
      </w:pPr>
      <w:r>
        <w:t xml:space="preserve"/>
      </w:r>
    </w:p>
    <w:p>
      <w:pPr>
        <w:spacing w:before="0" w:after="0"/>
      </w:pPr>
      <w:r>
        <w:t xml:space="preserve"/>
      </w:r>
    </w:p>
    <w:p>
      <w:pPr>
        <w:pBdr>
          <w:top w:val="single" w:color="D6EFDF" w:sz="4" w:space="8"/>
        </w:pBdr>
        <w:spacing w:before="120" w:after="0"/>
        <w:jc w:val="center"/>
      </w:pPr>
      <w:r>
        <w:rPr>
          <w:rFonts w:ascii="Arial" w:cs="Arial" w:eastAsia="Arial" w:hAnsi="Arial"/>
          <w:color w:val="3A5C45"/>
          <w:sz w:val="18"/>
          <w:szCs w:val="18"/>
        </w:rPr>
        <w:t xml:space="preserve">StudyMind Elite  |  AGENTIC AI Section 003  |  Spring 2026  |  Milestone II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F4C2A"/>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A7A45"/>
      <w:sz w:val="26"/>
      <w:szCs w:val="26"/>
    </w:rPr>
  </w:style>
  <w:style w:type="paragraph" w:styleId="Heading3">
    <w:name w:val="Heading 3"/>
    <w:basedOn w:val="Normal"/>
    <w:next w:val="Normal"/>
    <w:qFormat/>
    <w:pPr>
      <w:spacing w:before="160" w:after="60"/>
      <w:outlineLvl w:val="2"/>
    </w:pPr>
    <w:rPr>
      <w:rFonts w:ascii="Arial" w:cs="Arial" w:eastAsia="Arial" w:hAnsi="Arial"/>
      <w:b/>
      <w:bCs/>
      <w:color w:val="0F4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14067255991fb079daa95817ed0c610efd37e65.png"/><Relationship Id="rId7" Type="http://schemas.openxmlformats.org/officeDocument/2006/relationships/image" Target="media/0e69d05f76251896ac04ba015223c7603345713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2026-03-27T00:28:04.275Z</dcterms:created>
  <dcterms:modified xsi:type="dcterms:W3CDTF">2026-03-27T00:28:04.276Z</dcterms:modified>
</cp:coreProperties>
</file>

<file path=docProps/custom.xml><?xml version="1.0" encoding="utf-8"?>
<Properties xmlns="http://schemas.openxmlformats.org/officeDocument/2006/custom-properties" xmlns:vt="http://schemas.openxmlformats.org/officeDocument/2006/docPropsVTypes"/>
</file>