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5924" w14:textId="77777777" w:rsidR="00784D2A" w:rsidRDefault="00000000">
      <w:pPr>
        <w:pStyle w:val="Title"/>
      </w:pPr>
      <w:r>
        <w:t>Sea Harvest Group - Strategic &amp; Financial Insights</w:t>
      </w:r>
    </w:p>
    <w:p w14:paraId="5B2E6C5B" w14:textId="77777777" w:rsidR="00784D2A" w:rsidRDefault="00000000">
      <w:pPr>
        <w:pStyle w:val="Heading1"/>
      </w:pPr>
      <w:r>
        <w:t>1. Two Closest Competitors to Sea Harvest</w:t>
      </w:r>
    </w:p>
    <w:p w14:paraId="1EFFB454" w14:textId="77777777" w:rsidR="00784D2A" w:rsidRDefault="00000000">
      <w:r>
        <w:br/>
        <w:t>The reports do not explicitly name direct competitors. However, based on industry context and Sea Harvest’s involvement in fishing, aquaculture, and dairy sectors, likely competitors include:</w:t>
      </w:r>
      <w:r>
        <w:br/>
        <w:t>- Oceana Group – A major South African fishing company operating in similar product categories.</w:t>
      </w:r>
      <w:r>
        <w:br/>
        <w:t>- I&amp;J (Irvin &amp; Johnson) – Another key deep-sea fishing company in South Africa.</w:t>
      </w:r>
      <w:r>
        <w:br/>
      </w:r>
    </w:p>
    <w:p w14:paraId="52B5C91D" w14:textId="77777777" w:rsidR="00784D2A" w:rsidRDefault="00000000">
      <w:pPr>
        <w:pStyle w:val="Heading1"/>
      </w:pPr>
      <w:r>
        <w:t>2. Six Elements of Sea Harvest’s Investment Case</w:t>
      </w:r>
    </w:p>
    <w:p w14:paraId="22F14C22" w14:textId="77777777" w:rsidR="00784D2A" w:rsidRDefault="00000000">
      <w:r>
        <w:br/>
        <w:t>From the 2020 and 2021 reports, the six core investment pillars are:</w:t>
      </w:r>
      <w:r>
        <w:br/>
        <w:t>1. Attractive Industry Dynamics – Rising global demand for premium, wild-caught, MSC-certified seafood.</w:t>
      </w:r>
      <w:r>
        <w:br/>
        <w:t>2. Strong Track Record of Financial Performance – CAGR in revenue and attributable profit.</w:t>
      </w:r>
      <w:r>
        <w:br/>
        <w:t>3. Resilient and Defensive Business – Maintained margins and earnings growth during COVID-19.</w:t>
      </w:r>
      <w:r>
        <w:br/>
        <w:t>4. Level 1 B-BBEE Contributor – With &gt;80% black ownership in 2020.</w:t>
      </w:r>
      <w:r>
        <w:br/>
        <w:t>5. Strong Rand Hedge – 40–46% of revenue from hard-currency international markets.</w:t>
      </w:r>
      <w:r>
        <w:br/>
        <w:t>6. Recognised as Sustainable – MSC certifications for both South African and Australian operations.</w:t>
      </w:r>
      <w:r>
        <w:br/>
      </w:r>
    </w:p>
    <w:p w14:paraId="1E026BBA" w14:textId="77777777" w:rsidR="00784D2A" w:rsidRDefault="00000000">
      <w:pPr>
        <w:pStyle w:val="Heading1"/>
      </w:pPr>
      <w:r>
        <w:t>3. Major Clients or Revenue Concentration</w:t>
      </w:r>
    </w:p>
    <w:p w14:paraId="5DEB7AF6" w14:textId="77777777" w:rsidR="00784D2A" w:rsidRDefault="00000000">
      <w:r>
        <w:br/>
        <w:t>Sea Harvest has a well-diversified client base:</w:t>
      </w:r>
      <w:r>
        <w:br/>
        <w:t>- No single customer accounts for more than 10% of the Group’s revenue.</w:t>
      </w:r>
      <w:r>
        <w:br/>
        <w:t>- 46% of 2020 revenue came from international markets, providing a strong rand hedge.</w:t>
      </w:r>
      <w:r>
        <w:br/>
      </w:r>
    </w:p>
    <w:p w14:paraId="2DD918A5" w14:textId="77777777" w:rsidR="00784D2A" w:rsidRDefault="00000000">
      <w:pPr>
        <w:pStyle w:val="Heading1"/>
      </w:pPr>
      <w:r>
        <w:t>4. Two Largest Stakes in Principal Subsidiaries and Joint Ventures (2021)</w:t>
      </w:r>
    </w:p>
    <w:p w14:paraId="7C932D48" w14:textId="77777777" w:rsidR="00784D2A" w:rsidRDefault="00000000">
      <w:r>
        <w:br/>
        <w:t>1. Sea Harvest Corporation Proprietary Limited – The core South African fishing operations.</w:t>
      </w:r>
      <w:r>
        <w:br/>
      </w:r>
      <w:r>
        <w:lastRenderedPageBreak/>
        <w:t>2. Sea Harvest Australia (formerly Mareterram Ltd) – Key player in Australian prawn fisheries.</w:t>
      </w:r>
      <w:r>
        <w:br/>
        <w:t>These entities hold significant operational value due to their licences, assets, and market positioning.</w:t>
      </w:r>
      <w:r>
        <w:br/>
      </w:r>
    </w:p>
    <w:p w14:paraId="353D1DF7" w14:textId="77777777" w:rsidR="00784D2A" w:rsidRDefault="00000000">
      <w:pPr>
        <w:pStyle w:val="Heading1"/>
      </w:pPr>
      <w:r>
        <w:t>5. Three COVID-19 Responses by Sea Harvest</w:t>
      </w:r>
    </w:p>
    <w:p w14:paraId="04B35B7C" w14:textId="77777777" w:rsidR="00784D2A" w:rsidRDefault="00000000">
      <w:r>
        <w:br/>
        <w:t>1. R39 million spent on safety, job protection, and community outreach.</w:t>
      </w:r>
      <w:r>
        <w:br/>
        <w:t>2. Shift in product focus toward retail and in-home consumption due to lockdowns.</w:t>
      </w:r>
      <w:r>
        <w:br/>
        <w:t>3. Diversified product formats in aquaculture and explored new international markets.</w:t>
      </w:r>
      <w:r>
        <w:br/>
      </w:r>
    </w:p>
    <w:p w14:paraId="6FC953D9" w14:textId="77777777" w:rsidR="00784D2A" w:rsidRDefault="00000000">
      <w:pPr>
        <w:pStyle w:val="Heading1"/>
      </w:pPr>
      <w:r>
        <w:t>6. Two Risks Facing Sea Harvest and Standard Bank CIB Solutions</w:t>
      </w:r>
    </w:p>
    <w:p w14:paraId="19A2A7B1" w14:textId="77777777" w:rsidR="00784D2A" w:rsidRDefault="00000000">
      <w:r>
        <w:br/>
        <w:t>Risks:</w:t>
      </w:r>
      <w:r>
        <w:br/>
        <w:t>1. Market volatility affecting seafood pricing and global demand.</w:t>
      </w:r>
      <w:r>
        <w:br/>
        <w:t>2. Limited access to capital for continued growth and acquisition.</w:t>
      </w:r>
      <w:r>
        <w:br/>
      </w:r>
      <w:r>
        <w:br/>
        <w:t>Potential CIB Solutions:</w:t>
      </w:r>
      <w:r>
        <w:br/>
        <w:t>- Hedging instruments to mitigate currency and commodity price risk.</w:t>
      </w:r>
      <w:r>
        <w:br/>
        <w:t>- Structured finance or M&amp;A funding solutions to support expansion (e.g., MG Kailis acquisition).</w:t>
      </w:r>
      <w:r>
        <w:br/>
      </w:r>
    </w:p>
    <w:sectPr w:rsidR="00784D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234884">
    <w:abstractNumId w:val="8"/>
  </w:num>
  <w:num w:numId="2" w16cid:durableId="695153467">
    <w:abstractNumId w:val="6"/>
  </w:num>
  <w:num w:numId="3" w16cid:durableId="833453519">
    <w:abstractNumId w:val="5"/>
  </w:num>
  <w:num w:numId="4" w16cid:durableId="819075965">
    <w:abstractNumId w:val="4"/>
  </w:num>
  <w:num w:numId="5" w16cid:durableId="1750495483">
    <w:abstractNumId w:val="7"/>
  </w:num>
  <w:num w:numId="6" w16cid:durableId="565647423">
    <w:abstractNumId w:val="3"/>
  </w:num>
  <w:num w:numId="7" w16cid:durableId="1487436762">
    <w:abstractNumId w:val="2"/>
  </w:num>
  <w:num w:numId="8" w16cid:durableId="2118283366">
    <w:abstractNumId w:val="1"/>
  </w:num>
  <w:num w:numId="9" w16cid:durableId="101904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D58"/>
    <w:rsid w:val="0029639D"/>
    <w:rsid w:val="00326F90"/>
    <w:rsid w:val="005C2BF7"/>
    <w:rsid w:val="00784D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8DDE8"/>
  <w14:defaultImageDpi w14:val="300"/>
  <w15:docId w15:val="{6C26F321-77DD-4A7D-860D-3563639A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Shaghayegh Haghbin</dc:creator>
  <cp:keywords/>
  <dc:description>generated by python-docx</dc:description>
  <cp:lastModifiedBy>Shaghayegh Haghbin [sdwh6702]</cp:lastModifiedBy>
  <cp:revision>2</cp:revision>
  <dcterms:created xsi:type="dcterms:W3CDTF">2025-05-02T10:37:00Z</dcterms:created>
  <dcterms:modified xsi:type="dcterms:W3CDTF">2025-05-02T10:37:00Z</dcterms:modified>
  <cp:category/>
</cp:coreProperties>
</file>