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2D960" w14:textId="77777777" w:rsidR="002A089F" w:rsidRDefault="002A089F" w:rsidP="002A089F">
      <w:pPr>
        <w:jc w:val="center"/>
      </w:pPr>
      <w:proofErr w:type="spellStart"/>
      <w:r w:rsidRPr="002A089F">
        <w:rPr>
          <w:b/>
          <w:bCs/>
        </w:rPr>
        <w:t>AgriGrowth's</w:t>
      </w:r>
      <w:proofErr w:type="spellEnd"/>
      <w:r w:rsidRPr="002A089F">
        <w:rPr>
          <w:b/>
          <w:bCs/>
        </w:rPr>
        <w:t xml:space="preserve"> Preliminary Financial Report</w:t>
      </w:r>
      <w:r w:rsidRPr="002A089F">
        <w:br/>
      </w:r>
    </w:p>
    <w:p w14:paraId="3C598E10" w14:textId="3BC6C14F" w:rsidR="002A089F" w:rsidRPr="002A089F" w:rsidRDefault="002A089F" w:rsidP="002A089F">
      <w:r w:rsidRPr="002A089F">
        <w:rPr>
          <w:b/>
          <w:bCs/>
        </w:rPr>
        <w:t>Executive Summary:</w:t>
      </w:r>
    </w:p>
    <w:p w14:paraId="52ABC757" w14:textId="77777777" w:rsidR="002A089F" w:rsidRPr="002A089F" w:rsidRDefault="002A089F" w:rsidP="002A089F">
      <w:r w:rsidRPr="002A089F">
        <w:t xml:space="preserve">This report delivers a detailed financial analysis of </w:t>
      </w:r>
      <w:proofErr w:type="spellStart"/>
      <w:r w:rsidRPr="002A089F">
        <w:t>AgriGrowth</w:t>
      </w:r>
      <w:proofErr w:type="spellEnd"/>
      <w:r w:rsidRPr="002A089F">
        <w:t xml:space="preserve"> over the fiscal years 2020 to 2022, examining the company's profitability, liquidity, leverage, and cash flow efficiency. The findings are based on the income statements, balance sheets, and cash flow statements provided.</w:t>
      </w:r>
    </w:p>
    <w:p w14:paraId="230B320B" w14:textId="77777777" w:rsidR="002A089F" w:rsidRPr="002A089F" w:rsidRDefault="002A089F" w:rsidP="002A089F">
      <w:r w:rsidRPr="002A089F">
        <w:rPr>
          <w:b/>
          <w:bCs/>
        </w:rPr>
        <w:t>Profitability Analysis:</w:t>
      </w:r>
    </w:p>
    <w:p w14:paraId="7F8B96E0" w14:textId="77777777" w:rsidR="002A089F" w:rsidRPr="002A089F" w:rsidRDefault="002A089F" w:rsidP="002A089F">
      <w:proofErr w:type="spellStart"/>
      <w:r w:rsidRPr="002A089F">
        <w:t>AgriGrowth</w:t>
      </w:r>
      <w:proofErr w:type="spellEnd"/>
      <w:r w:rsidRPr="002A089F">
        <w:t xml:space="preserve"> has shown a commendable increase in sales revenue from $1,200,000 in 2020 to $1,500,000 in 2022, indicating a robust market presence and growth trajectory. The gross profit margin </w:t>
      </w:r>
      <w:proofErr w:type="gramStart"/>
      <w:r w:rsidRPr="002A089F">
        <w:t>has consistently remained</w:t>
      </w:r>
      <w:proofErr w:type="gramEnd"/>
      <w:r w:rsidRPr="002A089F">
        <w:t xml:space="preserve"> at 40%, reflecting a stable cost of goods sold relative to sales. Both operating income and net profit have followed an upward trend, which is indicative of effective expense management and operational efficiency. The operating margin remained stable at approximately 13.33%, and the net profit margin saw a gradual increase from 7.82% in 2020 to 7.93% in 2022.</w:t>
      </w:r>
    </w:p>
    <w:p w14:paraId="29280923" w14:textId="77777777" w:rsidR="002A089F" w:rsidRPr="002A089F" w:rsidRDefault="002A089F" w:rsidP="002A089F">
      <w:r w:rsidRPr="002A089F">
        <w:rPr>
          <w:b/>
          <w:bCs/>
        </w:rPr>
        <w:t>Liquidity Analysis:</w:t>
      </w:r>
    </w:p>
    <w:p w14:paraId="7FF33DA1" w14:textId="77777777" w:rsidR="002A089F" w:rsidRPr="002A089F" w:rsidRDefault="002A089F" w:rsidP="002A089F">
      <w:r w:rsidRPr="002A089F">
        <w:t xml:space="preserve">The company has maintained a current ratio above 1 during the observed period, peaking at 1.83 in 2022, which underscores </w:t>
      </w:r>
      <w:proofErr w:type="spellStart"/>
      <w:r w:rsidRPr="002A089F">
        <w:t>AgriGrowth's</w:t>
      </w:r>
      <w:proofErr w:type="spellEnd"/>
      <w:r w:rsidRPr="002A089F">
        <w:t xml:space="preserve"> ability to cover short-term liabilities without financial duress.</w:t>
      </w:r>
    </w:p>
    <w:p w14:paraId="3190595A" w14:textId="77777777" w:rsidR="002A089F" w:rsidRPr="002A089F" w:rsidRDefault="002A089F" w:rsidP="002A089F">
      <w:r w:rsidRPr="002A089F">
        <w:rPr>
          <w:b/>
          <w:bCs/>
        </w:rPr>
        <w:t>Leverage and Efficiency Analysis:</w:t>
      </w:r>
    </w:p>
    <w:p w14:paraId="09C0A1F2" w14:textId="77777777" w:rsidR="002A089F" w:rsidRPr="002A089F" w:rsidRDefault="002A089F" w:rsidP="002A089F">
      <w:r w:rsidRPr="002A089F">
        <w:t xml:space="preserve">The decreasing debt-to-equity ratio from 1.79 in 2020 to 1.56 in 2022 suggests a strategic shift towards less reliance on debt financing. The asset turnover ratio in 2022 is approximately 1.30, indicating that </w:t>
      </w:r>
      <w:proofErr w:type="spellStart"/>
      <w:r w:rsidRPr="002A089F">
        <w:t>AgriGrowth</w:t>
      </w:r>
      <w:proofErr w:type="spellEnd"/>
      <w:r w:rsidRPr="002A089F">
        <w:t xml:space="preserve"> is generating $1.30 in sales for every dollar of assets, a reasonable level of efficiency for the period.</w:t>
      </w:r>
    </w:p>
    <w:p w14:paraId="3E1188FF" w14:textId="77777777" w:rsidR="002A089F" w:rsidRPr="002A089F" w:rsidRDefault="002A089F" w:rsidP="002A089F">
      <w:r w:rsidRPr="002A089F">
        <w:rPr>
          <w:b/>
          <w:bCs/>
        </w:rPr>
        <w:t>Cash Flow Assessment:</w:t>
      </w:r>
    </w:p>
    <w:p w14:paraId="41C16E70" w14:textId="77777777" w:rsidR="002A089F" w:rsidRPr="002A089F" w:rsidRDefault="002A089F" w:rsidP="002A089F">
      <w:r w:rsidRPr="002A089F">
        <w:t xml:space="preserve">The net cash from operating activities has been positive and shows an increase from $141,400 in 2021 to $169,000 in 2022, </w:t>
      </w:r>
      <w:proofErr w:type="spellStart"/>
      <w:r w:rsidRPr="002A089F">
        <w:t>signalling</w:t>
      </w:r>
      <w:proofErr w:type="spellEnd"/>
      <w:r w:rsidRPr="002A089F">
        <w:t xml:space="preserve"> a healthy cash generation from core business activities. The operating cash flow to sales ratio in 2022 is around 11.3%, demonstrating that a significant portion of sales is converted into cash.</w:t>
      </w:r>
    </w:p>
    <w:p w14:paraId="34B68353" w14:textId="77777777" w:rsidR="002A089F" w:rsidRPr="002A089F" w:rsidRDefault="002A089F" w:rsidP="002A089F">
      <w:r w:rsidRPr="002A089F">
        <w:rPr>
          <w:b/>
          <w:bCs/>
        </w:rPr>
        <w:t>Conclusion and Strategic Recommendations:</w:t>
      </w:r>
    </w:p>
    <w:p w14:paraId="58D8C950" w14:textId="77777777" w:rsidR="002A089F" w:rsidRPr="002A089F" w:rsidRDefault="002A089F" w:rsidP="002A089F">
      <w:proofErr w:type="spellStart"/>
      <w:r w:rsidRPr="002A089F">
        <w:t>AgriGrowth's</w:t>
      </w:r>
      <w:proofErr w:type="spellEnd"/>
      <w:r w:rsidRPr="002A089F">
        <w:t xml:space="preserve"> financial standing appears solid, with growth in key areas and stability in profitability. The company's approach to managing its debt and financing structure has </w:t>
      </w:r>
      <w:r w:rsidRPr="002A089F">
        <w:lastRenderedPageBreak/>
        <w:t xml:space="preserve">been prudent, and its investments in property and equipment should be evaluated for alignment with strategic growth objectives. To further enhance financial performance, </w:t>
      </w:r>
      <w:proofErr w:type="spellStart"/>
      <w:r w:rsidRPr="002A089F">
        <w:t>AgriGrowth</w:t>
      </w:r>
      <w:proofErr w:type="spellEnd"/>
      <w:r w:rsidRPr="002A089F">
        <w:t xml:space="preserve"> may explore cost </w:t>
      </w:r>
      <w:proofErr w:type="spellStart"/>
      <w:r w:rsidRPr="002A089F">
        <w:t>optimisation</w:t>
      </w:r>
      <w:proofErr w:type="spellEnd"/>
      <w:r w:rsidRPr="002A089F">
        <w:t xml:space="preserve"> strategies and assess pricing models to improve net margins.</w:t>
      </w:r>
    </w:p>
    <w:p w14:paraId="0FAFEAD1" w14:textId="77777777" w:rsidR="002A089F" w:rsidRPr="002A089F" w:rsidRDefault="002A089F" w:rsidP="002A089F">
      <w:r w:rsidRPr="002A089F">
        <w:t xml:space="preserve">For upcoming discussions, it is recommended to delve deeper into the company's investment outcomes, particularly in property and equipment, and </w:t>
      </w:r>
      <w:proofErr w:type="gramStart"/>
      <w:r w:rsidRPr="002A089F">
        <w:t>to ensure</w:t>
      </w:r>
      <w:proofErr w:type="gramEnd"/>
      <w:r w:rsidRPr="002A089F">
        <w:t xml:space="preserve"> these investments are </w:t>
      </w:r>
      <w:proofErr w:type="gramStart"/>
      <w:r w:rsidRPr="002A089F">
        <w:t>driving</w:t>
      </w:r>
      <w:proofErr w:type="gramEnd"/>
      <w:r w:rsidRPr="002A089F">
        <w:t xml:space="preserve"> expected revenue growth and operational efficiency. A strategic review of </w:t>
      </w:r>
      <w:proofErr w:type="spellStart"/>
      <w:r w:rsidRPr="002A089F">
        <w:t>AgriGrowth's</w:t>
      </w:r>
      <w:proofErr w:type="spellEnd"/>
      <w:r w:rsidRPr="002A089F">
        <w:t xml:space="preserve"> market position, competitive landscape, and operational challenges will also be valuable in guiding future financial planning and decision-making.</w:t>
      </w:r>
    </w:p>
    <w:p w14:paraId="057D71BE" w14:textId="77777777" w:rsidR="002A089F" w:rsidRDefault="002A089F"/>
    <w:sectPr w:rsidR="002A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9F"/>
    <w:rsid w:val="002A089F"/>
    <w:rsid w:val="004A78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74AD"/>
  <w15:chartTrackingRefBased/>
  <w15:docId w15:val="{A85F1EA0-5E0C-4811-B2F6-25416E3A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89F"/>
    <w:rPr>
      <w:rFonts w:eastAsiaTheme="majorEastAsia" w:cstheme="majorBidi"/>
      <w:color w:val="272727" w:themeColor="text1" w:themeTint="D8"/>
    </w:rPr>
  </w:style>
  <w:style w:type="paragraph" w:styleId="Title">
    <w:name w:val="Title"/>
    <w:basedOn w:val="Normal"/>
    <w:next w:val="Normal"/>
    <w:link w:val="TitleChar"/>
    <w:uiPriority w:val="10"/>
    <w:qFormat/>
    <w:rsid w:val="002A0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89F"/>
    <w:pPr>
      <w:spacing w:before="160"/>
      <w:jc w:val="center"/>
    </w:pPr>
    <w:rPr>
      <w:i/>
      <w:iCs/>
      <w:color w:val="404040" w:themeColor="text1" w:themeTint="BF"/>
    </w:rPr>
  </w:style>
  <w:style w:type="character" w:customStyle="1" w:styleId="QuoteChar">
    <w:name w:val="Quote Char"/>
    <w:basedOn w:val="DefaultParagraphFont"/>
    <w:link w:val="Quote"/>
    <w:uiPriority w:val="29"/>
    <w:rsid w:val="002A089F"/>
    <w:rPr>
      <w:i/>
      <w:iCs/>
      <w:color w:val="404040" w:themeColor="text1" w:themeTint="BF"/>
    </w:rPr>
  </w:style>
  <w:style w:type="paragraph" w:styleId="ListParagraph">
    <w:name w:val="List Paragraph"/>
    <w:basedOn w:val="Normal"/>
    <w:uiPriority w:val="34"/>
    <w:qFormat/>
    <w:rsid w:val="002A089F"/>
    <w:pPr>
      <w:ind w:left="720"/>
      <w:contextualSpacing/>
    </w:pPr>
  </w:style>
  <w:style w:type="character" w:styleId="IntenseEmphasis">
    <w:name w:val="Intense Emphasis"/>
    <w:basedOn w:val="DefaultParagraphFont"/>
    <w:uiPriority w:val="21"/>
    <w:qFormat/>
    <w:rsid w:val="002A089F"/>
    <w:rPr>
      <w:i/>
      <w:iCs/>
      <w:color w:val="0F4761" w:themeColor="accent1" w:themeShade="BF"/>
    </w:rPr>
  </w:style>
  <w:style w:type="paragraph" w:styleId="IntenseQuote">
    <w:name w:val="Intense Quote"/>
    <w:basedOn w:val="Normal"/>
    <w:next w:val="Normal"/>
    <w:link w:val="IntenseQuoteChar"/>
    <w:uiPriority w:val="30"/>
    <w:qFormat/>
    <w:rsid w:val="002A0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89F"/>
    <w:rPr>
      <w:i/>
      <w:iCs/>
      <w:color w:val="0F4761" w:themeColor="accent1" w:themeShade="BF"/>
    </w:rPr>
  </w:style>
  <w:style w:type="character" w:styleId="IntenseReference">
    <w:name w:val="Intense Reference"/>
    <w:basedOn w:val="DefaultParagraphFont"/>
    <w:uiPriority w:val="32"/>
    <w:qFormat/>
    <w:rsid w:val="002A08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582619">
      <w:bodyDiv w:val="1"/>
      <w:marLeft w:val="0"/>
      <w:marRight w:val="0"/>
      <w:marTop w:val="0"/>
      <w:marBottom w:val="0"/>
      <w:divBdr>
        <w:top w:val="none" w:sz="0" w:space="0" w:color="auto"/>
        <w:left w:val="none" w:sz="0" w:space="0" w:color="auto"/>
        <w:bottom w:val="none" w:sz="0" w:space="0" w:color="auto"/>
        <w:right w:val="none" w:sz="0" w:space="0" w:color="auto"/>
      </w:divBdr>
    </w:div>
    <w:div w:id="20944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Haghbin [sdwh6702]</dc:creator>
  <cp:keywords/>
  <dc:description/>
  <cp:lastModifiedBy>Shaghayegh Haghbin [sdwh6702]</cp:lastModifiedBy>
  <cp:revision>1</cp:revision>
  <dcterms:created xsi:type="dcterms:W3CDTF">2025-05-04T03:10:00Z</dcterms:created>
  <dcterms:modified xsi:type="dcterms:W3CDTF">2025-05-04T03:11:00Z</dcterms:modified>
</cp:coreProperties>
</file>