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DAB2" w14:textId="77777777" w:rsidR="00DD4CA6" w:rsidRPr="00A97010" w:rsidRDefault="00DD4CA6" w:rsidP="00A97010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32"/>
          <w:szCs w:val="32"/>
          <w:lang w:eastAsia="en-GB"/>
        </w:rPr>
      </w:pPr>
      <w:r w:rsidRPr="00A97010">
        <w:rPr>
          <w:rFonts w:ascii="Segoe UI" w:eastAsia="Times New Roman" w:hAnsi="Segoe UI" w:cs="Segoe UI"/>
          <w:b/>
          <w:bCs/>
          <w:sz w:val="32"/>
          <w:szCs w:val="32"/>
          <w:lang w:eastAsia="en-GB"/>
        </w:rPr>
        <w:t>Preliminary Report: Financial Analysis and Risk Assessment of Green Solutions Manufacturing Ltd.</w:t>
      </w:r>
    </w:p>
    <w:p w14:paraId="201C8A5E" w14:textId="77777777" w:rsidR="00A97010" w:rsidRDefault="00A97010" w:rsidP="00DD4CA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</w:pPr>
    </w:p>
    <w:p w14:paraId="637BBCFF" w14:textId="520B8C91" w:rsidR="00DD4CA6" w:rsidRPr="00DD4CA6" w:rsidRDefault="00DD4CA6" w:rsidP="00DD4CA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  <w:t>Executive Summary</w:t>
      </w:r>
    </w:p>
    <w:p w14:paraId="1D0E76C7" w14:textId="77777777" w:rsidR="00DC7F46" w:rsidRPr="00DF11F6" w:rsidRDefault="00DD4CA6" w:rsidP="00DC7F4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GB"/>
        </w:rPr>
      </w:pPr>
      <w:r w:rsidRPr="00C24DC3">
        <w:rPr>
          <w:rFonts w:ascii="Segoe UI" w:eastAsia="Times New Roman" w:hAnsi="Segoe UI" w:cs="Segoe UI"/>
          <w:sz w:val="20"/>
          <w:szCs w:val="20"/>
          <w:lang w:eastAsia="en-GB"/>
        </w:rPr>
        <w:t xml:space="preserve">This report provides an analysis of Green Solutions Manufacturing </w:t>
      </w:r>
      <w:proofErr w:type="spellStart"/>
      <w:r w:rsidRPr="00C24DC3">
        <w:rPr>
          <w:rFonts w:ascii="Segoe UI" w:eastAsia="Times New Roman" w:hAnsi="Segoe UI" w:cs="Segoe UI"/>
          <w:sz w:val="20"/>
          <w:szCs w:val="20"/>
          <w:lang w:eastAsia="en-GB"/>
        </w:rPr>
        <w:t>Ltd's</w:t>
      </w:r>
      <w:proofErr w:type="spellEnd"/>
      <w:r w:rsidRPr="00C24DC3">
        <w:rPr>
          <w:rFonts w:ascii="Segoe UI" w:eastAsia="Times New Roman" w:hAnsi="Segoe UI" w:cs="Segoe UI"/>
          <w:sz w:val="20"/>
          <w:szCs w:val="20"/>
          <w:lang w:eastAsia="en-GB"/>
        </w:rPr>
        <w:t xml:space="preserve"> financial position and identifies key financial risks</w:t>
      </w:r>
      <w:r w:rsidR="007D2693" w:rsidRPr="00C24DC3">
        <w:rPr>
          <w:rFonts w:ascii="Segoe UI" w:eastAsia="Times New Roman" w:hAnsi="Segoe UI" w:cs="Segoe UI"/>
          <w:sz w:val="20"/>
          <w:szCs w:val="20"/>
          <w:lang w:eastAsia="en-GB"/>
        </w:rPr>
        <w:t xml:space="preserve"> based on 31</w:t>
      </w:r>
      <w:r w:rsidR="0074680D" w:rsidRPr="0074680D">
        <w:rPr>
          <w:rFonts w:ascii="Segoe UI" w:eastAsia="Times New Roman" w:hAnsi="Segoe UI" w:cs="Segoe UI"/>
          <w:sz w:val="20"/>
          <w:szCs w:val="20"/>
          <w:vertAlign w:val="superscript"/>
          <w:lang w:eastAsia="en-GB"/>
        </w:rPr>
        <w:t>st</w:t>
      </w:r>
      <w:r w:rsidR="0074680D">
        <w:rPr>
          <w:rFonts w:ascii="Segoe UI" w:eastAsia="Times New Roman" w:hAnsi="Segoe UI" w:cs="Segoe UI"/>
          <w:sz w:val="20"/>
          <w:szCs w:val="20"/>
          <w:lang w:eastAsia="en-GB"/>
        </w:rPr>
        <w:t xml:space="preserve"> </w:t>
      </w:r>
      <w:r w:rsidR="007D2693" w:rsidRPr="00C24DC3">
        <w:rPr>
          <w:rFonts w:ascii="Segoe UI" w:eastAsia="Times New Roman" w:hAnsi="Segoe UI" w:cs="Segoe UI"/>
          <w:sz w:val="20"/>
          <w:szCs w:val="20"/>
          <w:lang w:eastAsia="en-GB"/>
        </w:rPr>
        <w:t>December 2022 and 2023 financial statements</w:t>
      </w:r>
      <w:r w:rsidRPr="00C24DC3">
        <w:rPr>
          <w:rFonts w:ascii="Segoe UI" w:eastAsia="Times New Roman" w:hAnsi="Segoe UI" w:cs="Segoe UI"/>
          <w:sz w:val="20"/>
          <w:szCs w:val="20"/>
          <w:lang w:eastAsia="en-GB"/>
        </w:rPr>
        <w:t xml:space="preserve">. </w:t>
      </w:r>
      <w:r w:rsidR="00DC7F46" w:rsidRPr="00DF11F6">
        <w:rPr>
          <w:rFonts w:ascii="Segoe UI" w:eastAsia="Times New Roman" w:hAnsi="Segoe UI" w:cs="Segoe UI"/>
          <w:sz w:val="20"/>
          <w:szCs w:val="20"/>
          <w:lang w:eastAsia="en-GB"/>
        </w:rPr>
        <w:t>Green Solutions Manufacturing Ltd is a leading multinational manufacturer specialising in eco-friendly</w:t>
      </w:r>
      <w:r w:rsidR="00DF11F6" w:rsidRPr="00DF11F6">
        <w:rPr>
          <w:rFonts w:ascii="Segoe UI" w:eastAsia="Times New Roman" w:hAnsi="Segoe UI" w:cs="Segoe UI"/>
          <w:sz w:val="20"/>
          <w:szCs w:val="20"/>
          <w:lang w:eastAsia="en-GB"/>
        </w:rPr>
        <w:t xml:space="preserve"> sustainable drinkware</w:t>
      </w:r>
      <w:r w:rsidR="00DC7F46" w:rsidRPr="00DF11F6">
        <w:rPr>
          <w:rFonts w:ascii="Segoe UI" w:eastAsia="Times New Roman" w:hAnsi="Segoe UI" w:cs="Segoe UI"/>
          <w:sz w:val="20"/>
          <w:szCs w:val="20"/>
          <w:lang w:eastAsia="en-GB"/>
        </w:rPr>
        <w:t xml:space="preserve"> with a particular focus on sustainable practices. It is headquartered in the UK, with manufacturing facilities in three countries and a client base of over 50 million customers with over £50m annual revenue. The company has heavily invested in sustainable, eco-friendly production, updating machinery and processes, and leading R&amp;D in sustainability. Capital expenditures on these initiatives have surged by 150% since 2022, funded by internal resources and borrowing. They are now seeking additional credit to further advance their sustainability initiatives.</w:t>
      </w:r>
    </w:p>
    <w:p w14:paraId="4EEF7899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  <w:t>Financial Analysis</w:t>
      </w:r>
    </w:p>
    <w:p w14:paraId="53F26A49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Revenue and Profitability</w:t>
      </w:r>
    </w:p>
    <w:p w14:paraId="15E45128" w14:textId="77777777" w:rsidR="00DD4CA6" w:rsidRPr="00DD4CA6" w:rsidRDefault="00DD4CA6" w:rsidP="00DD4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Total Revenue: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Increased by approximately 71% over the year, indicating strong market demand and successful business strategies.</w:t>
      </w:r>
    </w:p>
    <w:p w14:paraId="730A2ED0" w14:textId="77777777" w:rsidR="00DD4CA6" w:rsidRPr="00DD4CA6" w:rsidRDefault="00DD4CA6" w:rsidP="00DD4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EBITDA</w:t>
      </w:r>
      <w:r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 xml:space="preserve"> (</w:t>
      </w: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earnings before interest, taxes, depreciation, and amorti</w:t>
      </w:r>
      <w:r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s</w:t>
      </w: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ation</w:t>
      </w:r>
      <w:r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)</w:t>
      </w: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Significant increase driven by improved gross margins and revenue growth. This has resulted in a substantial rise in net profit before tax.</w:t>
      </w:r>
    </w:p>
    <w:p w14:paraId="68B2E61C" w14:textId="77777777" w:rsidR="00DD4CA6" w:rsidRPr="00DD4CA6" w:rsidRDefault="00DD4CA6" w:rsidP="00DD4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Net Interest Expense: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Almost halved due to a drop</w:t>
      </w:r>
      <w:r>
        <w:rPr>
          <w:rFonts w:ascii="Segoe UI" w:eastAsia="Times New Roman" w:hAnsi="Segoe UI" w:cs="Segoe UI"/>
          <w:sz w:val="20"/>
          <w:szCs w:val="24"/>
          <w:lang w:eastAsia="en-GB"/>
        </w:rPr>
        <w:t>-in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interest expense and an increase in interest income, positively impacting net profitability.</w:t>
      </w:r>
    </w:p>
    <w:p w14:paraId="3232A673" w14:textId="77777777" w:rsidR="00DD4CA6" w:rsidRPr="00DD4CA6" w:rsidRDefault="00DD4CA6" w:rsidP="00DD4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Net Profit Before Tax: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Increased in line with the rise in EBITDA, reflecting overall financial health and profitability.</w:t>
      </w:r>
    </w:p>
    <w:p w14:paraId="5C28614B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Assets and Liabilities</w:t>
      </w:r>
    </w:p>
    <w:p w14:paraId="14295A15" w14:textId="77777777" w:rsidR="00DD4CA6" w:rsidRPr="00DD4CA6" w:rsidRDefault="00DD4CA6" w:rsidP="00595E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Total Assets: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</w:t>
      </w:r>
      <w:r w:rsidR="00595E9D" w:rsidRPr="00595E9D">
        <w:rPr>
          <w:rFonts w:ascii="Segoe UI" w:eastAsia="Times New Roman" w:hAnsi="Segoe UI" w:cs="Segoe UI"/>
          <w:sz w:val="20"/>
          <w:szCs w:val="24"/>
          <w:lang w:eastAsia="en-GB"/>
        </w:rPr>
        <w:t>Balance sheet expanded ~19% YoY basis, and is primarily dominated by PPE (~50%) which is in line with manufacturer model.</w:t>
      </w:r>
    </w:p>
    <w:p w14:paraId="11719752" w14:textId="77777777" w:rsidR="00DD4CA6" w:rsidRPr="00DD4CA6" w:rsidRDefault="00DD4CA6" w:rsidP="00DD4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Total Tangible Assets: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Similarly, a slight increase, maintaining the company's asset base.</w:t>
      </w:r>
    </w:p>
    <w:p w14:paraId="4DC6E766" w14:textId="77777777" w:rsidR="00DD4CA6" w:rsidRPr="00DD4CA6" w:rsidRDefault="00DD4CA6" w:rsidP="00DD4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Inventory: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A sizable 40% increase in inventory during 2023 aligns with the revenue growth, ensuring adequate stock levels to meet demand.</w:t>
      </w:r>
    </w:p>
    <w:p w14:paraId="62A82040" w14:textId="77777777" w:rsidR="00DD4CA6" w:rsidRPr="003B65CA" w:rsidRDefault="00DD4CA6" w:rsidP="003B6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Cash and Cash Equivalents: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</w:t>
      </w:r>
      <w:r w:rsidR="00595E9D" w:rsidRPr="00595E9D">
        <w:rPr>
          <w:rFonts w:ascii="Segoe UI" w:eastAsia="Times New Roman" w:hAnsi="Segoe UI" w:cs="Segoe UI"/>
          <w:sz w:val="20"/>
          <w:szCs w:val="24"/>
          <w:lang w:eastAsia="en-GB"/>
        </w:rPr>
        <w:t xml:space="preserve">Cash reserves reduced YoY primarily to support </w:t>
      </w:r>
      <w:r w:rsidR="00595E9D">
        <w:rPr>
          <w:rFonts w:ascii="Segoe UI" w:eastAsia="Times New Roman" w:hAnsi="Segoe UI" w:cs="Segoe UI"/>
          <w:sz w:val="20"/>
          <w:szCs w:val="24"/>
          <w:lang w:eastAsia="en-GB"/>
        </w:rPr>
        <w:t xml:space="preserve">capital expenditure </w:t>
      </w:r>
      <w:r w:rsidR="003B65CA">
        <w:rPr>
          <w:rFonts w:ascii="Segoe UI" w:eastAsia="Times New Roman" w:hAnsi="Segoe UI" w:cs="Segoe UI"/>
          <w:sz w:val="20"/>
          <w:szCs w:val="24"/>
          <w:lang w:eastAsia="en-GB"/>
        </w:rPr>
        <w:t xml:space="preserve">on </w:t>
      </w:r>
      <w:r w:rsidR="00595E9D" w:rsidRPr="00595E9D">
        <w:rPr>
          <w:rFonts w:ascii="Segoe UI" w:eastAsia="Times New Roman" w:hAnsi="Segoe UI" w:cs="Segoe UI"/>
          <w:sz w:val="20"/>
          <w:szCs w:val="24"/>
          <w:lang w:eastAsia="en-GB"/>
        </w:rPr>
        <w:t xml:space="preserve">investments &amp; debt repayments. </w:t>
      </w:r>
      <w:r w:rsidR="003B65CA">
        <w:rPr>
          <w:rFonts w:ascii="Segoe UI" w:eastAsia="Times New Roman" w:hAnsi="Segoe UI" w:cs="Segoe UI"/>
          <w:sz w:val="20"/>
          <w:szCs w:val="24"/>
          <w:lang w:eastAsia="en-GB"/>
        </w:rPr>
        <w:t xml:space="preserve">This 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needs </w:t>
      </w:r>
      <w:r w:rsidRPr="003B65CA">
        <w:rPr>
          <w:rFonts w:ascii="Segoe UI" w:eastAsia="Times New Roman" w:hAnsi="Segoe UI" w:cs="Segoe UI"/>
          <w:sz w:val="20"/>
          <w:szCs w:val="24"/>
          <w:lang w:eastAsia="en-GB"/>
        </w:rPr>
        <w:t>monitoring to ensure liquidity.</w:t>
      </w:r>
    </w:p>
    <w:p w14:paraId="66EA1C2D" w14:textId="77777777" w:rsidR="00DD4CA6" w:rsidRPr="00DD4CA6" w:rsidRDefault="00DD4CA6" w:rsidP="00DD4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Total Liabilities: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Slight increase, manageable within the context of overall growth.</w:t>
      </w:r>
    </w:p>
    <w:p w14:paraId="3E47DDE3" w14:textId="77777777" w:rsidR="00DD4CA6" w:rsidRPr="00DD4CA6" w:rsidRDefault="00DD4CA6" w:rsidP="00DD4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Net Worth: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Increased by approximately 33%, reflecting improved shareholder value.</w:t>
      </w:r>
    </w:p>
    <w:p w14:paraId="66182AC0" w14:textId="77777777" w:rsidR="00DD4CA6" w:rsidRPr="00DD4CA6" w:rsidRDefault="00DD4CA6" w:rsidP="00DD4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Tangible Net Worth: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Similarly increased by around 34%, indicating a solid financial foundation.</w:t>
      </w:r>
    </w:p>
    <w:p w14:paraId="482CE70F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Cash Flow</w:t>
      </w:r>
    </w:p>
    <w:p w14:paraId="7DA90615" w14:textId="77777777" w:rsidR="00DD4CA6" w:rsidRPr="00DD4CA6" w:rsidRDefault="00DD4CA6" w:rsidP="00DD4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Operating Cash Flow: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Almost doubled, demonstrating strong cash generation from core activities.</w:t>
      </w:r>
    </w:p>
    <w:p w14:paraId="585B5973" w14:textId="77777777" w:rsidR="00DD4CA6" w:rsidRPr="00DD4CA6" w:rsidRDefault="00DD4CA6" w:rsidP="00DD4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lastRenderedPageBreak/>
        <w:t>Capital Expenditure: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Increased due to investments in property</w:t>
      </w:r>
      <w:r>
        <w:rPr>
          <w:rFonts w:ascii="Segoe UI" w:eastAsia="Times New Roman" w:hAnsi="Segoe UI" w:cs="Segoe UI"/>
          <w:sz w:val="20"/>
          <w:szCs w:val="24"/>
          <w:lang w:eastAsia="en-GB"/>
        </w:rPr>
        <w:t xml:space="preserve"> and 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>equipment, supporting long-term growth.</w:t>
      </w:r>
    </w:p>
    <w:p w14:paraId="43837A80" w14:textId="77777777" w:rsidR="00DD4CA6" w:rsidRPr="00DD4CA6" w:rsidRDefault="00DD4CA6" w:rsidP="00DD4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Free Cash Flow: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Increased due to higher operating cash flows, partially offset by increased capital expenditure, indicating healthy financial management.</w:t>
      </w:r>
    </w:p>
    <w:p w14:paraId="25FF65A8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  <w:t>Key Financial Ratios</w:t>
      </w:r>
    </w:p>
    <w:p w14:paraId="51EB99C0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Profitability Ratios</w:t>
      </w:r>
    </w:p>
    <w:p w14:paraId="56762BAC" w14:textId="77777777" w:rsidR="00DD4CA6" w:rsidRPr="00DD4CA6" w:rsidRDefault="00DD4CA6" w:rsidP="00DD4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EBITDA Margin: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Almost doubled, indicating enhanced profitability.</w:t>
      </w:r>
    </w:p>
    <w:p w14:paraId="0E7645EC" w14:textId="77777777" w:rsidR="00DD4CA6" w:rsidRPr="00DD4CA6" w:rsidRDefault="00DD4CA6" w:rsidP="00DD4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Operating Margin: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Similarly doubled, reflecting improved operational efficiency.</w:t>
      </w:r>
    </w:p>
    <w:p w14:paraId="6A651971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Leverage and Liquidity Ratios</w:t>
      </w:r>
    </w:p>
    <w:p w14:paraId="438DF26C" w14:textId="77777777" w:rsidR="00DD4CA6" w:rsidRPr="00DD4CA6" w:rsidRDefault="00DD4CA6" w:rsidP="00DD4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Interest Coverage Ratio: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Significant improvement due to increased EBITDA and reduced net interest payments, enhancing financial stability.</w:t>
      </w:r>
    </w:p>
    <w:p w14:paraId="3799E211" w14:textId="77777777" w:rsidR="00DD4CA6" w:rsidRPr="00DD4CA6" w:rsidRDefault="00DD4CA6" w:rsidP="00DD4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Current Asset Ratio: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Slightly dropped, suggesting a need to monitor liquidity closely.</w:t>
      </w:r>
    </w:p>
    <w:p w14:paraId="25826EEF" w14:textId="77777777" w:rsidR="00DD4CA6" w:rsidRPr="00DD4CA6" w:rsidRDefault="00DD4CA6" w:rsidP="00DD4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Leverage Metric: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Decreased by approximately </w:t>
      </w:r>
      <w:r w:rsidR="0074680D">
        <w:rPr>
          <w:rFonts w:ascii="Segoe UI" w:eastAsia="Times New Roman" w:hAnsi="Segoe UI" w:cs="Segoe UI"/>
          <w:sz w:val="20"/>
          <w:szCs w:val="24"/>
          <w:lang w:eastAsia="en-GB"/>
        </w:rPr>
        <w:t>6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>.</w:t>
      </w:r>
      <w:r w:rsidR="0074680D">
        <w:rPr>
          <w:rFonts w:ascii="Segoe UI" w:eastAsia="Times New Roman" w:hAnsi="Segoe UI" w:cs="Segoe UI"/>
          <w:sz w:val="20"/>
          <w:szCs w:val="24"/>
          <w:lang w:eastAsia="en-GB"/>
        </w:rPr>
        <w:t>6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(8</w:t>
      </w:r>
      <w:r w:rsidR="0074680D">
        <w:rPr>
          <w:rFonts w:ascii="Segoe UI" w:eastAsia="Times New Roman" w:hAnsi="Segoe UI" w:cs="Segoe UI"/>
          <w:sz w:val="20"/>
          <w:szCs w:val="24"/>
          <w:lang w:eastAsia="en-GB"/>
        </w:rPr>
        <w:t>4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>%), mainly due to increased EBITDA, indicating reduced financial risk.</w:t>
      </w:r>
    </w:p>
    <w:p w14:paraId="17E6889D" w14:textId="77777777" w:rsidR="00DD4CA6" w:rsidRPr="00DD4CA6" w:rsidRDefault="00DD4CA6" w:rsidP="00DD4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Net Leverage: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Increased by approximately </w:t>
      </w:r>
      <w:r w:rsidR="0074680D">
        <w:rPr>
          <w:rFonts w:ascii="Segoe UI" w:eastAsia="Times New Roman" w:hAnsi="Segoe UI" w:cs="Segoe UI"/>
          <w:sz w:val="20"/>
          <w:szCs w:val="24"/>
          <w:lang w:eastAsia="en-GB"/>
        </w:rPr>
        <w:t>3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>.2 (</w:t>
      </w:r>
      <w:r w:rsidR="0074680D">
        <w:rPr>
          <w:rFonts w:ascii="Segoe UI" w:eastAsia="Times New Roman" w:hAnsi="Segoe UI" w:cs="Segoe UI"/>
          <w:sz w:val="20"/>
          <w:szCs w:val="24"/>
          <w:lang w:eastAsia="en-GB"/>
        </w:rPr>
        <w:t>62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>%), driven by the leverage metric improvement but offset by reduced cash balance.</w:t>
      </w:r>
    </w:p>
    <w:p w14:paraId="0213B4F3" w14:textId="77777777" w:rsidR="00DD4CA6" w:rsidRPr="00DD4CA6" w:rsidRDefault="00DD4CA6" w:rsidP="00DD4C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C</w:t>
      </w:r>
      <w:r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 xml:space="preserve">ash </w:t>
      </w: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F</w:t>
      </w:r>
      <w:r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low</w:t>
      </w: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/</w:t>
      </w:r>
      <w:r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 xml:space="preserve"> </w:t>
      </w: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Cap</w:t>
      </w:r>
      <w:r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 xml:space="preserve">ital </w:t>
      </w: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E</w:t>
      </w:r>
      <w:r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xpenditure</w:t>
      </w: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 xml:space="preserve"> Ratio: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Changed by 0.4 due to higher capital expenditure relative to cash flows from operating activities, suggesting cautious investment strategies.</w:t>
      </w:r>
    </w:p>
    <w:p w14:paraId="49116D73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  <w:t>Risk Assessment</w:t>
      </w:r>
    </w:p>
    <w:p w14:paraId="3CA09DD6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Key Financial Risks</w:t>
      </w:r>
    </w:p>
    <w:p w14:paraId="78D3E90A" w14:textId="77777777" w:rsidR="00DD4CA6" w:rsidRPr="00DD4CA6" w:rsidRDefault="00DD4CA6" w:rsidP="00DD4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Liquidity Risk: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The slight drop in cash and cash equivalents and current asset ratio requires close monitoring to ensure the company can meet its short-term obligations.</w:t>
      </w:r>
    </w:p>
    <w:p w14:paraId="74A01DB7" w14:textId="77777777" w:rsidR="00DD4CA6" w:rsidRPr="00DD4CA6" w:rsidRDefault="00DD4CA6" w:rsidP="00DD4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Capital Expenditure Risk: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While increased capital expenditure supports growth, it also strains free cash flow. Ensuring a balance between investment and liquidity is crucial.</w:t>
      </w:r>
    </w:p>
    <w:p w14:paraId="3DA0E3B3" w14:textId="77777777" w:rsidR="00DD4CA6" w:rsidRPr="00DD4CA6" w:rsidRDefault="00DD4CA6" w:rsidP="00DD4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Leverage Risk: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Although the leverage metric has improved significantly, the increase in net leverage due to a decrease in cash balance poses a potential risk.</w:t>
      </w:r>
    </w:p>
    <w:p w14:paraId="604C2B5C" w14:textId="77777777" w:rsidR="00DD4CA6" w:rsidRPr="00DD4CA6" w:rsidRDefault="00DD4CA6" w:rsidP="00DD4C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Inventory Risk: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The substantial increase in inventory must be managed efficiently to prevent overstocking and related costs.</w:t>
      </w:r>
    </w:p>
    <w:p w14:paraId="65284063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  <w:t>Actionable Insights</w:t>
      </w:r>
    </w:p>
    <w:p w14:paraId="543AF93E" w14:textId="77777777" w:rsidR="00DD4CA6" w:rsidRPr="00DD4CA6" w:rsidRDefault="00DD4CA6" w:rsidP="00DD4C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Enhance Liquidity Management: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Implement strategies to improve cash reserves and optimize current asset management.</w:t>
      </w:r>
    </w:p>
    <w:p w14:paraId="7578B336" w14:textId="77777777" w:rsidR="00DD4CA6" w:rsidRPr="00DD4CA6" w:rsidRDefault="00DD4CA6" w:rsidP="00DD4C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Monitor Capital Expenditure: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Ensure that capital investments are aligned with cash flow capabilities to maintain financial stability.</w:t>
      </w:r>
    </w:p>
    <w:p w14:paraId="328009D7" w14:textId="77777777" w:rsidR="00DD4CA6" w:rsidRPr="00DD4CA6" w:rsidRDefault="00DD4CA6" w:rsidP="00DD4C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Leverage Optimization: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Continue to focus on reducing leverage by increasing profitability and maintaining a healthy cash balance.</w:t>
      </w:r>
    </w:p>
    <w:p w14:paraId="7506543F" w14:textId="77777777" w:rsidR="00DD4CA6" w:rsidRPr="00DD4CA6" w:rsidRDefault="00DD4CA6" w:rsidP="00DD4C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4"/>
          <w:lang w:eastAsia="en-GB"/>
        </w:rPr>
        <w:t>Efficient Inventory Management: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 Streamline inventory processes to align with sales growth and minimize holding costs.</w:t>
      </w:r>
    </w:p>
    <w:p w14:paraId="0EDAD83F" w14:textId="77777777" w:rsidR="00DD4CA6" w:rsidRPr="00DD4CA6" w:rsidRDefault="00DD4CA6" w:rsidP="00DD4CA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</w:pPr>
      <w:r w:rsidRPr="00DD4CA6">
        <w:rPr>
          <w:rFonts w:ascii="Segoe UI" w:eastAsia="Times New Roman" w:hAnsi="Segoe UI" w:cs="Segoe UI"/>
          <w:b/>
          <w:bCs/>
          <w:sz w:val="20"/>
          <w:szCs w:val="27"/>
          <w:lang w:eastAsia="en-GB"/>
        </w:rPr>
        <w:t>Conclusion</w:t>
      </w:r>
    </w:p>
    <w:p w14:paraId="7CA696F7" w14:textId="77777777" w:rsidR="00DD4CA6" w:rsidRPr="00DD4CA6" w:rsidRDefault="00DD4CA6" w:rsidP="00DD4C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lastRenderedPageBreak/>
        <w:t>Green Solutions Manufacturing Ltd demonstrates strong financial health with significant revenue growth, improved profitability, and a solid asset base. However, attention to liquidity, capital expenditure, and leverage management is essential to mitigate potential risks. The company is well-positioned for continued success, provided these financial strategies are effectively implemented.</w:t>
      </w:r>
    </w:p>
    <w:p w14:paraId="1DFA76C5" w14:textId="77777777" w:rsidR="00DD4CA6" w:rsidRPr="00DD4CA6" w:rsidRDefault="00000000" w:rsidP="00DD4CA6">
      <w:pPr>
        <w:spacing w:after="0" w:line="240" w:lineRule="auto"/>
        <w:rPr>
          <w:rFonts w:ascii="Segoe UI" w:eastAsia="Times New Roman" w:hAnsi="Segoe UI" w:cs="Segoe UI"/>
          <w:sz w:val="20"/>
          <w:szCs w:val="24"/>
          <w:lang w:eastAsia="en-GB"/>
        </w:rPr>
      </w:pPr>
      <w:r>
        <w:rPr>
          <w:rFonts w:ascii="Segoe UI" w:eastAsia="Times New Roman" w:hAnsi="Segoe UI" w:cs="Segoe UI"/>
          <w:noProof/>
          <w:sz w:val="20"/>
          <w:szCs w:val="24"/>
          <w:lang w:eastAsia="en-GB"/>
        </w:rPr>
        <w:pict w14:anchorId="3ECD228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CAB32EB" w14:textId="67F5E64D" w:rsidR="00DD4CA6" w:rsidRPr="00DD4CA6" w:rsidRDefault="00DD4CA6" w:rsidP="00DD4CA6">
      <w:pPr>
        <w:spacing w:before="100" w:beforeAutospacing="1" w:after="100" w:afterAutospacing="1" w:line="240" w:lineRule="auto"/>
        <w:rPr>
          <w:rFonts w:ascii="Segoe UI" w:hAnsi="Segoe UI" w:cs="Segoe UI"/>
          <w:sz w:val="18"/>
        </w:rPr>
      </w:pP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t xml:space="preserve">Prepared by: </w:t>
      </w:r>
      <w:r w:rsidR="00A97010">
        <w:rPr>
          <w:rFonts w:ascii="Segoe UI" w:eastAsia="Times New Roman" w:hAnsi="Segoe UI" w:cs="Segoe UI"/>
          <w:color w:val="FF0000"/>
          <w:sz w:val="20"/>
          <w:szCs w:val="24"/>
          <w:lang w:eastAsia="en-GB"/>
        </w:rPr>
        <w:t>Shaghayegh Haghbin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br/>
        <w:t>Position: Credit Analyst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br/>
        <w:t>Standard Chartered Bank</w:t>
      </w:r>
      <w:r w:rsidRPr="00DD4CA6">
        <w:rPr>
          <w:rFonts w:ascii="Segoe UI" w:eastAsia="Times New Roman" w:hAnsi="Segoe UI" w:cs="Segoe UI"/>
          <w:sz w:val="20"/>
          <w:szCs w:val="24"/>
          <w:lang w:eastAsia="en-GB"/>
        </w:rPr>
        <w:br/>
        <w:t xml:space="preserve">Date: </w:t>
      </w:r>
      <w:r>
        <w:rPr>
          <w:rFonts w:ascii="Segoe UI" w:eastAsia="Times New Roman" w:hAnsi="Segoe UI" w:cs="Segoe UI"/>
          <w:sz w:val="20"/>
          <w:szCs w:val="24"/>
          <w:lang w:eastAsia="en-GB"/>
        </w:rPr>
        <w:t>26</w:t>
      </w:r>
      <w:r w:rsidRPr="00DD4CA6">
        <w:rPr>
          <w:rFonts w:ascii="Segoe UI" w:eastAsia="Times New Roman" w:hAnsi="Segoe UI" w:cs="Segoe UI"/>
          <w:sz w:val="20"/>
          <w:szCs w:val="24"/>
          <w:vertAlign w:val="superscript"/>
          <w:lang w:eastAsia="en-GB"/>
        </w:rPr>
        <w:t>th</w:t>
      </w:r>
      <w:r>
        <w:rPr>
          <w:rFonts w:ascii="Segoe UI" w:eastAsia="Times New Roman" w:hAnsi="Segoe UI" w:cs="Segoe UI"/>
          <w:sz w:val="20"/>
          <w:szCs w:val="24"/>
          <w:lang w:eastAsia="en-GB"/>
        </w:rPr>
        <w:t xml:space="preserve"> July’24</w:t>
      </w:r>
    </w:p>
    <w:sectPr w:rsidR="00DD4CA6" w:rsidRPr="00DD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83D9B"/>
    <w:multiLevelType w:val="multilevel"/>
    <w:tmpl w:val="2AE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23D7D"/>
    <w:multiLevelType w:val="multilevel"/>
    <w:tmpl w:val="38DE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E53EE"/>
    <w:multiLevelType w:val="multilevel"/>
    <w:tmpl w:val="49B4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B2827"/>
    <w:multiLevelType w:val="multilevel"/>
    <w:tmpl w:val="4BF6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D2CBF"/>
    <w:multiLevelType w:val="multilevel"/>
    <w:tmpl w:val="A30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572E0"/>
    <w:multiLevelType w:val="multilevel"/>
    <w:tmpl w:val="79A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84E52"/>
    <w:multiLevelType w:val="multilevel"/>
    <w:tmpl w:val="A9E8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70177"/>
    <w:multiLevelType w:val="multilevel"/>
    <w:tmpl w:val="9E26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024552">
    <w:abstractNumId w:val="4"/>
  </w:num>
  <w:num w:numId="2" w16cid:durableId="1486242909">
    <w:abstractNumId w:val="2"/>
  </w:num>
  <w:num w:numId="3" w16cid:durableId="1154296435">
    <w:abstractNumId w:val="7"/>
  </w:num>
  <w:num w:numId="4" w16cid:durableId="1843659505">
    <w:abstractNumId w:val="5"/>
  </w:num>
  <w:num w:numId="5" w16cid:durableId="999817853">
    <w:abstractNumId w:val="0"/>
  </w:num>
  <w:num w:numId="6" w16cid:durableId="866214810">
    <w:abstractNumId w:val="1"/>
  </w:num>
  <w:num w:numId="7" w16cid:durableId="351029820">
    <w:abstractNumId w:val="3"/>
  </w:num>
  <w:num w:numId="8" w16cid:durableId="1179156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3M7IwMzYxMTAwNTVX0lEKTi0uzszPAykwqQUAgYvNAiwAAAA="/>
  </w:docVars>
  <w:rsids>
    <w:rsidRoot w:val="00DD4CA6"/>
    <w:rsid w:val="00004756"/>
    <w:rsid w:val="00193423"/>
    <w:rsid w:val="003B65CA"/>
    <w:rsid w:val="00595E9D"/>
    <w:rsid w:val="0074680D"/>
    <w:rsid w:val="00755D9C"/>
    <w:rsid w:val="007D2693"/>
    <w:rsid w:val="009E6B60"/>
    <w:rsid w:val="00A97010"/>
    <w:rsid w:val="00C24DC3"/>
    <w:rsid w:val="00DC7F46"/>
    <w:rsid w:val="00DD4CA6"/>
    <w:rsid w:val="00DF11F6"/>
    <w:rsid w:val="00E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80F1"/>
  <w15:chartTrackingRefBased/>
  <w15:docId w15:val="{CD18D1E8-7FA4-44B7-8C41-10845C4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D4C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CA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D4C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D4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D4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Shaghayegh Haghbin</dc:creator>
  <cp:keywords/>
  <dc:description/>
  <cp:lastModifiedBy>Shaghayegh Haghbin [sdwh6702]</cp:lastModifiedBy>
  <cp:revision>2</cp:revision>
  <dcterms:created xsi:type="dcterms:W3CDTF">2025-05-04T03:40:00Z</dcterms:created>
  <dcterms:modified xsi:type="dcterms:W3CDTF">2025-05-04T03:40:00Z</dcterms:modified>
</cp:coreProperties>
</file>