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BAB93" w14:textId="77777777" w:rsidR="00D0233D" w:rsidRDefault="00000000">
      <w:pPr>
        <w:spacing w:before="1280"/>
        <w:jc w:val="center"/>
      </w:pPr>
      <w:r>
        <w:rPr>
          <w:rFonts w:ascii="Aptos Display" w:hAnsi="Aptos Display"/>
          <w:b/>
          <w:color w:val="1F4E79"/>
          <w:sz w:val="48"/>
        </w:rPr>
        <w:t>Healthcare Operations Data Analysis</w:t>
      </w:r>
      <w:r>
        <w:rPr>
          <w:rFonts w:ascii="Aptos Display" w:hAnsi="Aptos Display"/>
          <w:b/>
          <w:color w:val="1F4E79"/>
          <w:sz w:val="48"/>
        </w:rPr>
        <w:br/>
        <w:t>and PivotTable Strategy Using Excel</w:t>
      </w:r>
    </w:p>
    <w:p w14:paraId="2E8219B8" w14:textId="77777777" w:rsidR="00D0233D" w:rsidRDefault="00000000">
      <w:pPr>
        <w:spacing w:after="360"/>
        <w:jc w:val="center"/>
      </w:pPr>
      <w:r>
        <w:rPr>
          <w:b/>
          <w:color w:val="2F5496"/>
          <w:sz w:val="28"/>
        </w:rPr>
        <w:t>Week 3 Task: Data Analysis and Pivot Table Creation</w:t>
      </w:r>
    </w:p>
    <w:tbl>
      <w:tblPr>
        <w:tblW w:w="0" w:type="auto"/>
        <w:tblLook w:val="04A0" w:firstRow="1" w:lastRow="0" w:firstColumn="1" w:lastColumn="0" w:noHBand="0" w:noVBand="1"/>
      </w:tblPr>
      <w:tblGrid>
        <w:gridCol w:w="10080"/>
      </w:tblGrid>
      <w:tr w:rsidR="00D0233D" w14:paraId="2DDB2661" w14:textId="77777777">
        <w:tc>
          <w:tcPr>
            <w:tcW w:w="10080" w:type="dxa"/>
            <w:shd w:val="clear" w:color="auto" w:fill="1F4E79"/>
          </w:tcPr>
          <w:p w14:paraId="50217039" w14:textId="77777777" w:rsidR="00D0233D" w:rsidRDefault="00D0233D"/>
        </w:tc>
      </w:tr>
    </w:tbl>
    <w:p w14:paraId="2AED7CC6" w14:textId="777173B1" w:rsidR="00D0233D" w:rsidRDefault="00000000" w:rsidP="00141279">
      <w:pPr>
        <w:spacing w:before="360"/>
        <w:jc w:val="center"/>
      </w:pPr>
      <w:r>
        <w:rPr>
          <w:sz w:val="24"/>
        </w:rPr>
        <w:t>Prepared by: Shaghayegh Haghbin</w:t>
      </w:r>
      <w:r>
        <w:rPr>
          <w:sz w:val="24"/>
        </w:rPr>
        <w:br/>
      </w:r>
    </w:p>
    <w:p w14:paraId="73D89297" w14:textId="77777777" w:rsidR="00D0233D" w:rsidRDefault="00000000">
      <w:r>
        <w:br w:type="page"/>
      </w:r>
    </w:p>
    <w:p w14:paraId="567CA2D1" w14:textId="77777777" w:rsidR="00D0233D" w:rsidRDefault="00000000">
      <w:pPr>
        <w:pStyle w:val="Heading1"/>
        <w:spacing w:before="240" w:after="120"/>
      </w:pPr>
      <w:r>
        <w:rPr>
          <w:rFonts w:ascii="Aptos Display" w:hAnsi="Aptos Display"/>
          <w:color w:val="1F4E79"/>
        </w:rPr>
        <w:lastRenderedPageBreak/>
        <w:t>Document Purpose</w:t>
      </w:r>
    </w:p>
    <w:p w14:paraId="067EFE6D" w14:textId="77777777" w:rsidR="00D0233D" w:rsidRDefault="00000000">
      <w:pPr>
        <w:spacing w:after="120" w:line="259" w:lineRule="auto"/>
      </w:pPr>
      <w:r>
        <w:t>This document presents a clear approach for analyzing healthcare operations data in Excel using PivotTables and advanced analytical tools. The strategy explains the analysis scenario, dataset fields, PivotTable creation steps, summary calculations, expected insights, and decision-making recommendations. The focus is on turning structured healthcare records into practical information for patient visit management, treatment outcome review, appointment performance monitoring, and resource planning.</w:t>
      </w:r>
    </w:p>
    <w:p w14:paraId="50F34E8C" w14:textId="77777777" w:rsidR="00D0233D" w:rsidRDefault="00000000">
      <w:pPr>
        <w:pStyle w:val="Heading1"/>
        <w:spacing w:before="240" w:after="120"/>
      </w:pPr>
      <w:r>
        <w:rPr>
          <w:rFonts w:ascii="Aptos Display" w:hAnsi="Aptos Display"/>
          <w:color w:val="1F4E79"/>
        </w:rPr>
        <w:t>1. Executive Summary</w:t>
      </w:r>
    </w:p>
    <w:p w14:paraId="21193E7B" w14:textId="77777777" w:rsidR="00D0233D" w:rsidRDefault="00000000">
      <w:pPr>
        <w:spacing w:after="120" w:line="259" w:lineRule="auto"/>
      </w:pPr>
      <w:r>
        <w:t>The analysis plan is designed for a healthcare operations team reviewing twelve months of appointment, visit, treatment, and resource data. Excel will be used to summarize high-volume records, compare departments, identify appointment trends, and monitor service performance. PivotTables will provide flexible summaries by month, department, provider, visit status, treatment outcome, and follow-up requirement.</w:t>
      </w:r>
    </w:p>
    <w:p w14:paraId="607EC48E" w14:textId="77777777" w:rsidR="00D0233D" w:rsidRDefault="00000000">
      <w:pPr>
        <w:spacing w:after="120" w:line="259" w:lineRule="auto"/>
      </w:pPr>
      <w:r>
        <w:t>The main analytical outputs will include visit volume by department, appointment status summary, treatment outcome comparison, wait time analysis, provider utilization, and follow-up demand. Slicers, PivotCharts, calculated fields, GETPIVOTDATA, Conditional Formatting, and structured Excel Tables will allow the analysis to be filtered and refreshed efficiently. The final insights can support staffing decisions, scheduling improvements, follow-up planning, and service quality monitoring.</w:t>
      </w:r>
    </w:p>
    <w:p w14:paraId="7A476D8C" w14:textId="77777777" w:rsidR="00D0233D" w:rsidRDefault="00000000">
      <w:pPr>
        <w:pStyle w:val="Heading1"/>
        <w:spacing w:before="240" w:after="120"/>
      </w:pPr>
      <w:r>
        <w:rPr>
          <w:rFonts w:ascii="Aptos Display" w:hAnsi="Aptos Display"/>
          <w:color w:val="1F4E79"/>
        </w:rPr>
        <w:t>2. Analysis Objectives</w:t>
      </w:r>
    </w:p>
    <w:p w14:paraId="21429EA1" w14:textId="77777777" w:rsidR="00D0233D" w:rsidRDefault="00000000">
      <w:pPr>
        <w:pStyle w:val="ListBullet"/>
        <w:spacing w:after="40"/>
      </w:pPr>
      <w:r>
        <w:rPr>
          <w:sz w:val="20"/>
        </w:rPr>
        <w:t>Summarize patient visit frequency by month, department, provider, and visit type.</w:t>
      </w:r>
    </w:p>
    <w:p w14:paraId="13CC4941" w14:textId="77777777" w:rsidR="00D0233D" w:rsidRDefault="00000000">
      <w:pPr>
        <w:pStyle w:val="ListBullet"/>
        <w:spacing w:after="40"/>
      </w:pPr>
      <w:r>
        <w:rPr>
          <w:sz w:val="20"/>
        </w:rPr>
        <w:t>Analyze appointment performance by reviewing completed visits, cancellations, no shows, and rescheduled appointments.</w:t>
      </w:r>
    </w:p>
    <w:p w14:paraId="1F22F006" w14:textId="77777777" w:rsidR="00D0233D" w:rsidRDefault="00000000">
      <w:pPr>
        <w:pStyle w:val="ListBullet"/>
        <w:spacing w:after="40"/>
      </w:pPr>
      <w:r>
        <w:rPr>
          <w:sz w:val="20"/>
        </w:rPr>
        <w:t>Compare treatment outcomes across departments and identify areas requiring additional review.</w:t>
      </w:r>
    </w:p>
    <w:p w14:paraId="1A5ECC81" w14:textId="77777777" w:rsidR="00D0233D" w:rsidRDefault="00000000">
      <w:pPr>
        <w:pStyle w:val="ListBullet"/>
        <w:spacing w:after="40"/>
      </w:pPr>
      <w:r>
        <w:rPr>
          <w:sz w:val="20"/>
        </w:rPr>
        <w:t>Measure resource utilization using provider workload, department volume, average wait time, and capacity indicators.</w:t>
      </w:r>
    </w:p>
    <w:p w14:paraId="41D83ECA" w14:textId="77777777" w:rsidR="00D0233D" w:rsidRDefault="00000000">
      <w:pPr>
        <w:pStyle w:val="ListBullet"/>
        <w:spacing w:after="40"/>
      </w:pPr>
      <w:r>
        <w:rPr>
          <w:sz w:val="20"/>
        </w:rPr>
        <w:t>Demonstrate how PivotTables, slicers, calculated fields, GETPIVOTDATA, and PivotCharts support efficient healthcare data analysis.</w:t>
      </w:r>
    </w:p>
    <w:p w14:paraId="1FEDA1A1" w14:textId="77777777" w:rsidR="00D0233D" w:rsidRDefault="00000000">
      <w:pPr>
        <w:pStyle w:val="ListBullet"/>
        <w:spacing w:after="40"/>
      </w:pPr>
      <w:r>
        <w:rPr>
          <w:sz w:val="20"/>
        </w:rPr>
        <w:t>Convert the analysis into practical recommendations that can improve operations, scheduling, and follow-up management.</w:t>
      </w:r>
    </w:p>
    <w:p w14:paraId="7A5E5395" w14:textId="77777777" w:rsidR="00D0233D" w:rsidRDefault="00000000">
      <w:pPr>
        <w:pStyle w:val="Heading1"/>
        <w:spacing w:before="240" w:after="120"/>
      </w:pPr>
      <w:r>
        <w:rPr>
          <w:rFonts w:ascii="Aptos Display" w:hAnsi="Aptos Display"/>
          <w:color w:val="1F4E79"/>
        </w:rPr>
        <w:t>3. Healthcare Analysis Scenario</w:t>
      </w:r>
    </w:p>
    <w:p w14:paraId="0FB980E1" w14:textId="77777777" w:rsidR="00D0233D" w:rsidRDefault="00000000">
      <w:pPr>
        <w:spacing w:after="120" w:line="259" w:lineRule="auto"/>
      </w:pPr>
      <w:r>
        <w:t>A healthcare operations team needs to review a sample dataset containing appointment and treatment activity across several departments, including General Medicine, Pediatrics, Cardiology, Orthopedics, Dermatology, and Emergency Care. The team wants to understand which departments have the highest patient volume, where no shows are most common, which months experience the greatest workload, and whether treatment outcomes differ by department or visit type.</w:t>
      </w:r>
    </w:p>
    <w:p w14:paraId="5A91F40E" w14:textId="77777777" w:rsidR="00D0233D" w:rsidRDefault="00000000">
      <w:pPr>
        <w:spacing w:after="120" w:line="259" w:lineRule="auto"/>
      </w:pPr>
      <w:r>
        <w:t>The dataset also includes provider availability, wait time, appointment status, follow-up status, and outcome information. The analysis will help the team identify pressure points, improve appointment planning, review provider workload, and prioritize departments that need process improvement. Excel PivotTables are suitable for this work because they can quickly summarize thousands of records and allow the user to change the analysis view without rebuilding formulas from the beginning.</w:t>
      </w:r>
    </w:p>
    <w:p w14:paraId="29DC27C2" w14:textId="77777777" w:rsidR="00141279" w:rsidRDefault="00141279">
      <w:pPr>
        <w:spacing w:after="120" w:line="259" w:lineRule="auto"/>
      </w:pPr>
    </w:p>
    <w:p w14:paraId="2C4C9F65" w14:textId="77777777" w:rsidR="00D0233D" w:rsidRDefault="00000000">
      <w:pPr>
        <w:pStyle w:val="Heading1"/>
        <w:spacing w:before="240" w:after="120"/>
      </w:pPr>
      <w:r>
        <w:rPr>
          <w:rFonts w:ascii="Aptos Display" w:hAnsi="Aptos Display"/>
          <w:color w:val="1F4E79"/>
        </w:rPr>
        <w:lastRenderedPageBreak/>
        <w:t>4. Dataset Fields for Analysis</w:t>
      </w:r>
    </w:p>
    <w:tbl>
      <w:tblPr>
        <w:tblStyle w:val="TableGrid"/>
        <w:tblW w:w="0" w:type="auto"/>
        <w:jc w:val="center"/>
        <w:tblLook w:val="04A0" w:firstRow="1" w:lastRow="0" w:firstColumn="1" w:lastColumn="0" w:noHBand="0" w:noVBand="1"/>
      </w:tblPr>
      <w:tblGrid>
        <w:gridCol w:w="2160"/>
        <w:gridCol w:w="3456"/>
        <w:gridCol w:w="4320"/>
      </w:tblGrid>
      <w:tr w:rsidR="00D0233D" w14:paraId="14B3F1E3"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28BA529" w14:textId="77777777" w:rsidR="00D0233D" w:rsidRDefault="00000000">
            <w:r>
              <w:rPr>
                <w:b/>
                <w:color w:val="FFFFFF"/>
                <w:sz w:val="16"/>
              </w:rPr>
              <w:t>Field Name</w:t>
            </w:r>
          </w:p>
        </w:tc>
        <w:tc>
          <w:tcPr>
            <w:tcW w:w="345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24BC39B" w14:textId="77777777" w:rsidR="00D0233D" w:rsidRDefault="00000000">
            <w:r>
              <w:rPr>
                <w:b/>
                <w:color w:val="FFFFFF"/>
                <w:sz w:val="16"/>
              </w:rPr>
              <w:t>Description</w:t>
            </w:r>
          </w:p>
        </w:tc>
        <w:tc>
          <w:tcPr>
            <w:tcW w:w="432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F9BBD23" w14:textId="77777777" w:rsidR="00D0233D" w:rsidRDefault="00000000">
            <w:r>
              <w:rPr>
                <w:b/>
                <w:color w:val="FFFFFF"/>
                <w:sz w:val="16"/>
              </w:rPr>
              <w:t>Analytical Use</w:t>
            </w:r>
          </w:p>
        </w:tc>
      </w:tr>
      <w:tr w:rsidR="00D0233D" w14:paraId="55F416A1"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565342D7" w14:textId="77777777" w:rsidR="00D0233D" w:rsidRDefault="00000000">
            <w:r>
              <w:rPr>
                <w:sz w:val="16"/>
              </w:rPr>
              <w:t>Visit_ID</w:t>
            </w:r>
          </w:p>
        </w:tc>
        <w:tc>
          <w:tcPr>
            <w:tcW w:w="3456" w:type="dxa"/>
            <w:tcBorders>
              <w:top w:val="single" w:sz="4" w:space="0" w:color="D9E2F3"/>
              <w:left w:val="single" w:sz="4" w:space="0" w:color="D9E2F3"/>
              <w:bottom w:val="single" w:sz="4" w:space="0" w:color="D9E2F3"/>
              <w:right w:val="single" w:sz="4" w:space="0" w:color="D9E2F3"/>
            </w:tcBorders>
            <w:vAlign w:val="center"/>
          </w:tcPr>
          <w:p w14:paraId="533826D8" w14:textId="77777777" w:rsidR="00D0233D" w:rsidRDefault="00000000">
            <w:r>
              <w:rPr>
                <w:sz w:val="16"/>
              </w:rPr>
              <w:t>Unique visit reference number</w:t>
            </w:r>
          </w:p>
        </w:tc>
        <w:tc>
          <w:tcPr>
            <w:tcW w:w="4320" w:type="dxa"/>
            <w:tcBorders>
              <w:top w:val="single" w:sz="4" w:space="0" w:color="D9E2F3"/>
              <w:left w:val="single" w:sz="4" w:space="0" w:color="D9E2F3"/>
              <w:bottom w:val="single" w:sz="4" w:space="0" w:color="D9E2F3"/>
              <w:right w:val="single" w:sz="4" w:space="0" w:color="D9E2F3"/>
            </w:tcBorders>
            <w:vAlign w:val="center"/>
          </w:tcPr>
          <w:p w14:paraId="2C370629" w14:textId="77777777" w:rsidR="00D0233D" w:rsidRDefault="00000000">
            <w:r>
              <w:rPr>
                <w:sz w:val="16"/>
              </w:rPr>
              <w:t>Used as the main count field in PivotTables</w:t>
            </w:r>
          </w:p>
        </w:tc>
      </w:tr>
      <w:tr w:rsidR="00D0233D" w14:paraId="7CD44A53"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0150020" w14:textId="77777777" w:rsidR="00D0233D" w:rsidRDefault="00000000">
            <w:r>
              <w:rPr>
                <w:sz w:val="16"/>
              </w:rPr>
              <w:t>Patient_Key</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0B272BE" w14:textId="77777777" w:rsidR="00D0233D" w:rsidRDefault="00000000">
            <w:r>
              <w:rPr>
                <w:sz w:val="16"/>
              </w:rPr>
              <w:t>Coded patient reference without direct identifiers</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8E88F75" w14:textId="77777777" w:rsidR="00D0233D" w:rsidRDefault="00000000">
            <w:r>
              <w:rPr>
                <w:sz w:val="16"/>
              </w:rPr>
              <w:t>Used to count distinct patient activity</w:t>
            </w:r>
          </w:p>
        </w:tc>
      </w:tr>
      <w:tr w:rsidR="00D0233D" w14:paraId="2EF20210"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773455A6" w14:textId="77777777" w:rsidR="00D0233D" w:rsidRDefault="00000000">
            <w:r>
              <w:rPr>
                <w:sz w:val="16"/>
              </w:rPr>
              <w:t>Department</w:t>
            </w:r>
          </w:p>
        </w:tc>
        <w:tc>
          <w:tcPr>
            <w:tcW w:w="3456" w:type="dxa"/>
            <w:tcBorders>
              <w:top w:val="single" w:sz="4" w:space="0" w:color="D9E2F3"/>
              <w:left w:val="single" w:sz="4" w:space="0" w:color="D9E2F3"/>
              <w:bottom w:val="single" w:sz="4" w:space="0" w:color="D9E2F3"/>
              <w:right w:val="single" w:sz="4" w:space="0" w:color="D9E2F3"/>
            </w:tcBorders>
            <w:vAlign w:val="center"/>
          </w:tcPr>
          <w:p w14:paraId="2DC6B91E" w14:textId="77777777" w:rsidR="00D0233D" w:rsidRDefault="00000000">
            <w:r>
              <w:rPr>
                <w:sz w:val="16"/>
              </w:rPr>
              <w:t>Care area such as Cardiology or Pediatrics</w:t>
            </w:r>
          </w:p>
        </w:tc>
        <w:tc>
          <w:tcPr>
            <w:tcW w:w="4320" w:type="dxa"/>
            <w:tcBorders>
              <w:top w:val="single" w:sz="4" w:space="0" w:color="D9E2F3"/>
              <w:left w:val="single" w:sz="4" w:space="0" w:color="D9E2F3"/>
              <w:bottom w:val="single" w:sz="4" w:space="0" w:color="D9E2F3"/>
              <w:right w:val="single" w:sz="4" w:space="0" w:color="D9E2F3"/>
            </w:tcBorders>
            <w:vAlign w:val="center"/>
          </w:tcPr>
          <w:p w14:paraId="3BB87875" w14:textId="77777777" w:rsidR="00D0233D" w:rsidRDefault="00000000">
            <w:r>
              <w:rPr>
                <w:sz w:val="16"/>
              </w:rPr>
              <w:t>Used for row grouping and slicers</w:t>
            </w:r>
          </w:p>
        </w:tc>
      </w:tr>
      <w:tr w:rsidR="00D0233D" w14:paraId="3151BF8D"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545E653" w14:textId="77777777" w:rsidR="00D0233D" w:rsidRDefault="00000000">
            <w:r>
              <w:rPr>
                <w:sz w:val="16"/>
              </w:rPr>
              <w:t>Provider_ID</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5A1AEB5" w14:textId="77777777" w:rsidR="00D0233D" w:rsidRDefault="00000000">
            <w:r>
              <w:rPr>
                <w:sz w:val="16"/>
              </w:rPr>
              <w:t>Coded provider reference</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6B82435" w14:textId="77777777" w:rsidR="00D0233D" w:rsidRDefault="00000000">
            <w:r>
              <w:rPr>
                <w:sz w:val="16"/>
              </w:rPr>
              <w:t>Used for utilization and workload analysis</w:t>
            </w:r>
          </w:p>
        </w:tc>
      </w:tr>
      <w:tr w:rsidR="00D0233D" w14:paraId="1D6BEAF2"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282E43D7" w14:textId="77777777" w:rsidR="00D0233D" w:rsidRDefault="00000000">
            <w:r>
              <w:rPr>
                <w:sz w:val="16"/>
              </w:rPr>
              <w:t>Appointment_Date</w:t>
            </w:r>
          </w:p>
        </w:tc>
        <w:tc>
          <w:tcPr>
            <w:tcW w:w="3456" w:type="dxa"/>
            <w:tcBorders>
              <w:top w:val="single" w:sz="4" w:space="0" w:color="D9E2F3"/>
              <w:left w:val="single" w:sz="4" w:space="0" w:color="D9E2F3"/>
              <w:bottom w:val="single" w:sz="4" w:space="0" w:color="D9E2F3"/>
              <w:right w:val="single" w:sz="4" w:space="0" w:color="D9E2F3"/>
            </w:tcBorders>
            <w:vAlign w:val="center"/>
          </w:tcPr>
          <w:p w14:paraId="11ED4AC0" w14:textId="77777777" w:rsidR="00D0233D" w:rsidRDefault="00000000">
            <w:r>
              <w:rPr>
                <w:sz w:val="16"/>
              </w:rPr>
              <w:t>Scheduled appointment date</w:t>
            </w:r>
          </w:p>
        </w:tc>
        <w:tc>
          <w:tcPr>
            <w:tcW w:w="4320" w:type="dxa"/>
            <w:tcBorders>
              <w:top w:val="single" w:sz="4" w:space="0" w:color="D9E2F3"/>
              <w:left w:val="single" w:sz="4" w:space="0" w:color="D9E2F3"/>
              <w:bottom w:val="single" w:sz="4" w:space="0" w:color="D9E2F3"/>
              <w:right w:val="single" w:sz="4" w:space="0" w:color="D9E2F3"/>
            </w:tcBorders>
            <w:vAlign w:val="center"/>
          </w:tcPr>
          <w:p w14:paraId="575971B4" w14:textId="77777777" w:rsidR="00D0233D" w:rsidRDefault="00000000">
            <w:r>
              <w:rPr>
                <w:sz w:val="16"/>
              </w:rPr>
              <w:t>Grouped by month and quarter</w:t>
            </w:r>
          </w:p>
        </w:tc>
      </w:tr>
      <w:tr w:rsidR="00D0233D" w14:paraId="6D5669A1"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021169C" w14:textId="77777777" w:rsidR="00D0233D" w:rsidRDefault="00000000">
            <w:r>
              <w:rPr>
                <w:sz w:val="16"/>
              </w:rPr>
              <w:t>Visit_Type</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06D5091" w14:textId="77777777" w:rsidR="00D0233D" w:rsidRDefault="00000000">
            <w:r>
              <w:rPr>
                <w:sz w:val="16"/>
              </w:rPr>
              <w:t>New visit, follow-up, urgent visit, or consultation</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CB881C0" w14:textId="77777777" w:rsidR="00D0233D" w:rsidRDefault="00000000">
            <w:r>
              <w:rPr>
                <w:sz w:val="16"/>
              </w:rPr>
              <w:t>Used to compare visit patterns</w:t>
            </w:r>
          </w:p>
        </w:tc>
      </w:tr>
      <w:tr w:rsidR="00D0233D" w14:paraId="17C25883"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271F3F40" w14:textId="77777777" w:rsidR="00D0233D" w:rsidRDefault="00000000">
            <w:r>
              <w:rPr>
                <w:sz w:val="16"/>
              </w:rPr>
              <w:t>Visit_Status</w:t>
            </w:r>
          </w:p>
        </w:tc>
        <w:tc>
          <w:tcPr>
            <w:tcW w:w="3456" w:type="dxa"/>
            <w:tcBorders>
              <w:top w:val="single" w:sz="4" w:space="0" w:color="D9E2F3"/>
              <w:left w:val="single" w:sz="4" w:space="0" w:color="D9E2F3"/>
              <w:bottom w:val="single" w:sz="4" w:space="0" w:color="D9E2F3"/>
              <w:right w:val="single" w:sz="4" w:space="0" w:color="D9E2F3"/>
            </w:tcBorders>
            <w:vAlign w:val="center"/>
          </w:tcPr>
          <w:p w14:paraId="74CA342B" w14:textId="77777777" w:rsidR="00D0233D" w:rsidRDefault="00000000">
            <w:r>
              <w:rPr>
                <w:sz w:val="16"/>
              </w:rPr>
              <w:t>Completed, cancelled, no show, or rescheduled</w:t>
            </w:r>
          </w:p>
        </w:tc>
        <w:tc>
          <w:tcPr>
            <w:tcW w:w="4320" w:type="dxa"/>
            <w:tcBorders>
              <w:top w:val="single" w:sz="4" w:space="0" w:color="D9E2F3"/>
              <w:left w:val="single" w:sz="4" w:space="0" w:color="D9E2F3"/>
              <w:bottom w:val="single" w:sz="4" w:space="0" w:color="D9E2F3"/>
              <w:right w:val="single" w:sz="4" w:space="0" w:color="D9E2F3"/>
            </w:tcBorders>
            <w:vAlign w:val="center"/>
          </w:tcPr>
          <w:p w14:paraId="0C403F20" w14:textId="77777777" w:rsidR="00D0233D" w:rsidRDefault="00000000">
            <w:r>
              <w:rPr>
                <w:sz w:val="16"/>
              </w:rPr>
              <w:t>Used for appointment performance analysis</w:t>
            </w:r>
          </w:p>
        </w:tc>
      </w:tr>
      <w:tr w:rsidR="00D0233D" w14:paraId="2B532CB2"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5CA61AC" w14:textId="77777777" w:rsidR="00D0233D" w:rsidRDefault="00000000">
            <w:r>
              <w:rPr>
                <w:sz w:val="16"/>
              </w:rPr>
              <w:t>Treatment_Type</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011D349" w14:textId="77777777" w:rsidR="00D0233D" w:rsidRDefault="00000000">
            <w:r>
              <w:rPr>
                <w:sz w:val="16"/>
              </w:rPr>
              <w:t>Care category or treatment group</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6E35C28" w14:textId="77777777" w:rsidR="00D0233D" w:rsidRDefault="00000000">
            <w:r>
              <w:rPr>
                <w:sz w:val="16"/>
              </w:rPr>
              <w:t>Used to compare service demand</w:t>
            </w:r>
          </w:p>
        </w:tc>
      </w:tr>
      <w:tr w:rsidR="00D0233D" w14:paraId="74A780A7"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30E66B0D" w14:textId="77777777" w:rsidR="00D0233D" w:rsidRDefault="00000000">
            <w:r>
              <w:rPr>
                <w:sz w:val="16"/>
              </w:rPr>
              <w:t>Outcome_Status</w:t>
            </w:r>
          </w:p>
        </w:tc>
        <w:tc>
          <w:tcPr>
            <w:tcW w:w="3456" w:type="dxa"/>
            <w:tcBorders>
              <w:top w:val="single" w:sz="4" w:space="0" w:color="D9E2F3"/>
              <w:left w:val="single" w:sz="4" w:space="0" w:color="D9E2F3"/>
              <w:bottom w:val="single" w:sz="4" w:space="0" w:color="D9E2F3"/>
              <w:right w:val="single" w:sz="4" w:space="0" w:color="D9E2F3"/>
            </w:tcBorders>
            <w:vAlign w:val="center"/>
          </w:tcPr>
          <w:p w14:paraId="12A5A904" w14:textId="77777777" w:rsidR="00D0233D" w:rsidRDefault="00000000">
            <w:r>
              <w:rPr>
                <w:sz w:val="16"/>
              </w:rPr>
              <w:t>Improved, stable, referred, readmitted, or follow-up needed</w:t>
            </w:r>
          </w:p>
        </w:tc>
        <w:tc>
          <w:tcPr>
            <w:tcW w:w="4320" w:type="dxa"/>
            <w:tcBorders>
              <w:top w:val="single" w:sz="4" w:space="0" w:color="D9E2F3"/>
              <w:left w:val="single" w:sz="4" w:space="0" w:color="D9E2F3"/>
              <w:bottom w:val="single" w:sz="4" w:space="0" w:color="D9E2F3"/>
              <w:right w:val="single" w:sz="4" w:space="0" w:color="D9E2F3"/>
            </w:tcBorders>
            <w:vAlign w:val="center"/>
          </w:tcPr>
          <w:p w14:paraId="7851C961" w14:textId="77777777" w:rsidR="00D0233D" w:rsidRDefault="00000000">
            <w:r>
              <w:rPr>
                <w:sz w:val="16"/>
              </w:rPr>
              <w:t>Used for outcome analysis</w:t>
            </w:r>
          </w:p>
        </w:tc>
      </w:tr>
      <w:tr w:rsidR="00D0233D" w14:paraId="1406FE27"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8FF6E98" w14:textId="77777777" w:rsidR="00D0233D" w:rsidRDefault="00000000">
            <w:r>
              <w:rPr>
                <w:sz w:val="16"/>
              </w:rPr>
              <w:t>Wait_Time_Minutes</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A4294A9" w14:textId="77777777" w:rsidR="00D0233D" w:rsidRDefault="00000000">
            <w:r>
              <w:rPr>
                <w:sz w:val="16"/>
              </w:rPr>
              <w:t>Time from arrival to provider review</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74DF042" w14:textId="77777777" w:rsidR="00D0233D" w:rsidRDefault="00000000">
            <w:r>
              <w:rPr>
                <w:sz w:val="16"/>
              </w:rPr>
              <w:t>Used to calculate average wait time</w:t>
            </w:r>
          </w:p>
        </w:tc>
      </w:tr>
      <w:tr w:rsidR="00D0233D" w14:paraId="2345D3A4"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6B50E067" w14:textId="77777777" w:rsidR="00D0233D" w:rsidRDefault="00000000">
            <w:r>
              <w:rPr>
                <w:sz w:val="16"/>
              </w:rPr>
              <w:t>Follow_Up_Required</w:t>
            </w:r>
          </w:p>
        </w:tc>
        <w:tc>
          <w:tcPr>
            <w:tcW w:w="3456" w:type="dxa"/>
            <w:tcBorders>
              <w:top w:val="single" w:sz="4" w:space="0" w:color="D9E2F3"/>
              <w:left w:val="single" w:sz="4" w:space="0" w:color="D9E2F3"/>
              <w:bottom w:val="single" w:sz="4" w:space="0" w:color="D9E2F3"/>
              <w:right w:val="single" w:sz="4" w:space="0" w:color="D9E2F3"/>
            </w:tcBorders>
            <w:vAlign w:val="center"/>
          </w:tcPr>
          <w:p w14:paraId="18BDBF24" w14:textId="77777777" w:rsidR="00D0233D" w:rsidRDefault="00000000">
            <w:r>
              <w:rPr>
                <w:sz w:val="16"/>
              </w:rPr>
              <w:t>Yes or no follow-up indicator</w:t>
            </w:r>
          </w:p>
        </w:tc>
        <w:tc>
          <w:tcPr>
            <w:tcW w:w="4320" w:type="dxa"/>
            <w:tcBorders>
              <w:top w:val="single" w:sz="4" w:space="0" w:color="D9E2F3"/>
              <w:left w:val="single" w:sz="4" w:space="0" w:color="D9E2F3"/>
              <w:bottom w:val="single" w:sz="4" w:space="0" w:color="D9E2F3"/>
              <w:right w:val="single" w:sz="4" w:space="0" w:color="D9E2F3"/>
            </w:tcBorders>
            <w:vAlign w:val="center"/>
          </w:tcPr>
          <w:p w14:paraId="425A74F6" w14:textId="77777777" w:rsidR="00D0233D" w:rsidRDefault="00000000">
            <w:r>
              <w:rPr>
                <w:sz w:val="16"/>
              </w:rPr>
              <w:t>Used to measure continuing care demand</w:t>
            </w:r>
          </w:p>
        </w:tc>
      </w:tr>
      <w:tr w:rsidR="00D0233D" w14:paraId="63399FB2"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8D4FEFD" w14:textId="77777777" w:rsidR="00D0233D" w:rsidRDefault="00000000">
            <w:r>
              <w:rPr>
                <w:sz w:val="16"/>
              </w:rPr>
              <w:t>Capacity_Hours</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E470388" w14:textId="77777777" w:rsidR="00D0233D" w:rsidRDefault="00000000">
            <w:r>
              <w:rPr>
                <w:sz w:val="16"/>
              </w:rPr>
              <w:t>Available provider hours for the period</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55F4727" w14:textId="77777777" w:rsidR="00D0233D" w:rsidRDefault="00000000">
            <w:r>
              <w:rPr>
                <w:sz w:val="16"/>
              </w:rPr>
              <w:t>Used for utilization calculations</w:t>
            </w:r>
          </w:p>
        </w:tc>
      </w:tr>
    </w:tbl>
    <w:p w14:paraId="242E1E4E" w14:textId="77777777" w:rsidR="00D0233D" w:rsidRDefault="00000000">
      <w:pPr>
        <w:pStyle w:val="Heading1"/>
        <w:spacing w:before="240" w:after="120"/>
      </w:pPr>
      <w:r>
        <w:rPr>
          <w:rFonts w:ascii="Aptos Display" w:hAnsi="Aptos Display"/>
          <w:color w:val="1F4E79"/>
        </w:rPr>
        <w:t>5. PivotTable Creation Process</w:t>
      </w:r>
    </w:p>
    <w:tbl>
      <w:tblPr>
        <w:tblStyle w:val="TableGrid"/>
        <w:tblW w:w="0" w:type="auto"/>
        <w:jc w:val="center"/>
        <w:tblLook w:val="04A0" w:firstRow="1" w:lastRow="0" w:firstColumn="1" w:lastColumn="0" w:noHBand="0" w:noVBand="1"/>
      </w:tblPr>
      <w:tblGrid>
        <w:gridCol w:w="720"/>
        <w:gridCol w:w="3168"/>
        <w:gridCol w:w="6048"/>
      </w:tblGrid>
      <w:tr w:rsidR="00D0233D" w14:paraId="490A9C7A" w14:textId="77777777">
        <w:trPr>
          <w:jc w:val="center"/>
        </w:trPr>
        <w:tc>
          <w:tcPr>
            <w:tcW w:w="72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84D4FA9" w14:textId="77777777" w:rsidR="00D0233D" w:rsidRDefault="00000000">
            <w:r>
              <w:rPr>
                <w:b/>
                <w:color w:val="FFFFFF"/>
                <w:sz w:val="16"/>
              </w:rPr>
              <w:t>Step</w:t>
            </w:r>
          </w:p>
        </w:tc>
        <w:tc>
          <w:tcPr>
            <w:tcW w:w="316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8F5B825" w14:textId="77777777" w:rsidR="00D0233D" w:rsidRDefault="00000000">
            <w:r>
              <w:rPr>
                <w:b/>
                <w:color w:val="FFFFFF"/>
                <w:sz w:val="16"/>
              </w:rPr>
              <w:t>Action</w:t>
            </w:r>
          </w:p>
        </w:tc>
        <w:tc>
          <w:tcPr>
            <w:tcW w:w="604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5A654A9" w14:textId="77777777" w:rsidR="00D0233D" w:rsidRDefault="00000000">
            <w:r>
              <w:rPr>
                <w:b/>
                <w:color w:val="FFFFFF"/>
                <w:sz w:val="16"/>
              </w:rPr>
              <w:t>Purpose</w:t>
            </w:r>
          </w:p>
        </w:tc>
      </w:tr>
      <w:tr w:rsidR="00D0233D" w14:paraId="48D51B78" w14:textId="77777777">
        <w:trPr>
          <w:jc w:val="center"/>
        </w:trPr>
        <w:tc>
          <w:tcPr>
            <w:tcW w:w="720" w:type="dxa"/>
            <w:tcBorders>
              <w:top w:val="single" w:sz="4" w:space="0" w:color="D9E2F3"/>
              <w:left w:val="single" w:sz="4" w:space="0" w:color="D9E2F3"/>
              <w:bottom w:val="single" w:sz="4" w:space="0" w:color="D9E2F3"/>
              <w:right w:val="single" w:sz="4" w:space="0" w:color="D9E2F3"/>
            </w:tcBorders>
            <w:vAlign w:val="center"/>
          </w:tcPr>
          <w:p w14:paraId="3721E04B" w14:textId="77777777" w:rsidR="00D0233D" w:rsidRDefault="00000000">
            <w:r>
              <w:rPr>
                <w:sz w:val="16"/>
              </w:rPr>
              <w:t>1</w:t>
            </w:r>
          </w:p>
        </w:tc>
        <w:tc>
          <w:tcPr>
            <w:tcW w:w="3168" w:type="dxa"/>
            <w:tcBorders>
              <w:top w:val="single" w:sz="4" w:space="0" w:color="D9E2F3"/>
              <w:left w:val="single" w:sz="4" w:space="0" w:color="D9E2F3"/>
              <w:bottom w:val="single" w:sz="4" w:space="0" w:color="D9E2F3"/>
              <w:right w:val="single" w:sz="4" w:space="0" w:color="D9E2F3"/>
            </w:tcBorders>
            <w:vAlign w:val="center"/>
          </w:tcPr>
          <w:p w14:paraId="29A66D45" w14:textId="77777777" w:rsidR="00D0233D" w:rsidRDefault="00000000">
            <w:r>
              <w:rPr>
                <w:sz w:val="16"/>
              </w:rPr>
              <w:t>Prepare the cleaned data table</w:t>
            </w:r>
          </w:p>
        </w:tc>
        <w:tc>
          <w:tcPr>
            <w:tcW w:w="6048" w:type="dxa"/>
            <w:tcBorders>
              <w:top w:val="single" w:sz="4" w:space="0" w:color="D9E2F3"/>
              <w:left w:val="single" w:sz="4" w:space="0" w:color="D9E2F3"/>
              <w:bottom w:val="single" w:sz="4" w:space="0" w:color="D9E2F3"/>
              <w:right w:val="single" w:sz="4" w:space="0" w:color="D9E2F3"/>
            </w:tcBorders>
            <w:vAlign w:val="center"/>
          </w:tcPr>
          <w:p w14:paraId="70BAC99A" w14:textId="77777777" w:rsidR="00D0233D" w:rsidRDefault="00000000">
            <w:r>
              <w:rPr>
                <w:sz w:val="16"/>
              </w:rPr>
              <w:t>Confirm that the dataset has no blank column names, no broken headers, consistent data types, and one record per row.</w:t>
            </w:r>
          </w:p>
        </w:tc>
      </w:tr>
      <w:tr w:rsidR="00D0233D" w14:paraId="6F3ED590" w14:textId="77777777">
        <w:trPr>
          <w:jc w:val="center"/>
        </w:trPr>
        <w:tc>
          <w:tcPr>
            <w:tcW w:w="7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28BB49E" w14:textId="77777777" w:rsidR="00D0233D" w:rsidRDefault="00000000">
            <w:r>
              <w:rPr>
                <w:sz w:val="16"/>
              </w:rPr>
              <w:t>2</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49CEC10" w14:textId="77777777" w:rsidR="00D0233D" w:rsidRDefault="00000000">
            <w:r>
              <w:rPr>
                <w:sz w:val="16"/>
              </w:rPr>
              <w:t>Convert the range into an Excel Table</w:t>
            </w:r>
          </w:p>
        </w:tc>
        <w:tc>
          <w:tcPr>
            <w:tcW w:w="60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318F36A" w14:textId="77777777" w:rsidR="00D0233D" w:rsidRDefault="00000000">
            <w:r>
              <w:rPr>
                <w:sz w:val="16"/>
              </w:rPr>
              <w:t>Select the data range and use Insert &gt; Table. This creates a dynamic range that expands when new records are added.</w:t>
            </w:r>
          </w:p>
        </w:tc>
      </w:tr>
      <w:tr w:rsidR="00D0233D" w14:paraId="294DCF56" w14:textId="77777777">
        <w:trPr>
          <w:jc w:val="center"/>
        </w:trPr>
        <w:tc>
          <w:tcPr>
            <w:tcW w:w="720" w:type="dxa"/>
            <w:tcBorders>
              <w:top w:val="single" w:sz="4" w:space="0" w:color="D9E2F3"/>
              <w:left w:val="single" w:sz="4" w:space="0" w:color="D9E2F3"/>
              <w:bottom w:val="single" w:sz="4" w:space="0" w:color="D9E2F3"/>
              <w:right w:val="single" w:sz="4" w:space="0" w:color="D9E2F3"/>
            </w:tcBorders>
            <w:vAlign w:val="center"/>
          </w:tcPr>
          <w:p w14:paraId="5893EE06" w14:textId="77777777" w:rsidR="00D0233D" w:rsidRDefault="00000000">
            <w:r>
              <w:rPr>
                <w:sz w:val="16"/>
              </w:rPr>
              <w:t>3</w:t>
            </w:r>
          </w:p>
        </w:tc>
        <w:tc>
          <w:tcPr>
            <w:tcW w:w="3168" w:type="dxa"/>
            <w:tcBorders>
              <w:top w:val="single" w:sz="4" w:space="0" w:color="D9E2F3"/>
              <w:left w:val="single" w:sz="4" w:space="0" w:color="D9E2F3"/>
              <w:bottom w:val="single" w:sz="4" w:space="0" w:color="D9E2F3"/>
              <w:right w:val="single" w:sz="4" w:space="0" w:color="D9E2F3"/>
            </w:tcBorders>
            <w:vAlign w:val="center"/>
          </w:tcPr>
          <w:p w14:paraId="3E1F3E90" w14:textId="77777777" w:rsidR="00D0233D" w:rsidRDefault="00000000">
            <w:r>
              <w:rPr>
                <w:sz w:val="16"/>
              </w:rPr>
              <w:t>Name the table clearly</w:t>
            </w:r>
          </w:p>
        </w:tc>
        <w:tc>
          <w:tcPr>
            <w:tcW w:w="6048" w:type="dxa"/>
            <w:tcBorders>
              <w:top w:val="single" w:sz="4" w:space="0" w:color="D9E2F3"/>
              <w:left w:val="single" w:sz="4" w:space="0" w:color="D9E2F3"/>
              <w:bottom w:val="single" w:sz="4" w:space="0" w:color="D9E2F3"/>
              <w:right w:val="single" w:sz="4" w:space="0" w:color="D9E2F3"/>
            </w:tcBorders>
            <w:vAlign w:val="center"/>
          </w:tcPr>
          <w:p w14:paraId="4FAFE0BF" w14:textId="77777777" w:rsidR="00D0233D" w:rsidRDefault="00000000">
            <w:r>
              <w:rPr>
                <w:sz w:val="16"/>
              </w:rPr>
              <w:t>Use a name such as tblHealthcareVisits so formulas and PivotTables can reference it easily.</w:t>
            </w:r>
          </w:p>
        </w:tc>
      </w:tr>
      <w:tr w:rsidR="00D0233D" w14:paraId="7499F057" w14:textId="77777777">
        <w:trPr>
          <w:jc w:val="center"/>
        </w:trPr>
        <w:tc>
          <w:tcPr>
            <w:tcW w:w="7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917E8D1" w14:textId="77777777" w:rsidR="00D0233D" w:rsidRDefault="00000000">
            <w:r>
              <w:rPr>
                <w:sz w:val="16"/>
              </w:rPr>
              <w:t>4</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54B53D9" w14:textId="77777777" w:rsidR="00D0233D" w:rsidRDefault="00000000">
            <w:r>
              <w:rPr>
                <w:sz w:val="16"/>
              </w:rPr>
              <w:t>Insert the first PivotTable</w:t>
            </w:r>
          </w:p>
        </w:tc>
        <w:tc>
          <w:tcPr>
            <w:tcW w:w="60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5DC6EF9" w14:textId="77777777" w:rsidR="00D0233D" w:rsidRDefault="00000000">
            <w:r>
              <w:rPr>
                <w:sz w:val="16"/>
              </w:rPr>
              <w:t>Select the Excel Table, choose Insert &gt; PivotTable, and place it on a new worksheet.</w:t>
            </w:r>
          </w:p>
        </w:tc>
      </w:tr>
      <w:tr w:rsidR="00D0233D" w14:paraId="6F19A85E" w14:textId="77777777">
        <w:trPr>
          <w:jc w:val="center"/>
        </w:trPr>
        <w:tc>
          <w:tcPr>
            <w:tcW w:w="720" w:type="dxa"/>
            <w:tcBorders>
              <w:top w:val="single" w:sz="4" w:space="0" w:color="D9E2F3"/>
              <w:left w:val="single" w:sz="4" w:space="0" w:color="D9E2F3"/>
              <w:bottom w:val="single" w:sz="4" w:space="0" w:color="D9E2F3"/>
              <w:right w:val="single" w:sz="4" w:space="0" w:color="D9E2F3"/>
            </w:tcBorders>
            <w:vAlign w:val="center"/>
          </w:tcPr>
          <w:p w14:paraId="50A6280D" w14:textId="77777777" w:rsidR="00D0233D" w:rsidRDefault="00000000">
            <w:r>
              <w:rPr>
                <w:sz w:val="16"/>
              </w:rPr>
              <w:t>5</w:t>
            </w:r>
          </w:p>
        </w:tc>
        <w:tc>
          <w:tcPr>
            <w:tcW w:w="3168" w:type="dxa"/>
            <w:tcBorders>
              <w:top w:val="single" w:sz="4" w:space="0" w:color="D9E2F3"/>
              <w:left w:val="single" w:sz="4" w:space="0" w:color="D9E2F3"/>
              <w:bottom w:val="single" w:sz="4" w:space="0" w:color="D9E2F3"/>
              <w:right w:val="single" w:sz="4" w:space="0" w:color="D9E2F3"/>
            </w:tcBorders>
            <w:vAlign w:val="center"/>
          </w:tcPr>
          <w:p w14:paraId="115B4AAD" w14:textId="77777777" w:rsidR="00D0233D" w:rsidRDefault="00000000">
            <w:r>
              <w:rPr>
                <w:sz w:val="16"/>
              </w:rPr>
              <w:t>Arrange PivotTable fields</w:t>
            </w:r>
          </w:p>
        </w:tc>
        <w:tc>
          <w:tcPr>
            <w:tcW w:w="6048" w:type="dxa"/>
            <w:tcBorders>
              <w:top w:val="single" w:sz="4" w:space="0" w:color="D9E2F3"/>
              <w:left w:val="single" w:sz="4" w:space="0" w:color="D9E2F3"/>
              <w:bottom w:val="single" w:sz="4" w:space="0" w:color="D9E2F3"/>
              <w:right w:val="single" w:sz="4" w:space="0" w:color="D9E2F3"/>
            </w:tcBorders>
            <w:vAlign w:val="center"/>
          </w:tcPr>
          <w:p w14:paraId="764C7B0D" w14:textId="77777777" w:rsidR="00D0233D" w:rsidRDefault="00000000">
            <w:r>
              <w:rPr>
                <w:sz w:val="16"/>
              </w:rPr>
              <w:t>Place fields into Rows, Columns, Values, and Filters based on the analysis question.</w:t>
            </w:r>
          </w:p>
        </w:tc>
      </w:tr>
      <w:tr w:rsidR="00D0233D" w14:paraId="3C22F004" w14:textId="77777777">
        <w:trPr>
          <w:jc w:val="center"/>
        </w:trPr>
        <w:tc>
          <w:tcPr>
            <w:tcW w:w="7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65D07B9" w14:textId="77777777" w:rsidR="00D0233D" w:rsidRDefault="00000000">
            <w:r>
              <w:rPr>
                <w:sz w:val="16"/>
              </w:rPr>
              <w:t>6</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9FE1B7F" w14:textId="77777777" w:rsidR="00D0233D" w:rsidRDefault="00000000">
            <w:r>
              <w:rPr>
                <w:sz w:val="16"/>
              </w:rPr>
              <w:t>Format values correctly</w:t>
            </w:r>
          </w:p>
        </w:tc>
        <w:tc>
          <w:tcPr>
            <w:tcW w:w="60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471C86E" w14:textId="77777777" w:rsidR="00D0233D" w:rsidRDefault="00000000">
            <w:r>
              <w:rPr>
                <w:sz w:val="16"/>
              </w:rPr>
              <w:t>Set Visit_ID to Count, Wait_Time_Minutes to Average, and percentage measures to percentage format.</w:t>
            </w:r>
          </w:p>
        </w:tc>
      </w:tr>
      <w:tr w:rsidR="00D0233D" w14:paraId="6188322A" w14:textId="77777777">
        <w:trPr>
          <w:jc w:val="center"/>
        </w:trPr>
        <w:tc>
          <w:tcPr>
            <w:tcW w:w="720" w:type="dxa"/>
            <w:tcBorders>
              <w:top w:val="single" w:sz="4" w:space="0" w:color="D9E2F3"/>
              <w:left w:val="single" w:sz="4" w:space="0" w:color="D9E2F3"/>
              <w:bottom w:val="single" w:sz="4" w:space="0" w:color="D9E2F3"/>
              <w:right w:val="single" w:sz="4" w:space="0" w:color="D9E2F3"/>
            </w:tcBorders>
            <w:vAlign w:val="center"/>
          </w:tcPr>
          <w:p w14:paraId="235E8AF1" w14:textId="77777777" w:rsidR="00D0233D" w:rsidRDefault="00000000">
            <w:r>
              <w:rPr>
                <w:sz w:val="16"/>
              </w:rPr>
              <w:t>7</w:t>
            </w:r>
          </w:p>
        </w:tc>
        <w:tc>
          <w:tcPr>
            <w:tcW w:w="3168" w:type="dxa"/>
            <w:tcBorders>
              <w:top w:val="single" w:sz="4" w:space="0" w:color="D9E2F3"/>
              <w:left w:val="single" w:sz="4" w:space="0" w:color="D9E2F3"/>
              <w:bottom w:val="single" w:sz="4" w:space="0" w:color="D9E2F3"/>
              <w:right w:val="single" w:sz="4" w:space="0" w:color="D9E2F3"/>
            </w:tcBorders>
            <w:vAlign w:val="center"/>
          </w:tcPr>
          <w:p w14:paraId="7D050FF2" w14:textId="77777777" w:rsidR="00D0233D" w:rsidRDefault="00000000">
            <w:r>
              <w:rPr>
                <w:sz w:val="16"/>
              </w:rPr>
              <w:t>Group dates by month</w:t>
            </w:r>
          </w:p>
        </w:tc>
        <w:tc>
          <w:tcPr>
            <w:tcW w:w="6048" w:type="dxa"/>
            <w:tcBorders>
              <w:top w:val="single" w:sz="4" w:space="0" w:color="D9E2F3"/>
              <w:left w:val="single" w:sz="4" w:space="0" w:color="D9E2F3"/>
              <w:bottom w:val="single" w:sz="4" w:space="0" w:color="D9E2F3"/>
              <w:right w:val="single" w:sz="4" w:space="0" w:color="D9E2F3"/>
            </w:tcBorders>
            <w:vAlign w:val="center"/>
          </w:tcPr>
          <w:p w14:paraId="4641B34C" w14:textId="77777777" w:rsidR="00D0233D" w:rsidRDefault="00000000">
            <w:r>
              <w:rPr>
                <w:sz w:val="16"/>
              </w:rPr>
              <w:t>Right-click Appointment_Date in the PivotTable and group by months and quarters for trend analysis.</w:t>
            </w:r>
          </w:p>
        </w:tc>
      </w:tr>
      <w:tr w:rsidR="00D0233D" w14:paraId="52B12F8C" w14:textId="77777777">
        <w:trPr>
          <w:jc w:val="center"/>
        </w:trPr>
        <w:tc>
          <w:tcPr>
            <w:tcW w:w="7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0F96101" w14:textId="77777777" w:rsidR="00D0233D" w:rsidRDefault="00000000">
            <w:r>
              <w:rPr>
                <w:sz w:val="16"/>
              </w:rPr>
              <w:t>8</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A0B44D8" w14:textId="77777777" w:rsidR="00D0233D" w:rsidRDefault="00000000">
            <w:r>
              <w:rPr>
                <w:sz w:val="16"/>
              </w:rPr>
              <w:t>Add slicers</w:t>
            </w:r>
          </w:p>
        </w:tc>
        <w:tc>
          <w:tcPr>
            <w:tcW w:w="60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D5CF85F" w14:textId="77777777" w:rsidR="00D0233D" w:rsidRDefault="00000000">
            <w:r>
              <w:rPr>
                <w:sz w:val="16"/>
              </w:rPr>
              <w:t>Add slicers for Department, Provider_ID, Visit_Type, Visit_Status, and Outcome_Status to support interactive filtering.</w:t>
            </w:r>
          </w:p>
        </w:tc>
      </w:tr>
      <w:tr w:rsidR="00D0233D" w14:paraId="3EF1B1F3" w14:textId="77777777">
        <w:trPr>
          <w:jc w:val="center"/>
        </w:trPr>
        <w:tc>
          <w:tcPr>
            <w:tcW w:w="720" w:type="dxa"/>
            <w:tcBorders>
              <w:top w:val="single" w:sz="4" w:space="0" w:color="D9E2F3"/>
              <w:left w:val="single" w:sz="4" w:space="0" w:color="D9E2F3"/>
              <w:bottom w:val="single" w:sz="4" w:space="0" w:color="D9E2F3"/>
              <w:right w:val="single" w:sz="4" w:space="0" w:color="D9E2F3"/>
            </w:tcBorders>
            <w:vAlign w:val="center"/>
          </w:tcPr>
          <w:p w14:paraId="727A024C" w14:textId="77777777" w:rsidR="00D0233D" w:rsidRDefault="00000000">
            <w:r>
              <w:rPr>
                <w:sz w:val="16"/>
              </w:rPr>
              <w:t>9</w:t>
            </w:r>
          </w:p>
        </w:tc>
        <w:tc>
          <w:tcPr>
            <w:tcW w:w="3168" w:type="dxa"/>
            <w:tcBorders>
              <w:top w:val="single" w:sz="4" w:space="0" w:color="D9E2F3"/>
              <w:left w:val="single" w:sz="4" w:space="0" w:color="D9E2F3"/>
              <w:bottom w:val="single" w:sz="4" w:space="0" w:color="D9E2F3"/>
              <w:right w:val="single" w:sz="4" w:space="0" w:color="D9E2F3"/>
            </w:tcBorders>
            <w:vAlign w:val="center"/>
          </w:tcPr>
          <w:p w14:paraId="4DB701CA" w14:textId="77777777" w:rsidR="00D0233D" w:rsidRDefault="00000000">
            <w:r>
              <w:rPr>
                <w:sz w:val="16"/>
              </w:rPr>
              <w:t>Create PivotCharts</w:t>
            </w:r>
          </w:p>
        </w:tc>
        <w:tc>
          <w:tcPr>
            <w:tcW w:w="6048" w:type="dxa"/>
            <w:tcBorders>
              <w:top w:val="single" w:sz="4" w:space="0" w:color="D9E2F3"/>
              <w:left w:val="single" w:sz="4" w:space="0" w:color="D9E2F3"/>
              <w:bottom w:val="single" w:sz="4" w:space="0" w:color="D9E2F3"/>
              <w:right w:val="single" w:sz="4" w:space="0" w:color="D9E2F3"/>
            </w:tcBorders>
            <w:vAlign w:val="center"/>
          </w:tcPr>
          <w:p w14:paraId="00CC76AE" w14:textId="77777777" w:rsidR="00D0233D" w:rsidRDefault="00000000">
            <w:r>
              <w:rPr>
                <w:sz w:val="16"/>
              </w:rPr>
              <w:t>Insert charts linked to key PivotTables to show trends and comparisons visually.</w:t>
            </w:r>
          </w:p>
        </w:tc>
      </w:tr>
      <w:tr w:rsidR="00D0233D" w14:paraId="2828C3F9" w14:textId="77777777">
        <w:trPr>
          <w:jc w:val="center"/>
        </w:trPr>
        <w:tc>
          <w:tcPr>
            <w:tcW w:w="7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9448EB8" w14:textId="77777777" w:rsidR="00D0233D" w:rsidRDefault="00000000">
            <w:r>
              <w:rPr>
                <w:sz w:val="16"/>
              </w:rPr>
              <w:t>10</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6240D2C" w14:textId="77777777" w:rsidR="00D0233D" w:rsidRDefault="00000000">
            <w:r>
              <w:rPr>
                <w:sz w:val="16"/>
              </w:rPr>
              <w:t>Refresh after updates</w:t>
            </w:r>
          </w:p>
        </w:tc>
        <w:tc>
          <w:tcPr>
            <w:tcW w:w="60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01A3325" w14:textId="77777777" w:rsidR="00D0233D" w:rsidRDefault="00000000">
            <w:r>
              <w:rPr>
                <w:sz w:val="16"/>
              </w:rPr>
              <w:t>Use Refresh All after adding new records or updating the source table.</w:t>
            </w:r>
          </w:p>
        </w:tc>
      </w:tr>
    </w:tbl>
    <w:p w14:paraId="3EF2DD68" w14:textId="77777777" w:rsidR="00D0233D" w:rsidRDefault="00D0233D"/>
    <w:p w14:paraId="0624B03B" w14:textId="77777777" w:rsidR="00D0233D" w:rsidRDefault="00000000">
      <w:pPr>
        <w:pStyle w:val="Heading1"/>
        <w:spacing w:before="240" w:after="120"/>
      </w:pPr>
      <w:r>
        <w:rPr>
          <w:rFonts w:ascii="Aptos Display" w:hAnsi="Aptos Display"/>
          <w:color w:val="1F4E79"/>
        </w:rPr>
        <w:t>6. Planned PivotTable Analyses</w:t>
      </w:r>
    </w:p>
    <w:tbl>
      <w:tblPr>
        <w:tblStyle w:val="TableGrid"/>
        <w:tblW w:w="0" w:type="auto"/>
        <w:jc w:val="center"/>
        <w:tblLook w:val="04A0" w:firstRow="1" w:lastRow="0" w:firstColumn="1" w:lastColumn="0" w:noHBand="0" w:noVBand="1"/>
      </w:tblPr>
      <w:tblGrid>
        <w:gridCol w:w="2175"/>
        <w:gridCol w:w="1579"/>
        <w:gridCol w:w="1531"/>
        <w:gridCol w:w="2143"/>
        <w:gridCol w:w="2868"/>
      </w:tblGrid>
      <w:tr w:rsidR="00D0233D" w14:paraId="60F12E79"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8898BEB" w14:textId="77777777" w:rsidR="00D0233D" w:rsidRDefault="00000000">
            <w:r>
              <w:rPr>
                <w:b/>
                <w:color w:val="FFFFFF"/>
                <w:sz w:val="15"/>
              </w:rPr>
              <w:t>PivotTable</w:t>
            </w:r>
          </w:p>
        </w:tc>
        <w:tc>
          <w:tcPr>
            <w:tcW w:w="158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FC990F5" w14:textId="77777777" w:rsidR="00D0233D" w:rsidRDefault="00000000">
            <w:r>
              <w:rPr>
                <w:b/>
                <w:color w:val="FFFFFF"/>
                <w:sz w:val="15"/>
              </w:rPr>
              <w:t>Rows</w:t>
            </w:r>
          </w:p>
        </w:tc>
        <w:tc>
          <w:tcPr>
            <w:tcW w:w="158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52CAF7FF" w14:textId="77777777" w:rsidR="00D0233D" w:rsidRDefault="00000000">
            <w:r>
              <w:rPr>
                <w:b/>
                <w:color w:val="FFFFFF"/>
                <w:sz w:val="15"/>
              </w:rPr>
              <w:t>Columns</w:t>
            </w:r>
          </w:p>
        </w:tc>
        <w:tc>
          <w:tcPr>
            <w:tcW w:w="230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F98C82E" w14:textId="77777777" w:rsidR="00D0233D" w:rsidRDefault="00000000">
            <w:r>
              <w:rPr>
                <w:b/>
                <w:color w:val="FFFFFF"/>
                <w:sz w:val="15"/>
              </w:rPr>
              <w:t>Values</w:t>
            </w:r>
          </w:p>
        </w:tc>
        <w:tc>
          <w:tcPr>
            <w:tcW w:w="331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3445EAF" w14:textId="77777777" w:rsidR="00D0233D" w:rsidRDefault="00000000">
            <w:r>
              <w:rPr>
                <w:b/>
                <w:color w:val="FFFFFF"/>
                <w:sz w:val="15"/>
              </w:rPr>
              <w:t>Purpose</w:t>
            </w:r>
          </w:p>
        </w:tc>
      </w:tr>
      <w:tr w:rsidR="00D0233D" w14:paraId="3C442D0C" w14:textId="77777777">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14:paraId="1F90BC10" w14:textId="77777777" w:rsidR="00D0233D" w:rsidRDefault="00000000">
            <w:r>
              <w:rPr>
                <w:sz w:val="15"/>
              </w:rPr>
              <w:t>Visit Volume by Department</w:t>
            </w:r>
          </w:p>
        </w:tc>
        <w:tc>
          <w:tcPr>
            <w:tcW w:w="1584" w:type="dxa"/>
            <w:tcBorders>
              <w:top w:val="single" w:sz="4" w:space="0" w:color="D9E2F3"/>
              <w:left w:val="single" w:sz="4" w:space="0" w:color="D9E2F3"/>
              <w:bottom w:val="single" w:sz="4" w:space="0" w:color="D9E2F3"/>
              <w:right w:val="single" w:sz="4" w:space="0" w:color="D9E2F3"/>
            </w:tcBorders>
            <w:vAlign w:val="center"/>
          </w:tcPr>
          <w:p w14:paraId="0E8B7F11" w14:textId="77777777" w:rsidR="00D0233D" w:rsidRDefault="00000000">
            <w:r>
              <w:rPr>
                <w:sz w:val="15"/>
              </w:rPr>
              <w:t>Department</w:t>
            </w:r>
          </w:p>
        </w:tc>
        <w:tc>
          <w:tcPr>
            <w:tcW w:w="1584" w:type="dxa"/>
            <w:tcBorders>
              <w:top w:val="single" w:sz="4" w:space="0" w:color="D9E2F3"/>
              <w:left w:val="single" w:sz="4" w:space="0" w:color="D9E2F3"/>
              <w:bottom w:val="single" w:sz="4" w:space="0" w:color="D9E2F3"/>
              <w:right w:val="single" w:sz="4" w:space="0" w:color="D9E2F3"/>
            </w:tcBorders>
            <w:vAlign w:val="center"/>
          </w:tcPr>
          <w:p w14:paraId="18966D12" w14:textId="77777777" w:rsidR="00D0233D" w:rsidRDefault="00000000">
            <w:r>
              <w:rPr>
                <w:sz w:val="15"/>
              </w:rPr>
              <w:t>Month</w:t>
            </w:r>
          </w:p>
        </w:tc>
        <w:tc>
          <w:tcPr>
            <w:tcW w:w="2304" w:type="dxa"/>
            <w:tcBorders>
              <w:top w:val="single" w:sz="4" w:space="0" w:color="D9E2F3"/>
              <w:left w:val="single" w:sz="4" w:space="0" w:color="D9E2F3"/>
              <w:bottom w:val="single" w:sz="4" w:space="0" w:color="D9E2F3"/>
              <w:right w:val="single" w:sz="4" w:space="0" w:color="D9E2F3"/>
            </w:tcBorders>
            <w:vAlign w:val="center"/>
          </w:tcPr>
          <w:p w14:paraId="5DE3005D" w14:textId="77777777" w:rsidR="00D0233D" w:rsidRDefault="00000000">
            <w:r>
              <w:rPr>
                <w:sz w:val="15"/>
              </w:rPr>
              <w:t>Count of Visit_ID</w:t>
            </w:r>
          </w:p>
        </w:tc>
        <w:tc>
          <w:tcPr>
            <w:tcW w:w="3312" w:type="dxa"/>
            <w:tcBorders>
              <w:top w:val="single" w:sz="4" w:space="0" w:color="D9E2F3"/>
              <w:left w:val="single" w:sz="4" w:space="0" w:color="D9E2F3"/>
              <w:bottom w:val="single" w:sz="4" w:space="0" w:color="D9E2F3"/>
              <w:right w:val="single" w:sz="4" w:space="0" w:color="D9E2F3"/>
            </w:tcBorders>
            <w:vAlign w:val="center"/>
          </w:tcPr>
          <w:p w14:paraId="6891CBCC" w14:textId="77777777" w:rsidR="00D0233D" w:rsidRDefault="00000000">
            <w:r>
              <w:rPr>
                <w:sz w:val="15"/>
              </w:rPr>
              <w:t>Shows workload patterns across departments and months.</w:t>
            </w:r>
          </w:p>
        </w:tc>
      </w:tr>
      <w:tr w:rsidR="00D0233D" w14:paraId="5BE78E2C"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E80FA55" w14:textId="77777777" w:rsidR="00D0233D" w:rsidRDefault="00000000">
            <w:r>
              <w:rPr>
                <w:sz w:val="15"/>
              </w:rPr>
              <w:t>Appointment Status Summary</w:t>
            </w:r>
          </w:p>
        </w:tc>
        <w:tc>
          <w:tcPr>
            <w:tcW w:w="158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510419B" w14:textId="77777777" w:rsidR="00D0233D" w:rsidRDefault="00000000">
            <w:r>
              <w:rPr>
                <w:sz w:val="15"/>
              </w:rPr>
              <w:t>Visit_Status</w:t>
            </w:r>
          </w:p>
        </w:tc>
        <w:tc>
          <w:tcPr>
            <w:tcW w:w="158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6BB1B005" w14:textId="77777777" w:rsidR="00D0233D" w:rsidRDefault="00000000">
            <w:r>
              <w:rPr>
                <w:sz w:val="15"/>
              </w:rPr>
              <w:t>Department</w:t>
            </w:r>
          </w:p>
        </w:tc>
        <w:tc>
          <w:tcPr>
            <w:tcW w:w="230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ABAB26B" w14:textId="77777777" w:rsidR="00D0233D" w:rsidRDefault="00000000">
            <w:r>
              <w:rPr>
                <w:sz w:val="15"/>
              </w:rPr>
              <w:t>Count of Visit_ID</w:t>
            </w:r>
          </w:p>
        </w:tc>
        <w:tc>
          <w:tcPr>
            <w:tcW w:w="3312"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75B7D6E" w14:textId="77777777" w:rsidR="00D0233D" w:rsidRDefault="00000000">
            <w:r>
              <w:rPr>
                <w:sz w:val="15"/>
              </w:rPr>
              <w:t>Compares completed, cancelled, no show, and rescheduled activity.</w:t>
            </w:r>
          </w:p>
        </w:tc>
      </w:tr>
      <w:tr w:rsidR="00D0233D" w14:paraId="65611605" w14:textId="77777777">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14:paraId="5D460413" w14:textId="77777777" w:rsidR="00D0233D" w:rsidRDefault="00000000">
            <w:r>
              <w:rPr>
                <w:sz w:val="15"/>
              </w:rPr>
              <w:t>Treatment Outcomes by Department</w:t>
            </w:r>
          </w:p>
        </w:tc>
        <w:tc>
          <w:tcPr>
            <w:tcW w:w="1584" w:type="dxa"/>
            <w:tcBorders>
              <w:top w:val="single" w:sz="4" w:space="0" w:color="D9E2F3"/>
              <w:left w:val="single" w:sz="4" w:space="0" w:color="D9E2F3"/>
              <w:bottom w:val="single" w:sz="4" w:space="0" w:color="D9E2F3"/>
              <w:right w:val="single" w:sz="4" w:space="0" w:color="D9E2F3"/>
            </w:tcBorders>
            <w:vAlign w:val="center"/>
          </w:tcPr>
          <w:p w14:paraId="621741CA" w14:textId="77777777" w:rsidR="00D0233D" w:rsidRDefault="00000000">
            <w:r>
              <w:rPr>
                <w:sz w:val="15"/>
              </w:rPr>
              <w:t>Department</w:t>
            </w:r>
          </w:p>
        </w:tc>
        <w:tc>
          <w:tcPr>
            <w:tcW w:w="1584" w:type="dxa"/>
            <w:tcBorders>
              <w:top w:val="single" w:sz="4" w:space="0" w:color="D9E2F3"/>
              <w:left w:val="single" w:sz="4" w:space="0" w:color="D9E2F3"/>
              <w:bottom w:val="single" w:sz="4" w:space="0" w:color="D9E2F3"/>
              <w:right w:val="single" w:sz="4" w:space="0" w:color="D9E2F3"/>
            </w:tcBorders>
            <w:vAlign w:val="center"/>
          </w:tcPr>
          <w:p w14:paraId="3143CA03" w14:textId="77777777" w:rsidR="00D0233D" w:rsidRDefault="00000000">
            <w:r>
              <w:rPr>
                <w:sz w:val="15"/>
              </w:rPr>
              <w:t>Outcome_Status</w:t>
            </w:r>
          </w:p>
        </w:tc>
        <w:tc>
          <w:tcPr>
            <w:tcW w:w="2304" w:type="dxa"/>
            <w:tcBorders>
              <w:top w:val="single" w:sz="4" w:space="0" w:color="D9E2F3"/>
              <w:left w:val="single" w:sz="4" w:space="0" w:color="D9E2F3"/>
              <w:bottom w:val="single" w:sz="4" w:space="0" w:color="D9E2F3"/>
              <w:right w:val="single" w:sz="4" w:space="0" w:color="D9E2F3"/>
            </w:tcBorders>
            <w:vAlign w:val="center"/>
          </w:tcPr>
          <w:p w14:paraId="10A99096" w14:textId="77777777" w:rsidR="00D0233D" w:rsidRDefault="00000000">
            <w:r>
              <w:rPr>
                <w:sz w:val="15"/>
              </w:rPr>
              <w:t>Count of Treatment_ID or Visit_ID</w:t>
            </w:r>
          </w:p>
        </w:tc>
        <w:tc>
          <w:tcPr>
            <w:tcW w:w="3312" w:type="dxa"/>
            <w:tcBorders>
              <w:top w:val="single" w:sz="4" w:space="0" w:color="D9E2F3"/>
              <w:left w:val="single" w:sz="4" w:space="0" w:color="D9E2F3"/>
              <w:bottom w:val="single" w:sz="4" w:space="0" w:color="D9E2F3"/>
              <w:right w:val="single" w:sz="4" w:space="0" w:color="D9E2F3"/>
            </w:tcBorders>
            <w:vAlign w:val="center"/>
          </w:tcPr>
          <w:p w14:paraId="541C8682" w14:textId="77777777" w:rsidR="00D0233D" w:rsidRDefault="00000000">
            <w:r>
              <w:rPr>
                <w:sz w:val="15"/>
              </w:rPr>
              <w:t>Highlights departments with stronger or weaker outcome patterns.</w:t>
            </w:r>
          </w:p>
        </w:tc>
      </w:tr>
      <w:tr w:rsidR="00D0233D" w14:paraId="2C210C0F"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896B421" w14:textId="77777777" w:rsidR="00D0233D" w:rsidRDefault="00000000">
            <w:r>
              <w:rPr>
                <w:sz w:val="15"/>
              </w:rPr>
              <w:t>Average Wait Time by Department</w:t>
            </w:r>
          </w:p>
        </w:tc>
        <w:tc>
          <w:tcPr>
            <w:tcW w:w="158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8892890" w14:textId="77777777" w:rsidR="00D0233D" w:rsidRDefault="00000000">
            <w:r>
              <w:rPr>
                <w:sz w:val="15"/>
              </w:rPr>
              <w:t>Department</w:t>
            </w:r>
          </w:p>
        </w:tc>
        <w:tc>
          <w:tcPr>
            <w:tcW w:w="158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0E5D63C" w14:textId="77777777" w:rsidR="00D0233D" w:rsidRDefault="00000000">
            <w:r>
              <w:rPr>
                <w:sz w:val="15"/>
              </w:rPr>
              <w:t>Month</w:t>
            </w:r>
          </w:p>
        </w:tc>
        <w:tc>
          <w:tcPr>
            <w:tcW w:w="230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C587EEE" w14:textId="77777777" w:rsidR="00D0233D" w:rsidRDefault="00000000">
            <w:r>
              <w:rPr>
                <w:sz w:val="15"/>
              </w:rPr>
              <w:t>Average of Wait_Time_Minutes</w:t>
            </w:r>
          </w:p>
        </w:tc>
        <w:tc>
          <w:tcPr>
            <w:tcW w:w="3312"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6A0A6712" w14:textId="77777777" w:rsidR="00D0233D" w:rsidRDefault="00000000">
            <w:r>
              <w:rPr>
                <w:sz w:val="15"/>
              </w:rPr>
              <w:t>Identifies departments and periods with longer waits.</w:t>
            </w:r>
          </w:p>
        </w:tc>
      </w:tr>
      <w:tr w:rsidR="00D0233D" w14:paraId="47D10B38" w14:textId="77777777">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14:paraId="0AD87238" w14:textId="77777777" w:rsidR="00D0233D" w:rsidRDefault="00000000">
            <w:r>
              <w:rPr>
                <w:sz w:val="15"/>
              </w:rPr>
              <w:t>Provider Utilization</w:t>
            </w:r>
          </w:p>
        </w:tc>
        <w:tc>
          <w:tcPr>
            <w:tcW w:w="1584" w:type="dxa"/>
            <w:tcBorders>
              <w:top w:val="single" w:sz="4" w:space="0" w:color="D9E2F3"/>
              <w:left w:val="single" w:sz="4" w:space="0" w:color="D9E2F3"/>
              <w:bottom w:val="single" w:sz="4" w:space="0" w:color="D9E2F3"/>
              <w:right w:val="single" w:sz="4" w:space="0" w:color="D9E2F3"/>
            </w:tcBorders>
            <w:vAlign w:val="center"/>
          </w:tcPr>
          <w:p w14:paraId="2CA28EDC" w14:textId="77777777" w:rsidR="00D0233D" w:rsidRDefault="00000000">
            <w:r>
              <w:rPr>
                <w:sz w:val="15"/>
              </w:rPr>
              <w:t>Provider_ID</w:t>
            </w:r>
          </w:p>
        </w:tc>
        <w:tc>
          <w:tcPr>
            <w:tcW w:w="1584" w:type="dxa"/>
            <w:tcBorders>
              <w:top w:val="single" w:sz="4" w:space="0" w:color="D9E2F3"/>
              <w:left w:val="single" w:sz="4" w:space="0" w:color="D9E2F3"/>
              <w:bottom w:val="single" w:sz="4" w:space="0" w:color="D9E2F3"/>
              <w:right w:val="single" w:sz="4" w:space="0" w:color="D9E2F3"/>
            </w:tcBorders>
            <w:vAlign w:val="center"/>
          </w:tcPr>
          <w:p w14:paraId="734F5075" w14:textId="77777777" w:rsidR="00D0233D" w:rsidRDefault="00000000">
            <w:r>
              <w:rPr>
                <w:sz w:val="15"/>
              </w:rPr>
              <w:t>Department</w:t>
            </w:r>
          </w:p>
        </w:tc>
        <w:tc>
          <w:tcPr>
            <w:tcW w:w="2304" w:type="dxa"/>
            <w:tcBorders>
              <w:top w:val="single" w:sz="4" w:space="0" w:color="D9E2F3"/>
              <w:left w:val="single" w:sz="4" w:space="0" w:color="D9E2F3"/>
              <w:bottom w:val="single" w:sz="4" w:space="0" w:color="D9E2F3"/>
              <w:right w:val="single" w:sz="4" w:space="0" w:color="D9E2F3"/>
            </w:tcBorders>
            <w:vAlign w:val="center"/>
          </w:tcPr>
          <w:p w14:paraId="44CE7DBB" w14:textId="77777777" w:rsidR="00D0233D" w:rsidRDefault="00000000">
            <w:r>
              <w:rPr>
                <w:sz w:val="15"/>
              </w:rPr>
              <w:t>Count of Visit_ID and Sum of Capacity_Hours</w:t>
            </w:r>
          </w:p>
        </w:tc>
        <w:tc>
          <w:tcPr>
            <w:tcW w:w="3312" w:type="dxa"/>
            <w:tcBorders>
              <w:top w:val="single" w:sz="4" w:space="0" w:color="D9E2F3"/>
              <w:left w:val="single" w:sz="4" w:space="0" w:color="D9E2F3"/>
              <w:bottom w:val="single" w:sz="4" w:space="0" w:color="D9E2F3"/>
              <w:right w:val="single" w:sz="4" w:space="0" w:color="D9E2F3"/>
            </w:tcBorders>
            <w:vAlign w:val="center"/>
          </w:tcPr>
          <w:p w14:paraId="40BA580F" w14:textId="77777777" w:rsidR="00D0233D" w:rsidRDefault="00000000">
            <w:r>
              <w:rPr>
                <w:sz w:val="15"/>
              </w:rPr>
              <w:t>Reviews workload distribution across providers.</w:t>
            </w:r>
          </w:p>
        </w:tc>
      </w:tr>
      <w:tr w:rsidR="00D0233D" w14:paraId="0F2B0BF7"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9A84008" w14:textId="77777777" w:rsidR="00D0233D" w:rsidRDefault="00000000">
            <w:r>
              <w:rPr>
                <w:sz w:val="15"/>
              </w:rPr>
              <w:t>Follow-Up Requirement Analysis</w:t>
            </w:r>
          </w:p>
        </w:tc>
        <w:tc>
          <w:tcPr>
            <w:tcW w:w="158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6AD40D6" w14:textId="77777777" w:rsidR="00D0233D" w:rsidRDefault="00000000">
            <w:r>
              <w:rPr>
                <w:sz w:val="15"/>
              </w:rPr>
              <w:t>Follow_Up_Required</w:t>
            </w:r>
          </w:p>
        </w:tc>
        <w:tc>
          <w:tcPr>
            <w:tcW w:w="158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F9D019F" w14:textId="77777777" w:rsidR="00D0233D" w:rsidRDefault="00000000">
            <w:r>
              <w:rPr>
                <w:sz w:val="15"/>
              </w:rPr>
              <w:t>Department</w:t>
            </w:r>
          </w:p>
        </w:tc>
        <w:tc>
          <w:tcPr>
            <w:tcW w:w="230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5540D3A" w14:textId="77777777" w:rsidR="00D0233D" w:rsidRDefault="00000000">
            <w:r>
              <w:rPr>
                <w:sz w:val="15"/>
              </w:rPr>
              <w:t>Count of Patient_Key</w:t>
            </w:r>
          </w:p>
        </w:tc>
        <w:tc>
          <w:tcPr>
            <w:tcW w:w="3312"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48C2318" w14:textId="77777777" w:rsidR="00D0233D" w:rsidRDefault="00000000">
            <w:r>
              <w:rPr>
                <w:sz w:val="15"/>
              </w:rPr>
              <w:t>Shows which departments generate the highest follow-up demand.</w:t>
            </w:r>
          </w:p>
        </w:tc>
      </w:tr>
      <w:tr w:rsidR="00D0233D" w14:paraId="432A1379" w14:textId="77777777">
        <w:trPr>
          <w:jc w:val="center"/>
        </w:trPr>
        <w:tc>
          <w:tcPr>
            <w:tcW w:w="2448" w:type="dxa"/>
            <w:tcBorders>
              <w:top w:val="single" w:sz="4" w:space="0" w:color="D9E2F3"/>
              <w:left w:val="single" w:sz="4" w:space="0" w:color="D9E2F3"/>
              <w:bottom w:val="single" w:sz="4" w:space="0" w:color="D9E2F3"/>
              <w:right w:val="single" w:sz="4" w:space="0" w:color="D9E2F3"/>
            </w:tcBorders>
            <w:vAlign w:val="center"/>
          </w:tcPr>
          <w:p w14:paraId="0176B7B5" w14:textId="77777777" w:rsidR="00D0233D" w:rsidRDefault="00000000">
            <w:r>
              <w:rPr>
                <w:sz w:val="15"/>
              </w:rPr>
              <w:t>Visit Type Trend</w:t>
            </w:r>
          </w:p>
        </w:tc>
        <w:tc>
          <w:tcPr>
            <w:tcW w:w="1584" w:type="dxa"/>
            <w:tcBorders>
              <w:top w:val="single" w:sz="4" w:space="0" w:color="D9E2F3"/>
              <w:left w:val="single" w:sz="4" w:space="0" w:color="D9E2F3"/>
              <w:bottom w:val="single" w:sz="4" w:space="0" w:color="D9E2F3"/>
              <w:right w:val="single" w:sz="4" w:space="0" w:color="D9E2F3"/>
            </w:tcBorders>
            <w:vAlign w:val="center"/>
          </w:tcPr>
          <w:p w14:paraId="42725E57" w14:textId="77777777" w:rsidR="00D0233D" w:rsidRDefault="00000000">
            <w:r>
              <w:rPr>
                <w:sz w:val="15"/>
              </w:rPr>
              <w:t>Visit_Type</w:t>
            </w:r>
          </w:p>
        </w:tc>
        <w:tc>
          <w:tcPr>
            <w:tcW w:w="1584" w:type="dxa"/>
            <w:tcBorders>
              <w:top w:val="single" w:sz="4" w:space="0" w:color="D9E2F3"/>
              <w:left w:val="single" w:sz="4" w:space="0" w:color="D9E2F3"/>
              <w:bottom w:val="single" w:sz="4" w:space="0" w:color="D9E2F3"/>
              <w:right w:val="single" w:sz="4" w:space="0" w:color="D9E2F3"/>
            </w:tcBorders>
            <w:vAlign w:val="center"/>
          </w:tcPr>
          <w:p w14:paraId="389A034D" w14:textId="77777777" w:rsidR="00D0233D" w:rsidRDefault="00000000">
            <w:r>
              <w:rPr>
                <w:sz w:val="15"/>
              </w:rPr>
              <w:t>Month</w:t>
            </w:r>
          </w:p>
        </w:tc>
        <w:tc>
          <w:tcPr>
            <w:tcW w:w="2304" w:type="dxa"/>
            <w:tcBorders>
              <w:top w:val="single" w:sz="4" w:space="0" w:color="D9E2F3"/>
              <w:left w:val="single" w:sz="4" w:space="0" w:color="D9E2F3"/>
              <w:bottom w:val="single" w:sz="4" w:space="0" w:color="D9E2F3"/>
              <w:right w:val="single" w:sz="4" w:space="0" w:color="D9E2F3"/>
            </w:tcBorders>
            <w:vAlign w:val="center"/>
          </w:tcPr>
          <w:p w14:paraId="077D8229" w14:textId="77777777" w:rsidR="00D0233D" w:rsidRDefault="00000000">
            <w:r>
              <w:rPr>
                <w:sz w:val="15"/>
              </w:rPr>
              <w:t>Count of Visit_ID</w:t>
            </w:r>
          </w:p>
        </w:tc>
        <w:tc>
          <w:tcPr>
            <w:tcW w:w="3312" w:type="dxa"/>
            <w:tcBorders>
              <w:top w:val="single" w:sz="4" w:space="0" w:color="D9E2F3"/>
              <w:left w:val="single" w:sz="4" w:space="0" w:color="D9E2F3"/>
              <w:bottom w:val="single" w:sz="4" w:space="0" w:color="D9E2F3"/>
              <w:right w:val="single" w:sz="4" w:space="0" w:color="D9E2F3"/>
            </w:tcBorders>
            <w:vAlign w:val="center"/>
          </w:tcPr>
          <w:p w14:paraId="74F7028F" w14:textId="77777777" w:rsidR="00D0233D" w:rsidRDefault="00000000">
            <w:r>
              <w:rPr>
                <w:sz w:val="15"/>
              </w:rPr>
              <w:t>Shows whether follow-up, urgent, or new visits are increasing.</w:t>
            </w:r>
          </w:p>
        </w:tc>
      </w:tr>
    </w:tbl>
    <w:p w14:paraId="4039D59C" w14:textId="77777777" w:rsidR="00D0233D" w:rsidRDefault="00D0233D"/>
    <w:p w14:paraId="2E891810" w14:textId="77777777" w:rsidR="00141279" w:rsidRDefault="00141279">
      <w:pPr>
        <w:pStyle w:val="Heading1"/>
        <w:spacing w:before="240" w:after="120"/>
        <w:rPr>
          <w:rFonts w:ascii="Aptos Display" w:hAnsi="Aptos Display"/>
          <w:color w:val="1F4E79"/>
        </w:rPr>
      </w:pPr>
    </w:p>
    <w:p w14:paraId="05C4948C" w14:textId="7DEE0029" w:rsidR="00D0233D" w:rsidRDefault="00000000">
      <w:pPr>
        <w:pStyle w:val="Heading1"/>
        <w:spacing w:before="240" w:after="120"/>
      </w:pPr>
      <w:r>
        <w:rPr>
          <w:rFonts w:ascii="Aptos Display" w:hAnsi="Aptos Display"/>
          <w:color w:val="1F4E79"/>
        </w:rPr>
        <w:t>7. Advanced Excel Analysis Techniques</w:t>
      </w:r>
    </w:p>
    <w:tbl>
      <w:tblPr>
        <w:tblStyle w:val="TableGrid"/>
        <w:tblW w:w="0" w:type="auto"/>
        <w:jc w:val="center"/>
        <w:tblLook w:val="04A0" w:firstRow="1" w:lastRow="0" w:firstColumn="1" w:lastColumn="0" w:noHBand="0" w:noVBand="1"/>
      </w:tblPr>
      <w:tblGrid>
        <w:gridCol w:w="2160"/>
        <w:gridCol w:w="7920"/>
      </w:tblGrid>
      <w:tr w:rsidR="00D0233D" w14:paraId="2AC27A4E"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61836E4A" w14:textId="77777777" w:rsidR="00D0233D" w:rsidRDefault="00000000">
            <w:r>
              <w:rPr>
                <w:b/>
                <w:color w:val="FFFFFF"/>
                <w:sz w:val="16"/>
              </w:rPr>
              <w:t>Technique</w:t>
            </w:r>
          </w:p>
        </w:tc>
        <w:tc>
          <w:tcPr>
            <w:tcW w:w="792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A2AE5E7" w14:textId="77777777" w:rsidR="00D0233D" w:rsidRDefault="00000000">
            <w:r>
              <w:rPr>
                <w:b/>
                <w:color w:val="FFFFFF"/>
                <w:sz w:val="16"/>
              </w:rPr>
              <w:t>Use in Analysis</w:t>
            </w:r>
          </w:p>
        </w:tc>
      </w:tr>
      <w:tr w:rsidR="00D0233D" w14:paraId="72E5D9AC"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01DABC56" w14:textId="77777777" w:rsidR="00D0233D" w:rsidRDefault="00000000">
            <w:r>
              <w:rPr>
                <w:sz w:val="16"/>
              </w:rPr>
              <w:t>PivotTables</w:t>
            </w:r>
          </w:p>
        </w:tc>
        <w:tc>
          <w:tcPr>
            <w:tcW w:w="7920" w:type="dxa"/>
            <w:tcBorders>
              <w:top w:val="single" w:sz="4" w:space="0" w:color="D9E2F3"/>
              <w:left w:val="single" w:sz="4" w:space="0" w:color="D9E2F3"/>
              <w:bottom w:val="single" w:sz="4" w:space="0" w:color="D9E2F3"/>
              <w:right w:val="single" w:sz="4" w:space="0" w:color="D9E2F3"/>
            </w:tcBorders>
            <w:vAlign w:val="center"/>
          </w:tcPr>
          <w:p w14:paraId="3F77D2FC" w14:textId="77777777" w:rsidR="00D0233D" w:rsidRDefault="00000000">
            <w:r>
              <w:rPr>
                <w:sz w:val="16"/>
              </w:rPr>
              <w:t>Used to summarize large healthcare records by department, provider, month, visit type, and status without changing the source data.</w:t>
            </w:r>
          </w:p>
        </w:tc>
      </w:tr>
      <w:tr w:rsidR="00D0233D" w14:paraId="6EF27FAD"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6DCA14E" w14:textId="77777777" w:rsidR="00D0233D" w:rsidRDefault="00000000">
            <w:r>
              <w:rPr>
                <w:sz w:val="16"/>
              </w:rPr>
              <w:t>Slicers</w:t>
            </w:r>
          </w:p>
        </w:tc>
        <w:tc>
          <w:tcPr>
            <w:tcW w:w="79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9251710" w14:textId="77777777" w:rsidR="00D0233D" w:rsidRDefault="00000000">
            <w:r>
              <w:rPr>
                <w:sz w:val="16"/>
              </w:rPr>
              <w:t>Used to filter the report by department, month, provider, visit status, or outcome status. This supports faster review and easier comparison.</w:t>
            </w:r>
          </w:p>
        </w:tc>
      </w:tr>
      <w:tr w:rsidR="00D0233D" w14:paraId="3216AF9C"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6818F8E5" w14:textId="77777777" w:rsidR="00D0233D" w:rsidRDefault="00000000">
            <w:r>
              <w:rPr>
                <w:sz w:val="16"/>
              </w:rPr>
              <w:t>Calculated Fields</w:t>
            </w:r>
          </w:p>
        </w:tc>
        <w:tc>
          <w:tcPr>
            <w:tcW w:w="7920" w:type="dxa"/>
            <w:tcBorders>
              <w:top w:val="single" w:sz="4" w:space="0" w:color="D9E2F3"/>
              <w:left w:val="single" w:sz="4" w:space="0" w:color="D9E2F3"/>
              <w:bottom w:val="single" w:sz="4" w:space="0" w:color="D9E2F3"/>
              <w:right w:val="single" w:sz="4" w:space="0" w:color="D9E2F3"/>
            </w:tcBorders>
            <w:vAlign w:val="center"/>
          </w:tcPr>
          <w:p w14:paraId="21115C82" w14:textId="77777777" w:rsidR="00D0233D" w:rsidRDefault="00000000">
            <w:r>
              <w:rPr>
                <w:sz w:val="16"/>
              </w:rPr>
              <w:t>Used to calculate no show rate, completion rate, follow-up rate, and utilization rate directly inside the PivotTable.</w:t>
            </w:r>
          </w:p>
        </w:tc>
      </w:tr>
      <w:tr w:rsidR="00D0233D" w14:paraId="040249B1"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B5BB8FB" w14:textId="77777777" w:rsidR="00D0233D" w:rsidRDefault="00000000">
            <w:r>
              <w:rPr>
                <w:sz w:val="16"/>
              </w:rPr>
              <w:t>GETPIVOTDATA</w:t>
            </w:r>
          </w:p>
        </w:tc>
        <w:tc>
          <w:tcPr>
            <w:tcW w:w="79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8D44FB2" w14:textId="77777777" w:rsidR="00D0233D" w:rsidRDefault="00000000">
            <w:r>
              <w:rPr>
                <w:sz w:val="16"/>
              </w:rPr>
              <w:t>Used to pull specific PivotTable results into a summary section or dashboard while keeping values connected to the PivotTable.</w:t>
            </w:r>
          </w:p>
        </w:tc>
      </w:tr>
      <w:tr w:rsidR="00D0233D" w14:paraId="4F2238CF"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66D1BFAC" w14:textId="77777777" w:rsidR="00D0233D" w:rsidRDefault="00000000">
            <w:r>
              <w:rPr>
                <w:sz w:val="16"/>
              </w:rPr>
              <w:t>PivotCharts</w:t>
            </w:r>
          </w:p>
        </w:tc>
        <w:tc>
          <w:tcPr>
            <w:tcW w:w="7920" w:type="dxa"/>
            <w:tcBorders>
              <w:top w:val="single" w:sz="4" w:space="0" w:color="D9E2F3"/>
              <w:left w:val="single" w:sz="4" w:space="0" w:color="D9E2F3"/>
              <w:bottom w:val="single" w:sz="4" w:space="0" w:color="D9E2F3"/>
              <w:right w:val="single" w:sz="4" w:space="0" w:color="D9E2F3"/>
            </w:tcBorders>
            <w:vAlign w:val="center"/>
          </w:tcPr>
          <w:p w14:paraId="17B3286A" w14:textId="77777777" w:rsidR="00D0233D" w:rsidRDefault="00000000">
            <w:r>
              <w:rPr>
                <w:sz w:val="16"/>
              </w:rPr>
              <w:t>Used to present monthly visit trends, department workload, appointment status mix, and outcome distribution in a visual format.</w:t>
            </w:r>
          </w:p>
        </w:tc>
      </w:tr>
      <w:tr w:rsidR="00D0233D" w14:paraId="2CB0DA30"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6EEA2FEB" w14:textId="77777777" w:rsidR="00D0233D" w:rsidRDefault="00000000">
            <w:r>
              <w:rPr>
                <w:sz w:val="16"/>
              </w:rPr>
              <w:t>Conditional Formatting</w:t>
            </w:r>
          </w:p>
        </w:tc>
        <w:tc>
          <w:tcPr>
            <w:tcW w:w="79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93D3898" w14:textId="77777777" w:rsidR="00D0233D" w:rsidRDefault="00000000">
            <w:r>
              <w:rPr>
                <w:sz w:val="16"/>
              </w:rPr>
              <w:t>Used to highlight high wait times, high no show rates, low completion rates, and departments requiring attention.</w:t>
            </w:r>
          </w:p>
        </w:tc>
      </w:tr>
      <w:tr w:rsidR="00D0233D" w14:paraId="24C1BD5B" w14:textId="77777777">
        <w:trPr>
          <w:jc w:val="center"/>
        </w:trPr>
        <w:tc>
          <w:tcPr>
            <w:tcW w:w="2160" w:type="dxa"/>
            <w:tcBorders>
              <w:top w:val="single" w:sz="4" w:space="0" w:color="D9E2F3"/>
              <w:left w:val="single" w:sz="4" w:space="0" w:color="D9E2F3"/>
              <w:bottom w:val="single" w:sz="4" w:space="0" w:color="D9E2F3"/>
              <w:right w:val="single" w:sz="4" w:space="0" w:color="D9E2F3"/>
            </w:tcBorders>
            <w:vAlign w:val="center"/>
          </w:tcPr>
          <w:p w14:paraId="17AF3B68" w14:textId="77777777" w:rsidR="00D0233D" w:rsidRDefault="00000000">
            <w:r>
              <w:rPr>
                <w:sz w:val="16"/>
              </w:rPr>
              <w:t>Value Filters and Sorting</w:t>
            </w:r>
          </w:p>
        </w:tc>
        <w:tc>
          <w:tcPr>
            <w:tcW w:w="7920" w:type="dxa"/>
            <w:tcBorders>
              <w:top w:val="single" w:sz="4" w:space="0" w:color="D9E2F3"/>
              <w:left w:val="single" w:sz="4" w:space="0" w:color="D9E2F3"/>
              <w:bottom w:val="single" w:sz="4" w:space="0" w:color="D9E2F3"/>
              <w:right w:val="single" w:sz="4" w:space="0" w:color="D9E2F3"/>
            </w:tcBorders>
            <w:vAlign w:val="center"/>
          </w:tcPr>
          <w:p w14:paraId="3886C1B3" w14:textId="77777777" w:rsidR="00D0233D" w:rsidRDefault="00000000">
            <w:r>
              <w:rPr>
                <w:sz w:val="16"/>
              </w:rPr>
              <w:t>Used to display top departments by visit volume, highest wait time, or highest follow-up demand.</w:t>
            </w:r>
          </w:p>
        </w:tc>
      </w:tr>
      <w:tr w:rsidR="00D0233D" w14:paraId="16DD4B14" w14:textId="77777777">
        <w:trPr>
          <w:jc w:val="center"/>
        </w:trPr>
        <w:tc>
          <w:tcPr>
            <w:tcW w:w="216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78A10EB" w14:textId="77777777" w:rsidR="00D0233D" w:rsidRDefault="00000000">
            <w:r>
              <w:rPr>
                <w:sz w:val="16"/>
              </w:rPr>
              <w:t>Refresh All</w:t>
            </w:r>
          </w:p>
        </w:tc>
        <w:tc>
          <w:tcPr>
            <w:tcW w:w="79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6B7DE70" w14:textId="77777777" w:rsidR="00D0233D" w:rsidRDefault="00000000">
            <w:r>
              <w:rPr>
                <w:sz w:val="16"/>
              </w:rPr>
              <w:t>Used after source data updates so PivotTables, charts, and summary values reflect the latest records.</w:t>
            </w:r>
          </w:p>
        </w:tc>
      </w:tr>
    </w:tbl>
    <w:p w14:paraId="4295F051" w14:textId="77777777" w:rsidR="00D0233D" w:rsidRDefault="00D0233D"/>
    <w:p w14:paraId="0D313A28" w14:textId="77777777" w:rsidR="00D0233D" w:rsidRDefault="00000000">
      <w:pPr>
        <w:pStyle w:val="Heading1"/>
        <w:spacing w:before="240" w:after="120"/>
      </w:pPr>
      <w:r>
        <w:rPr>
          <w:rFonts w:ascii="Aptos Display" w:hAnsi="Aptos Display"/>
          <w:color w:val="1F4E79"/>
        </w:rPr>
        <w:t>8. Calculated Metrics</w:t>
      </w:r>
    </w:p>
    <w:tbl>
      <w:tblPr>
        <w:tblStyle w:val="TableGrid"/>
        <w:tblW w:w="0" w:type="auto"/>
        <w:jc w:val="center"/>
        <w:tblLook w:val="04A0" w:firstRow="1" w:lastRow="0" w:firstColumn="1" w:lastColumn="0" w:noHBand="0" w:noVBand="1"/>
      </w:tblPr>
      <w:tblGrid>
        <w:gridCol w:w="2304"/>
        <w:gridCol w:w="3456"/>
        <w:gridCol w:w="4320"/>
      </w:tblGrid>
      <w:tr w:rsidR="00D0233D" w14:paraId="4D4152AE"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490C522" w14:textId="77777777" w:rsidR="00D0233D" w:rsidRDefault="00000000">
            <w:r>
              <w:rPr>
                <w:b/>
                <w:color w:val="FFFFFF"/>
                <w:sz w:val="16"/>
              </w:rPr>
              <w:t>Metric</w:t>
            </w:r>
          </w:p>
        </w:tc>
        <w:tc>
          <w:tcPr>
            <w:tcW w:w="345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0E77076" w14:textId="77777777" w:rsidR="00D0233D" w:rsidRDefault="00000000">
            <w:r>
              <w:rPr>
                <w:b/>
                <w:color w:val="FFFFFF"/>
                <w:sz w:val="16"/>
              </w:rPr>
              <w:t>Formula Logic</w:t>
            </w:r>
          </w:p>
        </w:tc>
        <w:tc>
          <w:tcPr>
            <w:tcW w:w="432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9D220CE" w14:textId="77777777" w:rsidR="00D0233D" w:rsidRDefault="00000000">
            <w:r>
              <w:rPr>
                <w:b/>
                <w:color w:val="FFFFFF"/>
                <w:sz w:val="16"/>
              </w:rPr>
              <w:t>Decision Value</w:t>
            </w:r>
          </w:p>
        </w:tc>
      </w:tr>
      <w:tr w:rsidR="00D0233D" w14:paraId="0F38016B" w14:textId="77777777">
        <w:trPr>
          <w:jc w:val="center"/>
        </w:trPr>
        <w:tc>
          <w:tcPr>
            <w:tcW w:w="2304" w:type="dxa"/>
            <w:tcBorders>
              <w:top w:val="single" w:sz="4" w:space="0" w:color="D9E2F3"/>
              <w:left w:val="single" w:sz="4" w:space="0" w:color="D9E2F3"/>
              <w:bottom w:val="single" w:sz="4" w:space="0" w:color="D9E2F3"/>
              <w:right w:val="single" w:sz="4" w:space="0" w:color="D9E2F3"/>
            </w:tcBorders>
            <w:vAlign w:val="center"/>
          </w:tcPr>
          <w:p w14:paraId="5E0DC0DD" w14:textId="77777777" w:rsidR="00D0233D" w:rsidRDefault="00000000">
            <w:r>
              <w:rPr>
                <w:sz w:val="16"/>
              </w:rPr>
              <w:t>No Show Rate</w:t>
            </w:r>
          </w:p>
        </w:tc>
        <w:tc>
          <w:tcPr>
            <w:tcW w:w="3456" w:type="dxa"/>
            <w:tcBorders>
              <w:top w:val="single" w:sz="4" w:space="0" w:color="D9E2F3"/>
              <w:left w:val="single" w:sz="4" w:space="0" w:color="D9E2F3"/>
              <w:bottom w:val="single" w:sz="4" w:space="0" w:color="D9E2F3"/>
              <w:right w:val="single" w:sz="4" w:space="0" w:color="D9E2F3"/>
            </w:tcBorders>
            <w:vAlign w:val="center"/>
          </w:tcPr>
          <w:p w14:paraId="50ACCE74" w14:textId="77777777" w:rsidR="00D0233D" w:rsidRDefault="00000000">
            <w:r>
              <w:rPr>
                <w:sz w:val="16"/>
              </w:rPr>
              <w:t>No Show Visits / Total Scheduled Visits</w:t>
            </w:r>
          </w:p>
        </w:tc>
        <w:tc>
          <w:tcPr>
            <w:tcW w:w="4320" w:type="dxa"/>
            <w:tcBorders>
              <w:top w:val="single" w:sz="4" w:space="0" w:color="D9E2F3"/>
              <w:left w:val="single" w:sz="4" w:space="0" w:color="D9E2F3"/>
              <w:bottom w:val="single" w:sz="4" w:space="0" w:color="D9E2F3"/>
              <w:right w:val="single" w:sz="4" w:space="0" w:color="D9E2F3"/>
            </w:tcBorders>
            <w:vAlign w:val="center"/>
          </w:tcPr>
          <w:p w14:paraId="10790EC3" w14:textId="77777777" w:rsidR="00D0233D" w:rsidRDefault="00000000">
            <w:r>
              <w:rPr>
                <w:sz w:val="16"/>
              </w:rPr>
              <w:t>Measures appointment attendance risk.</w:t>
            </w:r>
          </w:p>
        </w:tc>
      </w:tr>
      <w:tr w:rsidR="00D0233D" w14:paraId="51159145"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29B30A6" w14:textId="77777777" w:rsidR="00D0233D" w:rsidRDefault="00000000">
            <w:r>
              <w:rPr>
                <w:sz w:val="16"/>
              </w:rPr>
              <w:t>Completion Rate</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6A634C9" w14:textId="77777777" w:rsidR="00D0233D" w:rsidRDefault="00000000">
            <w:r>
              <w:rPr>
                <w:sz w:val="16"/>
              </w:rPr>
              <w:t>Completed Visits / Total Appointments</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143CCD2" w14:textId="77777777" w:rsidR="00D0233D" w:rsidRDefault="00000000">
            <w:r>
              <w:rPr>
                <w:sz w:val="16"/>
              </w:rPr>
              <w:t>Shows the share of appointments successfully completed.</w:t>
            </w:r>
          </w:p>
        </w:tc>
      </w:tr>
      <w:tr w:rsidR="00D0233D" w14:paraId="036D0EB4" w14:textId="77777777">
        <w:trPr>
          <w:jc w:val="center"/>
        </w:trPr>
        <w:tc>
          <w:tcPr>
            <w:tcW w:w="2304" w:type="dxa"/>
            <w:tcBorders>
              <w:top w:val="single" w:sz="4" w:space="0" w:color="D9E2F3"/>
              <w:left w:val="single" w:sz="4" w:space="0" w:color="D9E2F3"/>
              <w:bottom w:val="single" w:sz="4" w:space="0" w:color="D9E2F3"/>
              <w:right w:val="single" w:sz="4" w:space="0" w:color="D9E2F3"/>
            </w:tcBorders>
            <w:vAlign w:val="center"/>
          </w:tcPr>
          <w:p w14:paraId="4372DD02" w14:textId="77777777" w:rsidR="00D0233D" w:rsidRDefault="00000000">
            <w:r>
              <w:rPr>
                <w:sz w:val="16"/>
              </w:rPr>
              <w:t>Follow-Up Rate</w:t>
            </w:r>
          </w:p>
        </w:tc>
        <w:tc>
          <w:tcPr>
            <w:tcW w:w="3456" w:type="dxa"/>
            <w:tcBorders>
              <w:top w:val="single" w:sz="4" w:space="0" w:color="D9E2F3"/>
              <w:left w:val="single" w:sz="4" w:space="0" w:color="D9E2F3"/>
              <w:bottom w:val="single" w:sz="4" w:space="0" w:color="D9E2F3"/>
              <w:right w:val="single" w:sz="4" w:space="0" w:color="D9E2F3"/>
            </w:tcBorders>
            <w:vAlign w:val="center"/>
          </w:tcPr>
          <w:p w14:paraId="28956082" w14:textId="77777777" w:rsidR="00D0233D" w:rsidRDefault="00000000">
            <w:r>
              <w:rPr>
                <w:sz w:val="16"/>
              </w:rPr>
              <w:t>Follow-Up Required / Completed Visits</w:t>
            </w:r>
          </w:p>
        </w:tc>
        <w:tc>
          <w:tcPr>
            <w:tcW w:w="4320" w:type="dxa"/>
            <w:tcBorders>
              <w:top w:val="single" w:sz="4" w:space="0" w:color="D9E2F3"/>
              <w:left w:val="single" w:sz="4" w:space="0" w:color="D9E2F3"/>
              <w:bottom w:val="single" w:sz="4" w:space="0" w:color="D9E2F3"/>
              <w:right w:val="single" w:sz="4" w:space="0" w:color="D9E2F3"/>
            </w:tcBorders>
            <w:vAlign w:val="center"/>
          </w:tcPr>
          <w:p w14:paraId="05A41959" w14:textId="77777777" w:rsidR="00D0233D" w:rsidRDefault="00000000">
            <w:r>
              <w:rPr>
                <w:sz w:val="16"/>
              </w:rPr>
              <w:t>Measures ongoing care demand after the visit.</w:t>
            </w:r>
          </w:p>
        </w:tc>
      </w:tr>
      <w:tr w:rsidR="00D0233D" w14:paraId="6C1ADE5C"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9D9B8AE" w14:textId="77777777" w:rsidR="00D0233D" w:rsidRDefault="00000000">
            <w:r>
              <w:rPr>
                <w:sz w:val="16"/>
              </w:rPr>
              <w:t>Average Wait Time</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08EA1EA" w14:textId="77777777" w:rsidR="00D0233D" w:rsidRDefault="00000000">
            <w:r>
              <w:rPr>
                <w:sz w:val="16"/>
              </w:rPr>
              <w:t>Total Wait Time / Number of Completed Visits</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AE6320C" w14:textId="77777777" w:rsidR="00D0233D" w:rsidRDefault="00000000">
            <w:r>
              <w:rPr>
                <w:sz w:val="16"/>
              </w:rPr>
              <w:t>Identifies delays and patient flow issues.</w:t>
            </w:r>
          </w:p>
        </w:tc>
      </w:tr>
      <w:tr w:rsidR="00D0233D" w14:paraId="62CA7731" w14:textId="77777777">
        <w:trPr>
          <w:jc w:val="center"/>
        </w:trPr>
        <w:tc>
          <w:tcPr>
            <w:tcW w:w="2304" w:type="dxa"/>
            <w:tcBorders>
              <w:top w:val="single" w:sz="4" w:space="0" w:color="D9E2F3"/>
              <w:left w:val="single" w:sz="4" w:space="0" w:color="D9E2F3"/>
              <w:bottom w:val="single" w:sz="4" w:space="0" w:color="D9E2F3"/>
              <w:right w:val="single" w:sz="4" w:space="0" w:color="D9E2F3"/>
            </w:tcBorders>
            <w:vAlign w:val="center"/>
          </w:tcPr>
          <w:p w14:paraId="5DD1594B" w14:textId="77777777" w:rsidR="00D0233D" w:rsidRDefault="00000000">
            <w:r>
              <w:rPr>
                <w:sz w:val="16"/>
              </w:rPr>
              <w:t>Provider Utilization</w:t>
            </w:r>
          </w:p>
        </w:tc>
        <w:tc>
          <w:tcPr>
            <w:tcW w:w="3456" w:type="dxa"/>
            <w:tcBorders>
              <w:top w:val="single" w:sz="4" w:space="0" w:color="D9E2F3"/>
              <w:left w:val="single" w:sz="4" w:space="0" w:color="D9E2F3"/>
              <w:bottom w:val="single" w:sz="4" w:space="0" w:color="D9E2F3"/>
              <w:right w:val="single" w:sz="4" w:space="0" w:color="D9E2F3"/>
            </w:tcBorders>
            <w:vAlign w:val="center"/>
          </w:tcPr>
          <w:p w14:paraId="435B8569" w14:textId="77777777" w:rsidR="00D0233D" w:rsidRDefault="00000000">
            <w:r>
              <w:rPr>
                <w:sz w:val="16"/>
              </w:rPr>
              <w:t>Provider Appointments / Available Capacity</w:t>
            </w:r>
          </w:p>
        </w:tc>
        <w:tc>
          <w:tcPr>
            <w:tcW w:w="4320" w:type="dxa"/>
            <w:tcBorders>
              <w:top w:val="single" w:sz="4" w:space="0" w:color="D9E2F3"/>
              <w:left w:val="single" w:sz="4" w:space="0" w:color="D9E2F3"/>
              <w:bottom w:val="single" w:sz="4" w:space="0" w:color="D9E2F3"/>
              <w:right w:val="single" w:sz="4" w:space="0" w:color="D9E2F3"/>
            </w:tcBorders>
            <w:vAlign w:val="center"/>
          </w:tcPr>
          <w:p w14:paraId="2919EDF4" w14:textId="77777777" w:rsidR="00D0233D" w:rsidRDefault="00000000">
            <w:r>
              <w:rPr>
                <w:sz w:val="16"/>
              </w:rPr>
              <w:t>Shows whether provider workload is balanced.</w:t>
            </w:r>
          </w:p>
        </w:tc>
      </w:tr>
      <w:tr w:rsidR="00D0233D" w14:paraId="38662A9A"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C4B6C91" w14:textId="77777777" w:rsidR="00D0233D" w:rsidRDefault="00000000">
            <w:r>
              <w:rPr>
                <w:sz w:val="16"/>
              </w:rPr>
              <w:t>Outcome Review Rate</w:t>
            </w:r>
          </w:p>
        </w:tc>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490C161" w14:textId="77777777" w:rsidR="00D0233D" w:rsidRDefault="00000000">
            <w:r>
              <w:rPr>
                <w:sz w:val="16"/>
              </w:rPr>
              <w:t>Records with Outcome_Status / Completed Visits</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05783C1" w14:textId="77777777" w:rsidR="00D0233D" w:rsidRDefault="00000000">
            <w:r>
              <w:rPr>
                <w:sz w:val="16"/>
              </w:rPr>
              <w:t>Checks whether outcome documentation is complete.</w:t>
            </w:r>
          </w:p>
        </w:tc>
      </w:tr>
    </w:tbl>
    <w:p w14:paraId="427D2539" w14:textId="77777777" w:rsidR="00D0233D" w:rsidRDefault="00D0233D"/>
    <w:p w14:paraId="4FBD0B47" w14:textId="77777777" w:rsidR="00D0233D" w:rsidRDefault="00000000">
      <w:pPr>
        <w:pStyle w:val="Heading1"/>
        <w:spacing w:before="240" w:after="120"/>
      </w:pPr>
      <w:r>
        <w:rPr>
          <w:rFonts w:ascii="Aptos Display" w:hAnsi="Aptos Display"/>
          <w:color w:val="1F4E79"/>
        </w:rPr>
        <w:t>9. Insight Interpretation Plan</w:t>
      </w:r>
    </w:p>
    <w:p w14:paraId="226670F2" w14:textId="77777777" w:rsidR="00D0233D" w:rsidRDefault="00000000">
      <w:pPr>
        <w:spacing w:after="120" w:line="259" w:lineRule="auto"/>
      </w:pPr>
      <w:r>
        <w:t>After the PivotTables are created, the results will be interpreted by comparing departments, time periods, provider workload, and appointment status patterns. The analysis will not only report totals, but also explain what the trends mean for healthcare operations.</w:t>
      </w:r>
    </w:p>
    <w:tbl>
      <w:tblPr>
        <w:tblStyle w:val="TableGrid"/>
        <w:tblW w:w="0" w:type="auto"/>
        <w:jc w:val="center"/>
        <w:tblLook w:val="04A0" w:firstRow="1" w:lastRow="0" w:firstColumn="1" w:lastColumn="0" w:noHBand="0" w:noVBand="1"/>
      </w:tblPr>
      <w:tblGrid>
        <w:gridCol w:w="3456"/>
        <w:gridCol w:w="6624"/>
      </w:tblGrid>
      <w:tr w:rsidR="00D0233D" w14:paraId="62915B21" w14:textId="77777777">
        <w:trPr>
          <w:jc w:val="center"/>
        </w:trPr>
        <w:tc>
          <w:tcPr>
            <w:tcW w:w="3456"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F07B8B3" w14:textId="77777777" w:rsidR="00D0233D" w:rsidRDefault="00000000">
            <w:r>
              <w:rPr>
                <w:b/>
                <w:color w:val="FFFFFF"/>
                <w:sz w:val="16"/>
              </w:rPr>
              <w:t>Finding</w:t>
            </w:r>
          </w:p>
        </w:tc>
        <w:tc>
          <w:tcPr>
            <w:tcW w:w="6624"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76457B1F" w14:textId="77777777" w:rsidR="00D0233D" w:rsidRDefault="00000000">
            <w:r>
              <w:rPr>
                <w:b/>
                <w:color w:val="FFFFFF"/>
                <w:sz w:val="16"/>
              </w:rPr>
              <w:t>Interpretation</w:t>
            </w:r>
          </w:p>
        </w:tc>
      </w:tr>
      <w:tr w:rsidR="00D0233D" w14:paraId="249DBC1F" w14:textId="77777777">
        <w:trPr>
          <w:jc w:val="center"/>
        </w:trPr>
        <w:tc>
          <w:tcPr>
            <w:tcW w:w="3456" w:type="dxa"/>
            <w:tcBorders>
              <w:top w:val="single" w:sz="4" w:space="0" w:color="D9E2F3"/>
              <w:left w:val="single" w:sz="4" w:space="0" w:color="D9E2F3"/>
              <w:bottom w:val="single" w:sz="4" w:space="0" w:color="D9E2F3"/>
              <w:right w:val="single" w:sz="4" w:space="0" w:color="D9E2F3"/>
            </w:tcBorders>
            <w:vAlign w:val="center"/>
          </w:tcPr>
          <w:p w14:paraId="7D61FF64" w14:textId="77777777" w:rsidR="00D0233D" w:rsidRDefault="00000000">
            <w:r>
              <w:rPr>
                <w:sz w:val="16"/>
              </w:rPr>
              <w:t>High visit volume in one department</w:t>
            </w:r>
          </w:p>
        </w:tc>
        <w:tc>
          <w:tcPr>
            <w:tcW w:w="6624" w:type="dxa"/>
            <w:tcBorders>
              <w:top w:val="single" w:sz="4" w:space="0" w:color="D9E2F3"/>
              <w:left w:val="single" w:sz="4" w:space="0" w:color="D9E2F3"/>
              <w:bottom w:val="single" w:sz="4" w:space="0" w:color="D9E2F3"/>
              <w:right w:val="single" w:sz="4" w:space="0" w:color="D9E2F3"/>
            </w:tcBorders>
            <w:vAlign w:val="center"/>
          </w:tcPr>
          <w:p w14:paraId="338F8994" w14:textId="77777777" w:rsidR="00D0233D" w:rsidRDefault="00000000">
            <w:r>
              <w:rPr>
                <w:sz w:val="16"/>
              </w:rPr>
              <w:t>The department may need additional appointment slots, adjusted staffing, or better queue planning.</w:t>
            </w:r>
          </w:p>
        </w:tc>
      </w:tr>
      <w:tr w:rsidR="00D0233D" w14:paraId="67476604" w14:textId="77777777">
        <w:trPr>
          <w:jc w:val="center"/>
        </w:trPr>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246C46E" w14:textId="77777777" w:rsidR="00D0233D" w:rsidRDefault="00000000">
            <w:r>
              <w:rPr>
                <w:sz w:val="16"/>
              </w:rPr>
              <w:t>High no show rate in a specific month or department</w:t>
            </w:r>
          </w:p>
        </w:tc>
        <w:tc>
          <w:tcPr>
            <w:tcW w:w="662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FEAA1A0" w14:textId="77777777" w:rsidR="00D0233D" w:rsidRDefault="00000000">
            <w:r>
              <w:rPr>
                <w:sz w:val="16"/>
              </w:rPr>
              <w:t>The reminder process, appointment confirmation workflow, or scheduling lead time may need review.</w:t>
            </w:r>
          </w:p>
        </w:tc>
      </w:tr>
      <w:tr w:rsidR="00D0233D" w14:paraId="002BD168" w14:textId="77777777">
        <w:trPr>
          <w:jc w:val="center"/>
        </w:trPr>
        <w:tc>
          <w:tcPr>
            <w:tcW w:w="3456" w:type="dxa"/>
            <w:tcBorders>
              <w:top w:val="single" w:sz="4" w:space="0" w:color="D9E2F3"/>
              <w:left w:val="single" w:sz="4" w:space="0" w:color="D9E2F3"/>
              <w:bottom w:val="single" w:sz="4" w:space="0" w:color="D9E2F3"/>
              <w:right w:val="single" w:sz="4" w:space="0" w:color="D9E2F3"/>
            </w:tcBorders>
            <w:vAlign w:val="center"/>
          </w:tcPr>
          <w:p w14:paraId="3921A110" w14:textId="77777777" w:rsidR="00D0233D" w:rsidRDefault="00000000">
            <w:r>
              <w:rPr>
                <w:sz w:val="16"/>
              </w:rPr>
              <w:t>Long average wait time</w:t>
            </w:r>
          </w:p>
        </w:tc>
        <w:tc>
          <w:tcPr>
            <w:tcW w:w="6624" w:type="dxa"/>
            <w:tcBorders>
              <w:top w:val="single" w:sz="4" w:space="0" w:color="D9E2F3"/>
              <w:left w:val="single" w:sz="4" w:space="0" w:color="D9E2F3"/>
              <w:bottom w:val="single" w:sz="4" w:space="0" w:color="D9E2F3"/>
              <w:right w:val="single" w:sz="4" w:space="0" w:color="D9E2F3"/>
            </w:tcBorders>
            <w:vAlign w:val="center"/>
          </w:tcPr>
          <w:p w14:paraId="5A2CB515" w14:textId="77777777" w:rsidR="00D0233D" w:rsidRDefault="00000000">
            <w:r>
              <w:rPr>
                <w:sz w:val="16"/>
              </w:rPr>
              <w:t>Patient flow may be delayed due to staffing limits, room availability, or scheduling concentration.</w:t>
            </w:r>
          </w:p>
        </w:tc>
      </w:tr>
      <w:tr w:rsidR="00D0233D" w14:paraId="31AC9A28" w14:textId="77777777">
        <w:trPr>
          <w:jc w:val="center"/>
        </w:trPr>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C0D300A" w14:textId="77777777" w:rsidR="00D0233D" w:rsidRDefault="00000000">
            <w:r>
              <w:rPr>
                <w:sz w:val="16"/>
              </w:rPr>
              <w:t>High follow-up demand</w:t>
            </w:r>
          </w:p>
        </w:tc>
        <w:tc>
          <w:tcPr>
            <w:tcW w:w="662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10F8BE63" w14:textId="77777777" w:rsidR="00D0233D" w:rsidRDefault="00000000">
            <w:r>
              <w:rPr>
                <w:sz w:val="16"/>
              </w:rPr>
              <w:t>The department may need structured follow-up capacity and clearer patient communication.</w:t>
            </w:r>
          </w:p>
        </w:tc>
      </w:tr>
      <w:tr w:rsidR="00D0233D" w14:paraId="7C601DCD" w14:textId="77777777">
        <w:trPr>
          <w:jc w:val="center"/>
        </w:trPr>
        <w:tc>
          <w:tcPr>
            <w:tcW w:w="3456" w:type="dxa"/>
            <w:tcBorders>
              <w:top w:val="single" w:sz="4" w:space="0" w:color="D9E2F3"/>
              <w:left w:val="single" w:sz="4" w:space="0" w:color="D9E2F3"/>
              <w:bottom w:val="single" w:sz="4" w:space="0" w:color="D9E2F3"/>
              <w:right w:val="single" w:sz="4" w:space="0" w:color="D9E2F3"/>
            </w:tcBorders>
            <w:vAlign w:val="center"/>
          </w:tcPr>
          <w:p w14:paraId="45A2C13B" w14:textId="77777777" w:rsidR="00D0233D" w:rsidRDefault="00000000">
            <w:r>
              <w:rPr>
                <w:sz w:val="16"/>
              </w:rPr>
              <w:t>Uneven provider workload</w:t>
            </w:r>
          </w:p>
        </w:tc>
        <w:tc>
          <w:tcPr>
            <w:tcW w:w="6624" w:type="dxa"/>
            <w:tcBorders>
              <w:top w:val="single" w:sz="4" w:space="0" w:color="D9E2F3"/>
              <w:left w:val="single" w:sz="4" w:space="0" w:color="D9E2F3"/>
              <w:bottom w:val="single" w:sz="4" w:space="0" w:color="D9E2F3"/>
              <w:right w:val="single" w:sz="4" w:space="0" w:color="D9E2F3"/>
            </w:tcBorders>
            <w:vAlign w:val="center"/>
          </w:tcPr>
          <w:p w14:paraId="0FDBBFF7" w14:textId="77777777" w:rsidR="00D0233D" w:rsidRDefault="00000000">
            <w:r>
              <w:rPr>
                <w:sz w:val="16"/>
              </w:rPr>
              <w:t>Appointments may need to be distributed more evenly to reduce bottlenecks.</w:t>
            </w:r>
          </w:p>
        </w:tc>
      </w:tr>
      <w:tr w:rsidR="00D0233D" w14:paraId="0C8AF01D" w14:textId="77777777">
        <w:trPr>
          <w:jc w:val="center"/>
        </w:trPr>
        <w:tc>
          <w:tcPr>
            <w:tcW w:w="3456"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0E642EB9" w14:textId="77777777" w:rsidR="00D0233D" w:rsidRDefault="00000000">
            <w:r>
              <w:rPr>
                <w:sz w:val="16"/>
              </w:rPr>
              <w:t>Outcome categories showing concern</w:t>
            </w:r>
          </w:p>
        </w:tc>
        <w:tc>
          <w:tcPr>
            <w:tcW w:w="6624"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34611C64" w14:textId="77777777" w:rsidR="00D0233D" w:rsidRDefault="00000000">
            <w:r>
              <w:rPr>
                <w:sz w:val="16"/>
              </w:rPr>
              <w:t>Cases marked as referred, readmitted, or follow-up needed should be reviewed for service improvement opportunities.</w:t>
            </w:r>
          </w:p>
        </w:tc>
      </w:tr>
    </w:tbl>
    <w:p w14:paraId="492A3C76" w14:textId="77777777" w:rsidR="00D0233D" w:rsidRDefault="00D0233D"/>
    <w:p w14:paraId="745E4FFC" w14:textId="77777777" w:rsidR="00D0233D" w:rsidRDefault="00000000">
      <w:pPr>
        <w:pStyle w:val="Heading1"/>
        <w:spacing w:before="240" w:after="120"/>
      </w:pPr>
      <w:r>
        <w:rPr>
          <w:rFonts w:ascii="Aptos Display" w:hAnsi="Aptos Display"/>
          <w:color w:val="1F4E79"/>
        </w:rPr>
        <w:t>10. Decision-Making Recommendations</w:t>
      </w:r>
    </w:p>
    <w:p w14:paraId="612F5D92" w14:textId="77777777" w:rsidR="00D0233D" w:rsidRDefault="00000000">
      <w:pPr>
        <w:pStyle w:val="ListBullet"/>
        <w:spacing w:after="40"/>
      </w:pPr>
      <w:r>
        <w:rPr>
          <w:sz w:val="20"/>
        </w:rPr>
        <w:t>Use monthly visit volume trends to adjust staffing and appointment capacity during peak periods.</w:t>
      </w:r>
    </w:p>
    <w:p w14:paraId="7125A0F3" w14:textId="77777777" w:rsidR="00D0233D" w:rsidRDefault="00000000">
      <w:pPr>
        <w:pStyle w:val="ListBullet"/>
        <w:spacing w:after="40"/>
      </w:pPr>
      <w:r>
        <w:rPr>
          <w:sz w:val="20"/>
        </w:rPr>
        <w:t>Review departments with high no show rates and strengthen reminder communication or confirmation steps.</w:t>
      </w:r>
    </w:p>
    <w:p w14:paraId="4B9C6E3B" w14:textId="77777777" w:rsidR="00D0233D" w:rsidRDefault="00000000">
      <w:pPr>
        <w:pStyle w:val="ListBullet"/>
        <w:spacing w:after="40"/>
      </w:pPr>
      <w:r>
        <w:rPr>
          <w:sz w:val="20"/>
        </w:rPr>
        <w:t>Monitor departments with long average wait times and review patient flow from arrival to provider review.</w:t>
      </w:r>
    </w:p>
    <w:p w14:paraId="4B3DB343" w14:textId="77777777" w:rsidR="00D0233D" w:rsidRDefault="00000000">
      <w:pPr>
        <w:pStyle w:val="ListBullet"/>
        <w:spacing w:after="40"/>
      </w:pPr>
      <w:r>
        <w:rPr>
          <w:sz w:val="20"/>
        </w:rPr>
        <w:t>Use follow-up analysis to reserve appointment slots for patients who require continuing care.</w:t>
      </w:r>
    </w:p>
    <w:p w14:paraId="1912E569" w14:textId="77777777" w:rsidR="00D0233D" w:rsidRDefault="00000000">
      <w:pPr>
        <w:pStyle w:val="ListBullet"/>
        <w:spacing w:after="40"/>
      </w:pPr>
      <w:r>
        <w:rPr>
          <w:sz w:val="20"/>
        </w:rPr>
        <w:t>Compare provider utilization to balance workloads and reduce scheduling pressure on individual providers.</w:t>
      </w:r>
    </w:p>
    <w:p w14:paraId="04F7BF58" w14:textId="77777777" w:rsidR="00D0233D" w:rsidRDefault="00000000">
      <w:pPr>
        <w:pStyle w:val="ListBullet"/>
        <w:spacing w:after="40"/>
      </w:pPr>
      <w:r>
        <w:rPr>
          <w:sz w:val="20"/>
        </w:rPr>
        <w:lastRenderedPageBreak/>
        <w:t>Use outcome patterns to identify departments that may benefit from additional process review, patient education, or referral coordination.</w:t>
      </w:r>
    </w:p>
    <w:p w14:paraId="2F745069" w14:textId="77777777" w:rsidR="00D0233D" w:rsidRDefault="00000000">
      <w:pPr>
        <w:pStyle w:val="ListBullet"/>
        <w:spacing w:after="40"/>
      </w:pPr>
      <w:r>
        <w:rPr>
          <w:sz w:val="20"/>
        </w:rPr>
        <w:t>Refresh the PivotTables after every new data update so the dashboard remains accurate and decision-ready.</w:t>
      </w:r>
    </w:p>
    <w:p w14:paraId="1C3DA3E3" w14:textId="77777777" w:rsidR="00D0233D" w:rsidRDefault="00000000">
      <w:pPr>
        <w:pStyle w:val="Heading1"/>
        <w:spacing w:before="240" w:after="120"/>
      </w:pPr>
      <w:r>
        <w:rPr>
          <w:rFonts w:ascii="Aptos Display" w:hAnsi="Aptos Display"/>
          <w:color w:val="1F4E79"/>
        </w:rPr>
        <w:t>11. Evaluation Metrics</w:t>
      </w:r>
    </w:p>
    <w:tbl>
      <w:tblPr>
        <w:tblStyle w:val="TableGrid"/>
        <w:tblW w:w="0" w:type="auto"/>
        <w:jc w:val="center"/>
        <w:tblLook w:val="04A0" w:firstRow="1" w:lastRow="0" w:firstColumn="1" w:lastColumn="0" w:noHBand="0" w:noVBand="1"/>
      </w:tblPr>
      <w:tblGrid>
        <w:gridCol w:w="2592"/>
        <w:gridCol w:w="4320"/>
        <w:gridCol w:w="3168"/>
      </w:tblGrid>
      <w:tr w:rsidR="00D0233D" w14:paraId="2059A71A"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03C509D8" w14:textId="77777777" w:rsidR="00D0233D" w:rsidRDefault="00000000">
            <w:r>
              <w:rPr>
                <w:b/>
                <w:color w:val="FFFFFF"/>
                <w:sz w:val="16"/>
              </w:rPr>
              <w:t>Metric</w:t>
            </w:r>
          </w:p>
        </w:tc>
        <w:tc>
          <w:tcPr>
            <w:tcW w:w="4320"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91756CC" w14:textId="77777777" w:rsidR="00D0233D" w:rsidRDefault="00000000">
            <w:r>
              <w:rPr>
                <w:b/>
                <w:color w:val="FFFFFF"/>
                <w:sz w:val="16"/>
              </w:rPr>
              <w:t>Definition</w:t>
            </w:r>
          </w:p>
        </w:tc>
        <w:tc>
          <w:tcPr>
            <w:tcW w:w="3168"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4F6993D8" w14:textId="77777777" w:rsidR="00D0233D" w:rsidRDefault="00000000">
            <w:r>
              <w:rPr>
                <w:b/>
                <w:color w:val="FFFFFF"/>
                <w:sz w:val="16"/>
              </w:rPr>
              <w:t>Target or Review Standard</w:t>
            </w:r>
          </w:p>
        </w:tc>
      </w:tr>
      <w:tr w:rsidR="00D0233D" w14:paraId="434FA592" w14:textId="77777777">
        <w:trPr>
          <w:jc w:val="center"/>
        </w:trPr>
        <w:tc>
          <w:tcPr>
            <w:tcW w:w="2592" w:type="dxa"/>
            <w:tcBorders>
              <w:top w:val="single" w:sz="4" w:space="0" w:color="D9E2F3"/>
              <w:left w:val="single" w:sz="4" w:space="0" w:color="D9E2F3"/>
              <w:bottom w:val="single" w:sz="4" w:space="0" w:color="D9E2F3"/>
              <w:right w:val="single" w:sz="4" w:space="0" w:color="D9E2F3"/>
            </w:tcBorders>
            <w:vAlign w:val="center"/>
          </w:tcPr>
          <w:p w14:paraId="2A6C5DEC" w14:textId="77777777" w:rsidR="00D0233D" w:rsidRDefault="00000000">
            <w:r>
              <w:rPr>
                <w:sz w:val="16"/>
              </w:rPr>
              <w:t>PivotTable accuracy</w:t>
            </w:r>
          </w:p>
        </w:tc>
        <w:tc>
          <w:tcPr>
            <w:tcW w:w="4320" w:type="dxa"/>
            <w:tcBorders>
              <w:top w:val="single" w:sz="4" w:space="0" w:color="D9E2F3"/>
              <w:left w:val="single" w:sz="4" w:space="0" w:color="D9E2F3"/>
              <w:bottom w:val="single" w:sz="4" w:space="0" w:color="D9E2F3"/>
              <w:right w:val="single" w:sz="4" w:space="0" w:color="D9E2F3"/>
            </w:tcBorders>
            <w:vAlign w:val="center"/>
          </w:tcPr>
          <w:p w14:paraId="1A5BF988" w14:textId="77777777" w:rsidR="00D0233D" w:rsidRDefault="00000000">
            <w:r>
              <w:rPr>
                <w:sz w:val="16"/>
              </w:rPr>
              <w:t>Values match the cleaned source table totals.</w:t>
            </w:r>
          </w:p>
        </w:tc>
        <w:tc>
          <w:tcPr>
            <w:tcW w:w="3168" w:type="dxa"/>
            <w:tcBorders>
              <w:top w:val="single" w:sz="4" w:space="0" w:color="D9E2F3"/>
              <w:left w:val="single" w:sz="4" w:space="0" w:color="D9E2F3"/>
              <w:bottom w:val="single" w:sz="4" w:space="0" w:color="D9E2F3"/>
              <w:right w:val="single" w:sz="4" w:space="0" w:color="D9E2F3"/>
            </w:tcBorders>
            <w:vAlign w:val="center"/>
          </w:tcPr>
          <w:p w14:paraId="5580A53B" w14:textId="77777777" w:rsidR="00D0233D" w:rsidRDefault="00000000">
            <w:r>
              <w:rPr>
                <w:sz w:val="16"/>
              </w:rPr>
              <w:t>100% match after refresh</w:t>
            </w:r>
          </w:p>
        </w:tc>
      </w:tr>
      <w:tr w:rsidR="00D0233D" w14:paraId="3E06F815"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618FA369" w14:textId="77777777" w:rsidR="00D0233D" w:rsidRDefault="00000000">
            <w:r>
              <w:rPr>
                <w:sz w:val="16"/>
              </w:rPr>
              <w:t>Data refresh success</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E7CD706" w14:textId="77777777" w:rsidR="00D0233D" w:rsidRDefault="00000000">
            <w:r>
              <w:rPr>
                <w:sz w:val="16"/>
              </w:rPr>
              <w:t>All PivotTables and PivotCharts update without broken links.</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651DFE3" w14:textId="77777777" w:rsidR="00D0233D" w:rsidRDefault="00000000">
            <w:r>
              <w:rPr>
                <w:sz w:val="16"/>
              </w:rPr>
              <w:t>100% refresh success</w:t>
            </w:r>
          </w:p>
        </w:tc>
      </w:tr>
      <w:tr w:rsidR="00D0233D" w14:paraId="0BA4B1C2" w14:textId="77777777">
        <w:trPr>
          <w:jc w:val="center"/>
        </w:trPr>
        <w:tc>
          <w:tcPr>
            <w:tcW w:w="2592" w:type="dxa"/>
            <w:tcBorders>
              <w:top w:val="single" w:sz="4" w:space="0" w:color="D9E2F3"/>
              <w:left w:val="single" w:sz="4" w:space="0" w:color="D9E2F3"/>
              <w:bottom w:val="single" w:sz="4" w:space="0" w:color="D9E2F3"/>
              <w:right w:val="single" w:sz="4" w:space="0" w:color="D9E2F3"/>
            </w:tcBorders>
            <w:vAlign w:val="center"/>
          </w:tcPr>
          <w:p w14:paraId="2C6817C5" w14:textId="77777777" w:rsidR="00D0233D" w:rsidRDefault="00000000">
            <w:r>
              <w:rPr>
                <w:sz w:val="16"/>
              </w:rPr>
              <w:t>No show rate monitoring</w:t>
            </w:r>
          </w:p>
        </w:tc>
        <w:tc>
          <w:tcPr>
            <w:tcW w:w="4320" w:type="dxa"/>
            <w:tcBorders>
              <w:top w:val="single" w:sz="4" w:space="0" w:color="D9E2F3"/>
              <w:left w:val="single" w:sz="4" w:space="0" w:color="D9E2F3"/>
              <w:bottom w:val="single" w:sz="4" w:space="0" w:color="D9E2F3"/>
              <w:right w:val="single" w:sz="4" w:space="0" w:color="D9E2F3"/>
            </w:tcBorders>
            <w:vAlign w:val="center"/>
          </w:tcPr>
          <w:p w14:paraId="3064A7C0" w14:textId="77777777" w:rsidR="00D0233D" w:rsidRDefault="00000000">
            <w:r>
              <w:rPr>
                <w:sz w:val="16"/>
              </w:rPr>
              <w:t>No show rate is calculated by department and month.</w:t>
            </w:r>
          </w:p>
        </w:tc>
        <w:tc>
          <w:tcPr>
            <w:tcW w:w="3168" w:type="dxa"/>
            <w:tcBorders>
              <w:top w:val="single" w:sz="4" w:space="0" w:color="D9E2F3"/>
              <w:left w:val="single" w:sz="4" w:space="0" w:color="D9E2F3"/>
              <w:bottom w:val="single" w:sz="4" w:space="0" w:color="D9E2F3"/>
              <w:right w:val="single" w:sz="4" w:space="0" w:color="D9E2F3"/>
            </w:tcBorders>
            <w:vAlign w:val="center"/>
          </w:tcPr>
          <w:p w14:paraId="208439A8" w14:textId="77777777" w:rsidR="00D0233D" w:rsidRDefault="00000000">
            <w:r>
              <w:rPr>
                <w:sz w:val="16"/>
              </w:rPr>
              <w:t>Reviewed monthly</w:t>
            </w:r>
          </w:p>
        </w:tc>
      </w:tr>
      <w:tr w:rsidR="00D0233D" w14:paraId="3DF6D604"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48441D24" w14:textId="77777777" w:rsidR="00D0233D" w:rsidRDefault="00000000">
            <w:r>
              <w:rPr>
                <w:sz w:val="16"/>
              </w:rPr>
              <w:t>Wait time monitoring</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81EDAB9" w14:textId="77777777" w:rsidR="00D0233D" w:rsidRDefault="00000000">
            <w:r>
              <w:rPr>
                <w:sz w:val="16"/>
              </w:rPr>
              <w:t>Average wait time is tracked by department and month.</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52B9D395" w14:textId="77777777" w:rsidR="00D0233D" w:rsidRDefault="00000000">
            <w:r>
              <w:rPr>
                <w:sz w:val="16"/>
              </w:rPr>
              <w:t>Reviewed monthly</w:t>
            </w:r>
          </w:p>
        </w:tc>
      </w:tr>
      <w:tr w:rsidR="00D0233D" w14:paraId="3E53BC7C" w14:textId="77777777">
        <w:trPr>
          <w:jc w:val="center"/>
        </w:trPr>
        <w:tc>
          <w:tcPr>
            <w:tcW w:w="2592" w:type="dxa"/>
            <w:tcBorders>
              <w:top w:val="single" w:sz="4" w:space="0" w:color="D9E2F3"/>
              <w:left w:val="single" w:sz="4" w:space="0" w:color="D9E2F3"/>
              <w:bottom w:val="single" w:sz="4" w:space="0" w:color="D9E2F3"/>
              <w:right w:val="single" w:sz="4" w:space="0" w:color="D9E2F3"/>
            </w:tcBorders>
            <w:vAlign w:val="center"/>
          </w:tcPr>
          <w:p w14:paraId="417D3DF5" w14:textId="77777777" w:rsidR="00D0233D" w:rsidRDefault="00000000">
            <w:r>
              <w:rPr>
                <w:sz w:val="16"/>
              </w:rPr>
              <w:t>Follow-up visibility</w:t>
            </w:r>
          </w:p>
        </w:tc>
        <w:tc>
          <w:tcPr>
            <w:tcW w:w="4320" w:type="dxa"/>
            <w:tcBorders>
              <w:top w:val="single" w:sz="4" w:space="0" w:color="D9E2F3"/>
              <w:left w:val="single" w:sz="4" w:space="0" w:color="D9E2F3"/>
              <w:bottom w:val="single" w:sz="4" w:space="0" w:color="D9E2F3"/>
              <w:right w:val="single" w:sz="4" w:space="0" w:color="D9E2F3"/>
            </w:tcBorders>
            <w:vAlign w:val="center"/>
          </w:tcPr>
          <w:p w14:paraId="7CBEA60F" w14:textId="77777777" w:rsidR="00D0233D" w:rsidRDefault="00000000">
            <w:r>
              <w:rPr>
                <w:sz w:val="16"/>
              </w:rPr>
              <w:t>Follow-up demand is summarized by department.</w:t>
            </w:r>
          </w:p>
        </w:tc>
        <w:tc>
          <w:tcPr>
            <w:tcW w:w="3168" w:type="dxa"/>
            <w:tcBorders>
              <w:top w:val="single" w:sz="4" w:space="0" w:color="D9E2F3"/>
              <w:left w:val="single" w:sz="4" w:space="0" w:color="D9E2F3"/>
              <w:bottom w:val="single" w:sz="4" w:space="0" w:color="D9E2F3"/>
              <w:right w:val="single" w:sz="4" w:space="0" w:color="D9E2F3"/>
            </w:tcBorders>
            <w:vAlign w:val="center"/>
          </w:tcPr>
          <w:p w14:paraId="38F58749" w14:textId="77777777" w:rsidR="00D0233D" w:rsidRDefault="00000000">
            <w:r>
              <w:rPr>
                <w:sz w:val="16"/>
              </w:rPr>
              <w:t>Reported for every review period</w:t>
            </w:r>
          </w:p>
        </w:tc>
      </w:tr>
      <w:tr w:rsidR="00D0233D" w14:paraId="1E86344E"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D72A708" w14:textId="77777777" w:rsidR="00D0233D" w:rsidRDefault="00000000">
            <w:r>
              <w:rPr>
                <w:sz w:val="16"/>
              </w:rPr>
              <w:t>Provider workload review</w:t>
            </w:r>
          </w:p>
        </w:tc>
        <w:tc>
          <w:tcPr>
            <w:tcW w:w="4320"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227EAA69" w14:textId="77777777" w:rsidR="00D0233D" w:rsidRDefault="00000000">
            <w:r>
              <w:rPr>
                <w:sz w:val="16"/>
              </w:rPr>
              <w:t>Provider volume and capacity are compared.</w:t>
            </w:r>
          </w:p>
        </w:tc>
        <w:tc>
          <w:tcPr>
            <w:tcW w:w="3168" w:type="dxa"/>
            <w:tcBorders>
              <w:top w:val="single" w:sz="4" w:space="0" w:color="D9E2F3"/>
              <w:left w:val="single" w:sz="4" w:space="0" w:color="D9E2F3"/>
              <w:bottom w:val="single" w:sz="4" w:space="0" w:color="D9E2F3"/>
              <w:right w:val="single" w:sz="4" w:space="0" w:color="D9E2F3"/>
            </w:tcBorders>
            <w:shd w:val="clear" w:color="auto" w:fill="F8FBFD"/>
            <w:vAlign w:val="center"/>
          </w:tcPr>
          <w:p w14:paraId="705C4313" w14:textId="77777777" w:rsidR="00D0233D" w:rsidRDefault="00000000">
            <w:r>
              <w:rPr>
                <w:sz w:val="16"/>
              </w:rPr>
              <w:t>Reviewed before scheduling changes</w:t>
            </w:r>
          </w:p>
        </w:tc>
      </w:tr>
      <w:tr w:rsidR="00D0233D" w14:paraId="1897DE9C" w14:textId="77777777">
        <w:trPr>
          <w:jc w:val="center"/>
        </w:trPr>
        <w:tc>
          <w:tcPr>
            <w:tcW w:w="2592" w:type="dxa"/>
            <w:tcBorders>
              <w:top w:val="single" w:sz="4" w:space="0" w:color="D9E2F3"/>
              <w:left w:val="single" w:sz="4" w:space="0" w:color="D9E2F3"/>
              <w:bottom w:val="single" w:sz="4" w:space="0" w:color="D9E2F3"/>
              <w:right w:val="single" w:sz="4" w:space="0" w:color="D9E2F3"/>
            </w:tcBorders>
            <w:vAlign w:val="center"/>
          </w:tcPr>
          <w:p w14:paraId="1D914651" w14:textId="77777777" w:rsidR="00D0233D" w:rsidRDefault="00000000">
            <w:r>
              <w:rPr>
                <w:sz w:val="16"/>
              </w:rPr>
              <w:t>Dashboard usability</w:t>
            </w:r>
          </w:p>
        </w:tc>
        <w:tc>
          <w:tcPr>
            <w:tcW w:w="4320" w:type="dxa"/>
            <w:tcBorders>
              <w:top w:val="single" w:sz="4" w:space="0" w:color="D9E2F3"/>
              <w:left w:val="single" w:sz="4" w:space="0" w:color="D9E2F3"/>
              <w:bottom w:val="single" w:sz="4" w:space="0" w:color="D9E2F3"/>
              <w:right w:val="single" w:sz="4" w:space="0" w:color="D9E2F3"/>
            </w:tcBorders>
            <w:vAlign w:val="center"/>
          </w:tcPr>
          <w:p w14:paraId="69434AD2" w14:textId="77777777" w:rsidR="00D0233D" w:rsidRDefault="00000000">
            <w:r>
              <w:rPr>
                <w:sz w:val="16"/>
              </w:rPr>
              <w:t>Slicers and charts allow quick filtering and interpretation.</w:t>
            </w:r>
          </w:p>
        </w:tc>
        <w:tc>
          <w:tcPr>
            <w:tcW w:w="3168" w:type="dxa"/>
            <w:tcBorders>
              <w:top w:val="single" w:sz="4" w:space="0" w:color="D9E2F3"/>
              <w:left w:val="single" w:sz="4" w:space="0" w:color="D9E2F3"/>
              <w:bottom w:val="single" w:sz="4" w:space="0" w:color="D9E2F3"/>
              <w:right w:val="single" w:sz="4" w:space="0" w:color="D9E2F3"/>
            </w:tcBorders>
            <w:vAlign w:val="center"/>
          </w:tcPr>
          <w:p w14:paraId="559A395F" w14:textId="77777777" w:rsidR="00D0233D" w:rsidRDefault="00000000">
            <w:r>
              <w:rPr>
                <w:sz w:val="16"/>
              </w:rPr>
              <w:t>Ready for management review</w:t>
            </w:r>
          </w:p>
        </w:tc>
      </w:tr>
    </w:tbl>
    <w:p w14:paraId="1543CC22" w14:textId="77777777" w:rsidR="00D0233D" w:rsidRDefault="00D0233D"/>
    <w:p w14:paraId="64FAF670" w14:textId="77777777" w:rsidR="00D0233D" w:rsidRDefault="00000000">
      <w:pPr>
        <w:pStyle w:val="Heading1"/>
        <w:spacing w:before="240" w:after="120"/>
      </w:pPr>
      <w:r>
        <w:rPr>
          <w:rFonts w:ascii="Aptos Display" w:hAnsi="Aptos Display"/>
          <w:color w:val="1F4E79"/>
        </w:rPr>
        <w:t>12. Documentation and Reporting Approach</w:t>
      </w:r>
    </w:p>
    <w:p w14:paraId="0ACD0879" w14:textId="77777777" w:rsidR="00D0233D" w:rsidRDefault="00000000">
      <w:pPr>
        <w:spacing w:after="120" w:line="259" w:lineRule="auto"/>
      </w:pPr>
      <w:r>
        <w:t>The completed analysis will be documented in a structured Excel workbook with clearly named sheets for cleaned data, PivotTables, calculations, and dashboards. Each PivotTable will include a short explanation describing the business question, the fields used, and the interpretation of the results. A summary section will list the main findings, operational risks, and recommended actions. This documentation will make the analysis easier to review, repeat, and maintain over time.</w:t>
      </w:r>
    </w:p>
    <w:p w14:paraId="76CABF01" w14:textId="77777777" w:rsidR="00D0233D" w:rsidRDefault="00000000">
      <w:pPr>
        <w:spacing w:after="120" w:line="259" w:lineRule="auto"/>
      </w:pPr>
      <w:r>
        <w:t>To keep the reporting process consistent, the workbook should include a refresh note, source update date, and any assumptions made during the analysis. If new fields are added later, the data dictionary should be updated before the PivotTables are refreshed. This ensures that the analysis remains transparent and reliable.</w:t>
      </w:r>
    </w:p>
    <w:p w14:paraId="5B0E7A47" w14:textId="77777777" w:rsidR="00D0233D" w:rsidRDefault="00000000">
      <w:pPr>
        <w:pStyle w:val="Heading1"/>
        <w:spacing w:before="240" w:after="120"/>
      </w:pPr>
      <w:r>
        <w:rPr>
          <w:rFonts w:ascii="Aptos Display" w:hAnsi="Aptos Display"/>
          <w:color w:val="1F4E79"/>
        </w:rPr>
        <w:t>13. Conclusion</w:t>
      </w:r>
    </w:p>
    <w:p w14:paraId="5575EBCE" w14:textId="77777777" w:rsidR="00D0233D" w:rsidRDefault="00000000">
      <w:pPr>
        <w:spacing w:after="120" w:line="259" w:lineRule="auto"/>
      </w:pPr>
      <w:r>
        <w:t>This strategy explains how Excel PivotTables can be used to turn healthcare operations data into meaningful insights. By analyzing patient visit frequency, appointment status, treatment outcomes, wait times, provider utilization, and follow-up demand, the healthcare operations team can identify trends that support better scheduling, staffing, service quality, and patient flow decisions.</w:t>
      </w:r>
    </w:p>
    <w:p w14:paraId="27E41AE6" w14:textId="77777777" w:rsidR="00D0233D" w:rsidRDefault="00000000">
      <w:pPr>
        <w:spacing w:after="120" w:line="259" w:lineRule="auto"/>
      </w:pPr>
      <w:r>
        <w:t>The use of PivotTables, slicers, calculated fields, GETPIVOTDATA, PivotCharts, Conditional Formatting, and structured Excel Tables provides a practical and repeatable method for healthcare data analysis. The approach supports accurate summaries, clear interpretation, and decision-ready reporting for operational improvement.</w:t>
      </w:r>
    </w:p>
    <w:sectPr w:rsidR="00D0233D"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C731F" w14:textId="77777777" w:rsidR="00472022" w:rsidRDefault="00472022">
      <w:pPr>
        <w:spacing w:after="0" w:line="240" w:lineRule="auto"/>
      </w:pPr>
      <w:r>
        <w:separator/>
      </w:r>
    </w:p>
  </w:endnote>
  <w:endnote w:type="continuationSeparator" w:id="0">
    <w:p w14:paraId="600C9536" w14:textId="77777777" w:rsidR="00472022" w:rsidRDefault="00472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3041" w14:textId="77777777" w:rsidR="00D0233D" w:rsidRDefault="00000000">
    <w:pPr>
      <w:pStyle w:val="Footer"/>
      <w:jc w:val="right"/>
    </w:pPr>
    <w:r>
      <w:rPr>
        <w:color w:val="595959"/>
        <w:sz w:val="18"/>
      </w:rPr>
      <w:t xml:space="preserve">Prepared for Week 3 Task | Page </w:t>
    </w:r>
    <w:r>
      <w:fldChar w:fldCharType="begin"/>
    </w:r>
    <w:r>
      <w:instrText>PAGE</w:instrText>
    </w:r>
    <w:r w:rsidR="00141279">
      <w:fldChar w:fldCharType="separate"/>
    </w:r>
    <w:r w:rsidR="001412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95620" w14:textId="77777777" w:rsidR="00472022" w:rsidRDefault="00472022">
      <w:pPr>
        <w:spacing w:after="0" w:line="240" w:lineRule="auto"/>
      </w:pPr>
      <w:r>
        <w:separator/>
      </w:r>
    </w:p>
  </w:footnote>
  <w:footnote w:type="continuationSeparator" w:id="0">
    <w:p w14:paraId="4B470E97" w14:textId="77777777" w:rsidR="00472022" w:rsidRDefault="00472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5147" w14:textId="77777777" w:rsidR="00D0233D" w:rsidRDefault="00000000">
    <w:pPr>
      <w:pStyle w:val="Header"/>
    </w:pPr>
    <w:r>
      <w:rPr>
        <w:color w:val="595959"/>
        <w:sz w:val="18"/>
      </w:rPr>
      <w:t>Healthcare Operations Data Analysis and PivotTable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741905">
    <w:abstractNumId w:val="8"/>
  </w:num>
  <w:num w:numId="2" w16cid:durableId="2119106565">
    <w:abstractNumId w:val="6"/>
  </w:num>
  <w:num w:numId="3" w16cid:durableId="2143426767">
    <w:abstractNumId w:val="5"/>
  </w:num>
  <w:num w:numId="4" w16cid:durableId="435759964">
    <w:abstractNumId w:val="4"/>
  </w:num>
  <w:num w:numId="5" w16cid:durableId="1197698140">
    <w:abstractNumId w:val="7"/>
  </w:num>
  <w:num w:numId="6" w16cid:durableId="933704165">
    <w:abstractNumId w:val="3"/>
  </w:num>
  <w:num w:numId="7" w16cid:durableId="1753964213">
    <w:abstractNumId w:val="2"/>
  </w:num>
  <w:num w:numId="8" w16cid:durableId="28378031">
    <w:abstractNumId w:val="1"/>
  </w:num>
  <w:num w:numId="9" w16cid:durableId="152012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279"/>
    <w:rsid w:val="0015074B"/>
    <w:rsid w:val="0029639D"/>
    <w:rsid w:val="00326F90"/>
    <w:rsid w:val="00440957"/>
    <w:rsid w:val="00472022"/>
    <w:rsid w:val="00AA1D8D"/>
    <w:rsid w:val="00B47730"/>
    <w:rsid w:val="00CB0664"/>
    <w:rsid w:val="00D023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DDD2F"/>
  <w14:defaultImageDpi w14:val="300"/>
  <w15:docId w15:val="{149EC1EB-6918-49B1-A6F7-0E38F9BE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1914</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Operations Data Analysis and PivotTable Strategy Using Excel</dc:title>
  <dc:subject>Week 3 Data Analysis and Pivot Table Creation</dc:subject>
  <dc:creator>Shaghayegh Haghbin</dc:creator>
  <cp:keywords>Healthcare operations, Excel, PivotTables, data analysis</cp:keywords>
  <dc:description/>
  <cp:lastModifiedBy>Sherry Haghbin</cp:lastModifiedBy>
  <cp:revision>2</cp:revision>
  <dcterms:created xsi:type="dcterms:W3CDTF">2013-12-23T23:15:00Z</dcterms:created>
  <dcterms:modified xsi:type="dcterms:W3CDTF">2026-06-12T07:43:00Z</dcterms:modified>
  <cp:category/>
</cp:coreProperties>
</file>