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302"/>
      </w:tblGrid>
      <w:tr>
        <w:trPr>
          <w:trHeight w:hRule="exact" w:val="14844"/>
        </w:trPr>
        <w:tc>
          <w:tcPr>
            <w:tcW w:type="dxa" w:w="11264"/>
            <w:tcBorders>
              <w:start w:sz="8.0" w:val="single" w:color="#4F81BC"/>
              <w:top w:sz="8.0" w:val="single" w:color="#4F81BC"/>
              <w:end w:sz="7.199999999999818" w:val="single" w:color="#4F81BC"/>
              <w:bottom w:sz="7.199999999999818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411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17365D"/>
                <w:sz w:val="52"/>
              </w:rPr>
              <w:t xml:space="preserve">D-Converter </w:t>
            </w:r>
          </w:p>
          <w:p>
            <w:pPr>
              <w:autoSpaceDN w:val="0"/>
              <w:tabs>
                <w:tab w:pos="3674" w:val="left"/>
                <w:tab w:pos="5074" w:val="left"/>
              </w:tabs>
              <w:autoSpaceDE w:val="0"/>
              <w:widowControl/>
              <w:spacing w:line="292" w:lineRule="exact" w:before="136" w:after="0"/>
              <w:ind w:left="220" w:right="144" w:firstLine="0"/>
              <w:jc w:val="left"/>
            </w:pPr>
            <w:r>
              <w:tab/>
            </w: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Abstract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Brief Overview of D-Converter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D-Converter is a cloud-based application tailored for students to easily modify their file formats. The application supports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broad range of popular file formats commonly used in academic settings, making conversions effortless. Leveraging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freely available API, D-Converter provides seamless conversion capabilities for students' convenience. D-Converter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streamlines file sharing with a direct email sending feature, eliminating the need for intermediate storage. This time-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saving aspect ensures quick and efficient file dissemination to intended recipients. With a user-friendly interface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seamless cloud server integration, D-Converter empowers students to adapt, modify, and share files securely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efficiently. The application's flexibility and additional features position it as a valuable tool for students seeking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comprehensive file management solution. </w:t>
            </w:r>
          </w:p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>Existing System</w:t>
            </w:r>
          </w:p>
          <w:p>
            <w:pPr>
              <w:autoSpaceDN w:val="0"/>
              <w:autoSpaceDE w:val="0"/>
              <w:widowControl/>
              <w:spacing w:line="292" w:lineRule="exact" w:before="26" w:after="0"/>
              <w:ind w:left="22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Existing file format modifying tools on websites often have limitations that hinder the user experience. Firstly, many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support only a limited set of file formats, restricting users from converting less common formats. Secondly, some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lack advanced features like AI-powered image quality enhancement, leading to reduced visual output after compression.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Thirdly, security concerns arise as some tools may not offer robust encryption options, compromising data privacy. </w:t>
            </w:r>
          </w:p>
          <w:p>
            <w:pPr>
              <w:autoSpaceDN w:val="0"/>
              <w:autoSpaceDE w:val="0"/>
              <w:widowControl/>
              <w:spacing w:line="290" w:lineRule="exact" w:before="4" w:after="0"/>
              <w:ind w:left="2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Furthermore, advertisements and cluttered interfaces may create a distracting user experience. Users might face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restrictions on the number of conversions, pushing them towards premium subscriptions. </w:t>
            </w:r>
          </w:p>
          <w:p>
            <w:pPr>
              <w:autoSpaceDN w:val="0"/>
              <w:autoSpaceDE w:val="0"/>
              <w:widowControl/>
              <w:spacing w:line="240" w:lineRule="auto" w:before="22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Proposed System </w:t>
            </w:r>
          </w:p>
          <w:p>
            <w:pPr>
              <w:autoSpaceDN w:val="0"/>
              <w:autoSpaceDE w:val="0"/>
              <w:widowControl/>
              <w:spacing w:line="290" w:lineRule="exact" w:before="26" w:after="0"/>
              <w:ind w:left="22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Beyond simple format conversions, D-Converter integrates advanced functionalities to enhance the overall student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experience. The application employs Artificial Intelligence to intelligently enhance image quality in JPEG, PNG,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WORD files even after compression, ensuring visually appealing outputs without compromising file size. D-Converter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streamlines file sharing with a direct email sending feature, eliminating the need for intermediate storage. This time-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saving aspect ensures quick and efficient file dissemination to intended recipients. </w:t>
            </w:r>
          </w:p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Modules </w:t>
            </w:r>
          </w:p>
          <w:p>
            <w:pPr>
              <w:autoSpaceDN w:val="0"/>
              <w:autoSpaceDE w:val="0"/>
              <w:widowControl/>
              <w:spacing w:line="290" w:lineRule="exact" w:before="26" w:after="0"/>
              <w:ind w:left="1660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Conversion and Cloud server integration  :  21001-CS-069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Enhancement and File encryption  :   21001-CS-075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File size/type management  :  21001-CS-076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Email integration and User Authentication :  21001-CS-086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Browser compatibility and Mobile support : 21001-CS-106 </w:t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Software Requirements </w:t>
            </w:r>
          </w:p>
          <w:p>
            <w:pPr>
              <w:autoSpaceDN w:val="0"/>
              <w:autoSpaceDE w:val="0"/>
              <w:widowControl/>
              <w:spacing w:line="290" w:lineRule="exact" w:before="30" w:after="0"/>
              <w:ind w:left="220" w:right="66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System: 64bit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Programming Languages: HTML, CSS, JS,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IDE: VS Code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Cloud Server: AWS/ </w:t>
            </w:r>
          </w:p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365F91"/>
                <w:sz w:val="28"/>
              </w:rPr>
              <w:t xml:space="preserve">Hardware Requirements </w:t>
            </w:r>
          </w:p>
          <w:p>
            <w:pPr>
              <w:autoSpaceDN w:val="0"/>
              <w:autoSpaceDE w:val="0"/>
              <w:widowControl/>
              <w:spacing w:line="292" w:lineRule="exact" w:before="24" w:after="0"/>
              <w:ind w:left="220" w:right="59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8GB RAM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CPU Type: Intel or AMD quad core or higher processor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Hard Disk: A minimum of 100GB HDD or SSD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