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</w:pPr>
      <w:r w:rsidRPr="00E51BF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t>Тепловой режим элементов в блоках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Для расчета теплового режима элементов, находящихся внутри блочной конст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oftHyphen/>
        <w:t>рукции, необходимыми исходными данными являются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A"/>
      </w:r>
    </w:p>
    <w:p w:rsidR="00E51BF0" w:rsidRPr="00E51BF0" w:rsidRDefault="00E51BF0" w:rsidP="00E51B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число теплопроводящих элементов N, каждый из которых (с номером 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) ха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oftHyphen/>
        <w:t xml:space="preserve">рактеризуется определяющей высотой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поверхностью охлаждения 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oi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мощностью тепловыделения 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P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площадью основания шасси 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ш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на котором располагаются элементы.</w:t>
      </w:r>
    </w:p>
    <w:p w:rsidR="00E51BF0" w:rsidRPr="00E51BF0" w:rsidRDefault="00E51BF0" w:rsidP="00E51BF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Элемент – это любой источник тепловой энергии (процессор, конденсатор и т.д.).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</w:pPr>
      <w:r w:rsidRPr="00E51BF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t>Определение основных параметров эквивалентной модели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Коэффициент заполнения блока: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</w:t>
      </w:r>
      <w:r w:rsidRPr="00E51BF0">
        <w:rPr>
          <w:rFonts w:ascii="Times New Roman" w:eastAsia="Times New Roman" w:hAnsi="Times New Roman" w:cs="Times New Roman"/>
          <w:position w:val="-28"/>
          <w:sz w:val="28"/>
          <w:szCs w:val="28"/>
          <w:lang w:val="en-US" w:eastAsia="ru-RU"/>
        </w:rPr>
        <w:object w:dxaOrig="13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9pt;height:67.9pt" o:ole="" fillcolor="window">
            <v:imagedata r:id="rId5" o:title=""/>
          </v:shape>
          <o:OLEObject Type="Embed" ProgID="Equation.3" ShapeID="_x0000_i1025" DrawAspect="Content" ObjectID="_1587821449" r:id="rId6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, 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где </w:t>
      </w:r>
      <w:r w:rsidRPr="00E51BF0">
        <w:rPr>
          <w:rFonts w:ascii="Times New Roman" w:eastAsia="Times New Roman" w:hAnsi="Times New Roman" w:cs="Times New Roman"/>
          <w:position w:val="-6"/>
          <w:sz w:val="28"/>
          <w:szCs w:val="28"/>
          <w:lang w:val="x-none" w:eastAsia="ru-RU"/>
        </w:rPr>
        <w:object w:dxaOrig="1020" w:dyaOrig="279">
          <v:shape id="_x0000_i1026" type="#_x0000_t75" style="width:83.55pt;height:22.4pt" o:ole="" fillcolor="window">
            <v:imagedata r:id="rId7" o:title=""/>
          </v:shape>
          <o:OLEObject Type="Embed" ProgID="Equation.3" ShapeID="_x0000_i1026" DrawAspect="Content" ObjectID="_1587821450" r:id="rId8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- 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V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объем 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-го элемента;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число теплопроводящих элементов.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Нагретой зоной называется та часть внутреннего пространства, в которой рас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oftHyphen/>
        <w:t>полагаются тепловыделяющие элементы.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Высота нагретой зоны (эквивалентной)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                                </w:t>
      </w:r>
      <w:r w:rsidRPr="00E51BF0">
        <w:rPr>
          <w:rFonts w:ascii="Times New Roman" w:eastAsia="Times New Roman" w:hAnsi="Times New Roman" w:cs="Times New Roman"/>
          <w:position w:val="-28"/>
          <w:sz w:val="28"/>
          <w:szCs w:val="28"/>
          <w:lang w:val="x-none" w:eastAsia="ru-RU"/>
        </w:rPr>
        <w:object w:dxaOrig="1300" w:dyaOrig="680">
          <v:shape id="_x0000_i1027" type="#_x0000_t75" style="width:119.55pt;height:62.5pt" o:ole="" fillcolor="window">
            <v:imagedata r:id="rId9" o:title=""/>
          </v:shape>
          <o:OLEObject Type="Embed" ProgID="Equation.3" ShapeID="_x0000_i1027" DrawAspect="Content" ObjectID="_1587821451" r:id="rId10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 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        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Эквивалентная поверхность охлаждения расчетной модели элемента: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                                   </w:t>
      </w:r>
      <w:r w:rsidRPr="00E51BF0">
        <w:rPr>
          <w:rFonts w:ascii="Times New Roman" w:eastAsia="Times New Roman" w:hAnsi="Times New Roman" w:cs="Times New Roman"/>
          <w:position w:val="-28"/>
          <w:sz w:val="28"/>
          <w:szCs w:val="28"/>
          <w:lang w:val="x-none" w:eastAsia="ru-RU"/>
        </w:rPr>
        <w:object w:dxaOrig="1440" w:dyaOrig="680">
          <v:shape id="_x0000_i1028" type="#_x0000_t75" style="width:126.35pt;height:59.75pt" o:ole="" fillcolor="window">
            <v:imagedata r:id="rId11" o:title=""/>
          </v:shape>
          <o:OLEObject Type="Embed" ProgID="Equation.3" ShapeID="_x0000_i1028" DrawAspect="Content" ObjectID="_1587821452" r:id="rId12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Расчетная модель элемента представляет собой 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парал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е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>ле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пипед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с выстой 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э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и квадратным основанием.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Сторона основания расчетной модели элемента:</w: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position w:val="-8"/>
          <w:sz w:val="28"/>
          <w:szCs w:val="28"/>
          <w:lang w:val="x-none" w:eastAsia="ru-RU"/>
        </w:rPr>
        <w:object w:dxaOrig="2000" w:dyaOrig="360">
          <v:shape id="_x0000_i1029" type="#_x0000_t75" style="width:195.6pt;height:35.3pt" o:ole="" fillcolor="window">
            <v:imagedata r:id="rId13" o:title=""/>
          </v:shape>
          <o:OLEObject Type="Embed" ProgID="Equation.3" ShapeID="_x0000_i1029" DrawAspect="Content" ObjectID="_1587821453" r:id="rId14"/>
        </w:objec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lastRenderedPageBreak/>
        <w:t>Величина промежутков между расчетными моделями элементов:</w: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position w:val="-26"/>
          <w:sz w:val="28"/>
          <w:szCs w:val="28"/>
          <w:lang w:val="x-none" w:eastAsia="ru-RU"/>
        </w:rPr>
        <w:object w:dxaOrig="1219" w:dyaOrig="700">
          <v:shape id="_x0000_i1030" type="#_x0000_t75" style="width:105.3pt;height:60.45pt" o:ole="" fillcolor="window">
            <v:imagedata r:id="rId15" o:title=""/>
          </v:shape>
          <o:OLEObject Type="Embed" ProgID="Equation.3" ShapeID="_x0000_i1030" DrawAspect="Content" ObjectID="_1587821454" r:id="rId16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</w: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</w:pPr>
      <w:r w:rsidRPr="00E51BF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t>Определение температурного режима блока, имеющего герметичный ко</w:t>
      </w:r>
      <w:r w:rsidRPr="00E51BF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softHyphen/>
        <w:t>рпус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При выборе герметичного корпуса для устройства необходимо учитывать ряд требований:   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u w:val="single"/>
          <w:lang w:val="x-none" w:eastAsia="ru-RU"/>
        </w:rPr>
        <w:t>Критическая величина промежутков между элементами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: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position w:val="-8"/>
          <w:sz w:val="28"/>
          <w:szCs w:val="28"/>
          <w:lang w:val="x-none" w:eastAsia="ru-RU"/>
        </w:rPr>
        <w:object w:dxaOrig="1260" w:dyaOrig="499">
          <v:shape id="_x0000_i1031" type="#_x0000_t75" style="width:133.8pt;height:53pt" o:ole="" fillcolor="window">
            <v:imagedata r:id="rId17" o:title=""/>
          </v:shape>
          <o:OLEObject Type="Embed" ProgID="Equation.3" ShapeID="_x0000_i1031" DrawAspect="Content" ObjectID="_1587821455" r:id="rId18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где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кр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 xml:space="preserve">  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величина промежутков между расчетными моделями элементов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 xml:space="preserve"> 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</w:t>
      </w:r>
      <w:proofErr w:type="gramStart"/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э</w:t>
      </w:r>
      <w:proofErr w:type="gram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высота расчетной модели элемента.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u w:val="single"/>
          <w:lang w:val="x-none" w:eastAsia="ru-RU"/>
        </w:rPr>
        <w:t>Эффективная поверхность охлаждения элемента: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u w:val="single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u w:val="single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</w:pPr>
      <w:r w:rsidRPr="00E51BF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t xml:space="preserve">Превышение температуры нагретой зоны над температурой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E51BF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t>окружающей  среды блока равно</w:t>
      </w:r>
      <w:r w:rsidRPr="00E51BF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sym w:font="Symbol" w:char="F03A"/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:rsidR="00E51BF0" w:rsidRPr="00E51BF0" w:rsidRDefault="00F20F0E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u w:val="single"/>
          <w:lang w:val="x-none" w:eastAsia="ru-RU"/>
        </w:rPr>
        <w:object w:dxaOrig="1440" w:dyaOrig="1440">
          <v:shape id="_x0000_s1026" type="#_x0000_t75" style="position:absolute;left:0;text-align:left;margin-left:72.75pt;margin-top:13pt;width:314.05pt;height:79.65pt;z-index:-251658752;mso-wrap-edited:f" wrapcoords="-106 0 -106 21257 21600 21257 21600 0 -106 0">
            <v:imagedata r:id="rId19" o:title=""/>
            <w10:wrap type="tight"/>
          </v:shape>
          <o:OLEObject Type="Embed" ProgID="Unknown" ShapeID="_x0000_s1026" DrawAspect="Content" ObjectID="_1587821472" r:id="rId20">
            <o:FieldCodes>\s</o:FieldCodes>
          </o:OLEObject>
        </w:objec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                   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                                           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</w:t>
      </w:r>
      <w:r w:rsidRPr="00E51BF0">
        <w:rPr>
          <w:rFonts w:ascii="Times New Roman" w:eastAsia="Times New Roman" w:hAnsi="Times New Roman" w:cs="Times New Roman"/>
          <w:position w:val="-28"/>
          <w:sz w:val="28"/>
          <w:szCs w:val="28"/>
          <w:lang w:val="x-none" w:eastAsia="ru-RU"/>
        </w:rPr>
        <w:object w:dxaOrig="1960" w:dyaOrig="680">
          <v:shape id="_x0000_i1033" type="#_x0000_t75" style="width:155.55pt;height:54.35pt" o:ole="" fillcolor="window">
            <v:imagedata r:id="rId21" o:title=""/>
          </v:shape>
          <o:OLEObject Type="Embed" ProgID="Equation.3" ShapeID="_x0000_i1033" DrawAspect="Content" ObjectID="_1587821456" r:id="rId22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где  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R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ск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– тепловое сопротивление между окружающей средой и поверхностью корпуса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R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зк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– тепловое сопротивление между нагретой зоной и корпусом (нагретая зона ограничена с одной стороны поверхностью 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эфф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, а с другой – поверхностью шасси 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ш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).</w:t>
      </w:r>
    </w:p>
    <w:p w:rsid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lastRenderedPageBreak/>
        <w:t>При этом: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               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E51BF0">
        <w:rPr>
          <w:rFonts w:ascii="Times New Roman" w:eastAsia="Times New Roman" w:hAnsi="Times New Roman" w:cs="Times New Roman"/>
          <w:position w:val="-24"/>
          <w:sz w:val="28"/>
          <w:szCs w:val="28"/>
          <w:lang w:val="x-none" w:eastAsia="ru-RU"/>
        </w:rPr>
        <w:object w:dxaOrig="1080" w:dyaOrig="620">
          <v:shape id="_x0000_i1034" type="#_x0000_t75" style="width:93.75pt;height:53.65pt" o:ole="" fillcolor="window">
            <v:imagedata r:id="rId23" o:title=""/>
          </v:shape>
          <o:OLEObject Type="Embed" ProgID="Equation.3" ShapeID="_x0000_i1034" DrawAspect="Content" ObjectID="_1587821457" r:id="rId24"/>
        </w:objec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  <w:r w:rsidRPr="00E51BF0">
        <w:rPr>
          <w:rFonts w:ascii="Times New Roman" w:eastAsia="Times New Roman" w:hAnsi="Times New Roman" w:cs="Times New Roman"/>
          <w:position w:val="-24"/>
          <w:sz w:val="28"/>
          <w:szCs w:val="28"/>
          <w:lang w:val="x-none" w:eastAsia="ru-RU"/>
        </w:rPr>
        <w:object w:dxaOrig="1579" w:dyaOrig="620">
          <v:shape id="_x0000_i1035" type="#_x0000_t75" style="width:136.55pt;height:53.65pt" o:ole="" fillcolor="window">
            <v:imagedata r:id="rId25" o:title=""/>
          </v:shape>
          <o:OLEObject Type="Embed" ProgID="Equation.3" ShapeID="_x0000_i1035" DrawAspect="Content" ObjectID="_1587821458" r:id="rId26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               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E51BF0">
        <w:rPr>
          <w:rFonts w:ascii="Times New Roman" w:eastAsia="Times New Roman" w:hAnsi="Times New Roman" w:cs="Times New Roman"/>
          <w:position w:val="-30"/>
          <w:sz w:val="28"/>
          <w:szCs w:val="28"/>
          <w:lang w:val="x-none" w:eastAsia="ru-RU"/>
        </w:rPr>
        <w:object w:dxaOrig="2400" w:dyaOrig="740">
          <v:shape id="_x0000_i1036" type="#_x0000_t75" style="width:184.1pt;height:57.05pt" o:ole="" fillcolor="window">
            <v:imagedata r:id="rId27" o:title=""/>
          </v:shape>
          <o:OLEObject Type="Embed" ProgID="Equation.3" ShapeID="_x0000_i1036" DrawAspect="Content" ObjectID="_1587821459" r:id="rId28"/>
        </w:objec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                           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</w:t>
      </w:r>
      <w:r w:rsidRPr="00E51BF0">
        <w:rPr>
          <w:rFonts w:ascii="Times New Roman" w:eastAsia="Times New Roman" w:hAnsi="Times New Roman" w:cs="Times New Roman"/>
          <w:position w:val="-30"/>
          <w:sz w:val="28"/>
          <w:szCs w:val="28"/>
          <w:lang w:val="x-none" w:eastAsia="ru-RU"/>
        </w:rPr>
        <w:object w:dxaOrig="2040" w:dyaOrig="760">
          <v:shape id="_x0000_i1037" type="#_x0000_t75" style="width:154.85pt;height:57.75pt" o:ole="" fillcolor="window">
            <v:imagedata r:id="rId29" o:title=""/>
          </v:shape>
          <o:OLEObject Type="Embed" ProgID="Equation.3" ShapeID="_x0000_i1037" DrawAspect="Content" ObjectID="_1587821460" r:id="rId30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,  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где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61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- коэффициент теплоотдачи для воздушной среды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об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полная поверх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oftHyphen/>
        <w:t>ность охлаждения блока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об1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и 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об2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поверхности блока, расположенные над и под шасси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proofErr w:type="gramStart"/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б1</w:t>
      </w:r>
      <w:proofErr w:type="gram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и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б2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расстояния от верхней и нижней крышек корпуса до шасси.</w:t>
      </w:r>
    </w:p>
    <w:p w:rsid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E51BF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t xml:space="preserve">Превышение температуры воздуха в корпусе над температурой окружающей среды равно: </w: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position w:val="-28"/>
          <w:sz w:val="28"/>
          <w:szCs w:val="28"/>
          <w:lang w:val="x-none" w:eastAsia="ru-RU"/>
        </w:rPr>
        <w:object w:dxaOrig="2540" w:dyaOrig="680">
          <v:shape id="_x0000_i1038" type="#_x0000_t75" style="width:211.25pt;height:56.4pt" o:ole="" fillcolor="window">
            <v:imagedata r:id="rId31" o:title=""/>
          </v:shape>
          <o:OLEObject Type="Embed" ProgID="Equation.3" ShapeID="_x0000_i1038" DrawAspect="Content" ObjectID="_1587821461" r:id="rId32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где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61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- коэффициент теплоотдачи для воздушной среды.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</w:pPr>
      <w:r w:rsidRPr="00E51BF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t>Определение теплового режима блока, имеющего перфорированный корпус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Данный расчет основывается на предположении, что рассматриваемая система состоит из следующих зон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A"/>
      </w:r>
    </w:p>
    <w:p w:rsidR="00E51BF0" w:rsidRPr="00E51BF0" w:rsidRDefault="00E51BF0" w:rsidP="00E51B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корпуса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к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воздуха в нижней части ко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рпус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а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воздуха в верхней части ко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>рпус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а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нагретой зоны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3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окружающей среды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с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.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При этом,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1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=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0,5(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с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+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ш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)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=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0,5(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вых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+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ш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),</w: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где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ш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и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вых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температура шасси и выходящего из блока воздуха.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Теплосодержание воздуха, поступающего в нижнюю и верхнюю части кожуха, обусловлено потоком тепла, идущего от кожуха и нагретой зоны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A"/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Q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 xml:space="preserve">1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=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61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к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[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ш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(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ш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)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+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об2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(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к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)]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3B"/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 xml:space="preserve">2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=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61"/>
      </w:r>
      <w:proofErr w:type="gramStart"/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к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[</w:t>
      </w:r>
      <w:proofErr w:type="spellStart"/>
      <w:proofErr w:type="gram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эфф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(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3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)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+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об1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(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к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)],</w:t>
      </w:r>
    </w:p>
    <w:p w:rsid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где Q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теплосодержание воздуха в нижней части кожуха,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Q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теплосодержа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oftHyphen/>
        <w:t>ние воздуха в верхней части кожуха,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об2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поверхность блока под шасси,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об1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по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oftHyphen/>
        <w:t>верхность блока над шасси,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эфф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эффективная поверхность охлаждения элемента,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</w:t>
      </w:r>
      <w:r w:rsidRPr="00E51BF0">
        <w:rPr>
          <w:rFonts w:ascii="Times New Roman" w:eastAsia="Times New Roman" w:hAnsi="Times New Roman" w:cs="Times New Roman"/>
          <w:position w:val="-10"/>
          <w:sz w:val="28"/>
          <w:szCs w:val="28"/>
          <w:lang w:val="x-none" w:eastAsia="ru-RU"/>
        </w:rPr>
        <w:object w:dxaOrig="1880" w:dyaOrig="380">
          <v:shape id="_x0000_i1039" type="#_x0000_t75" style="width:135.85pt;height:27.85pt" o:ole="" fillcolor="window">
            <v:imagedata r:id="rId33" o:title=""/>
          </v:shape>
          <o:OLEObject Type="Embed" ProgID="Equation.3" ShapeID="_x0000_i1039" DrawAspect="Content" ObjectID="_1587821462" r:id="rId34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- конвективная составляющая коэффициента теплоотдачи, Вт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D7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см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perscript"/>
          <w:lang w:val="x-none" w:eastAsia="ru-RU"/>
        </w:rPr>
        <w:t>-2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град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perscript"/>
          <w:lang w:val="x-none" w:eastAsia="ru-RU"/>
        </w:rPr>
        <w:t>-1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,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∆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- превышение температуры нагретой зоны над температурой окружающей среды.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                       Q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1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=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3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с(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1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)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                     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Q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=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3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с(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вых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),</w: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где, 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3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- массовый расход воздуха кг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D7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с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perscript"/>
          <w:lang w:val="x-none" w:eastAsia="ru-RU"/>
        </w:rPr>
        <w:t>-1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,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с – удельная теплоемкость воздуха.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Мощность, поступающая посредством излучения от нагретой зоны к ко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oftHyphen/>
        <w:t>рпусу, передается от него конвекцией  внутрь блока, а также конвекцией и излучением в окружающую среду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A"/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position w:val="-12"/>
          <w:sz w:val="28"/>
          <w:szCs w:val="28"/>
          <w:lang w:val="x-none" w:eastAsia="ru-RU"/>
        </w:rPr>
        <w:object w:dxaOrig="7180" w:dyaOrig="400">
          <v:shape id="_x0000_i1040" type="#_x0000_t75" style="width:461.9pt;height:25.8pt" o:ole="" fillcolor="window">
            <v:imagedata r:id="rId35" o:title=""/>
          </v:shape>
          <o:OLEObject Type="Embed" ProgID="Equation.3" ShapeID="_x0000_i1040" DrawAspect="Content" ObjectID="_1587821463" r:id="rId36"/>
        </w:objec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где 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об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полная поверхность охлаждаемого блока,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61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- коэффициент теплоот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oftHyphen/>
        <w:t xml:space="preserve">дачи для воздушной среды,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position w:val="-10"/>
          <w:sz w:val="28"/>
          <w:szCs w:val="28"/>
          <w:lang w:val="x-none" w:eastAsia="ru-RU"/>
        </w:rPr>
        <w:object w:dxaOrig="1820" w:dyaOrig="380">
          <v:shape id="_x0000_i1041" type="#_x0000_t75" style="width:158.95pt;height:33.3pt" o:ole="" fillcolor="window">
            <v:imagedata r:id="rId37" o:title=""/>
          </v:shape>
          <o:OLEObject Type="Embed" ProgID="Equation.3" ShapeID="_x0000_i1041" DrawAspect="Content" ObjectID="_1587821464" r:id="rId38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 коэффициент теплоотдачи, соответст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oftHyphen/>
        <w:t>вующий излучению, Вт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D7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см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perscript"/>
          <w:lang w:val="x-none" w:eastAsia="ru-RU"/>
        </w:rPr>
        <w:t>-2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град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perscript"/>
          <w:lang w:val="x-none" w:eastAsia="ru-RU"/>
        </w:rPr>
        <w:t>-1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. </w:t>
      </w:r>
    </w:p>
    <w:p w:rsid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Полная мощность, выделяемая  нагретой зоной, передается окружающей среде посредством теплоотдачи с поверхности блока 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об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и выходящим из блока возду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oftHyphen/>
        <w:t>хом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A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P =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61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(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к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с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)S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об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+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3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с(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4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).</w:t>
      </w:r>
    </w:p>
    <w:p w:rsid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lastRenderedPageBreak/>
        <w:t>Расход воздуха через блок равен: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position w:val="-56"/>
          <w:sz w:val="28"/>
          <w:szCs w:val="28"/>
          <w:lang w:val="x-none" w:eastAsia="ru-RU"/>
        </w:rPr>
        <w:object w:dxaOrig="4400" w:dyaOrig="1260">
          <v:shape id="_x0000_i1042" type="#_x0000_t75" style="width:299.55pt;height:85.6pt" o:ole="" fillcolor="window">
            <v:imagedata r:id="rId39" o:title=""/>
          </v:shape>
          <o:OLEObject Type="Embed" ProgID="Equation.3" ShapeID="_x0000_i1042" DrawAspect="Content" ObjectID="_1587821465" r:id="rId40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,</w: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где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 xml:space="preserve">р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= 0,69 – коэффициент, зависящий от формы отверстия, для круглых и квадратных отверстий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 xml:space="preserve">р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= 0,64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67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с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плотность воздуха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,S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,S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3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площадь отверстий в верхней и нижней  частях корпуса и в шасси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,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2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расстояния от шасси до отверстий в корпусе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3B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Тс - символ абсолютной температуры.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t>Рекомендации по теплообм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t>ену при конструировании блоков</w:t>
      </w:r>
      <w:r w:rsidRPr="00F20F0E"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t xml:space="preserve"> </w:t>
      </w:r>
      <w:r w:rsidR="00F20F0E" w:rsidRPr="00F20F0E">
        <w:rPr>
          <w:rFonts w:ascii="Times New Roman" w:hAnsi="Times New Roman"/>
          <w:i/>
          <w:sz w:val="28"/>
          <w:szCs w:val="28"/>
          <w:u w:val="single"/>
        </w:rPr>
        <w:t>ПУЭС</w:t>
      </w:r>
    </w:p>
    <w:p w:rsidR="00E51BF0" w:rsidRPr="00E51BF0" w:rsidRDefault="00E51BF0" w:rsidP="00E51BF0">
      <w:pPr>
        <w:spacing w:after="0" w:line="240" w:lineRule="auto"/>
        <w:ind w:left="92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Рекомендации, относящиеся к конструированию блока, сводятся к следующему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A"/>
      </w:r>
    </w:p>
    <w:p w:rsidR="00E51BF0" w:rsidRPr="00E51BF0" w:rsidRDefault="00E51BF0" w:rsidP="00E51B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площадь отверстий в корпусе должна составлять 20-30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25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полной поверхности корпуса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отверстия на крышке и основании должны иметь одинаковую площадь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высота корпуса должна быть по возможности наибольшей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основание корпуса (если в нем есть отверстия) должно быть максимально удалено от поверхности, на которую </w:t>
      </w: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устанавливается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оптимальная ширина отверстий в корпусе рекомендована </w:t>
      </w:r>
      <w:smartTag w:uri="urn:schemas-microsoft-com:office:smarttags" w:element="metricconverter">
        <w:smartTagPr>
          <w:attr w:name="ProductID" w:val="5 мм"/>
        </w:smartTagPr>
        <w:r w:rsidRPr="00E51BF0">
          <w:rPr>
            <w:rFonts w:ascii="Times New Roman" w:eastAsia="Times New Roman" w:hAnsi="Times New Roman" w:cs="Times New Roman"/>
            <w:sz w:val="28"/>
            <w:szCs w:val="28"/>
            <w:lang w:val="x-none" w:eastAsia="ru-RU"/>
          </w:rPr>
          <w:t>5 мм</w:t>
        </w:r>
      </w:smartTag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.</w:t>
      </w:r>
    </w:p>
    <w:p w:rsidR="00E51BF0" w:rsidRPr="00E51BF0" w:rsidRDefault="00E51BF0" w:rsidP="00E51BF0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Перечисленные р</w:t>
      </w:r>
      <w:r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екомендации уменьшают перегрев </w:t>
      </w:r>
      <w:r w:rsidR="00F20F0E">
        <w:rPr>
          <w:rFonts w:ascii="Times New Roman" w:hAnsi="Times New Roman"/>
          <w:sz w:val="28"/>
          <w:szCs w:val="28"/>
        </w:rPr>
        <w:t>ПУЭС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внутри перфорированного  корпуса </w:t>
      </w:r>
      <w:r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на 30%, в отличии от перегрева </w:t>
      </w:r>
      <w:r w:rsidR="00F20F0E">
        <w:rPr>
          <w:rFonts w:ascii="Times New Roman" w:hAnsi="Times New Roman"/>
          <w:sz w:val="28"/>
          <w:szCs w:val="28"/>
        </w:rPr>
        <w:t>ПУЭС</w:t>
      </w:r>
      <w:bookmarkStart w:id="0" w:name="_GoBack"/>
      <w:bookmarkEnd w:id="0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 в герметичном корпусе.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</w:pPr>
      <w:r w:rsidRPr="00E51BF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t>Определение теплового режима блока, имеющего принудительную вентиляцию</w: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Теплосодержание воздуха, поступающего в блок, обусловлено потоками тепла, идущего от нагретой зоны и от корпуса. Мощность, поступающая к корпусу от нагретой зоны посредством излучения, передается в окружающую среду и охлаждающему воздуху.</w:t>
      </w:r>
    </w:p>
    <w:p w:rsidR="00E51BF0" w:rsidRPr="00E51BF0" w:rsidRDefault="00E51BF0" w:rsidP="00E51BF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Для интенсификации условий теплообмена в блочных конструкциях необходимо придерживаться следующих рекомендаций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A"/>
      </w:r>
    </w:p>
    <w:p w:rsidR="00E51BF0" w:rsidRPr="00E51BF0" w:rsidRDefault="00E51BF0" w:rsidP="00E51BF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lastRenderedPageBreak/>
        <w:t>- наносить на внутренние и наружные поверхности корпуса и шасси лакокрасочные покрытия (перегрев снижается на 10-15% по сравнению с неокрашенными)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- использовать </w:t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оребрение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или перфорирование поверхностей охлаждения (перегрев снижается на 10%)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 располагать наиболее критичный к перегреву блок в нижней части стойки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 не допустить застойных зон со слабой циркуляцией воздуха. Такие зоны образуются при подводе воздуха через отверстия малого диаметра или одного отверстия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 стремиться к обеспечению выравнивания подачи воздуха с помощью, например, перфорированных решеток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 стремиться к расположению элементов таким образом, чтобы между ними образовывались бы каналы примерно одинакового сечения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- размещать элементы в шахматном или близком к нему порядке по ходу воздуха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- стремиться к заполнению блока элементами, характеризующемуся коэффициентом заполнения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 xml:space="preserve">з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= 0,4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B8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0,6, что обеспечивает оптимальный его тепловой режим.</w:t>
      </w: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</w:pPr>
      <w:r w:rsidRPr="00E51BF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x-none" w:eastAsia="ru-RU"/>
        </w:rPr>
        <w:t>Тепловой режим при повторно-кратковременной работе</w: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Повторно-кратковременный режим работы элемента характеризуется равномерно повторяющимися процессами нагревания и охлаждения.</w:t>
      </w:r>
    </w:p>
    <w:p w:rsidR="00E51BF0" w:rsidRPr="00E51BF0" w:rsidRDefault="00E51BF0" w:rsidP="00E51BF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После длительного времени работы наступает установившийся периодический режим. В этом режиме температура (или перегрев) будет колебаться между двумя крайними значениями. При этом максимальная величина температурного перепада при повторно-кратковременном режиме определяется как: </w: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BF0">
        <w:rPr>
          <w:rFonts w:ascii="Times New Roman" w:eastAsia="Times New Roman" w:hAnsi="Times New Roman" w:cs="Times New Roman"/>
          <w:position w:val="-54"/>
          <w:sz w:val="28"/>
          <w:szCs w:val="28"/>
          <w:lang w:val="x-none" w:eastAsia="ru-RU"/>
        </w:rPr>
        <w:object w:dxaOrig="2500" w:dyaOrig="1200">
          <v:shape id="_x0000_i1043" type="#_x0000_t75" style="width:213.3pt;height:101.9pt" o:ole="" fillcolor="window">
            <v:imagedata r:id="rId41" o:title=""/>
          </v:shape>
          <o:OLEObject Type="Embed" ProgID="Equation.3" ShapeID="_x0000_i1043" DrawAspect="Content" ObjectID="_1587821466" r:id="rId42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position w:val="-28"/>
          <w:sz w:val="28"/>
          <w:szCs w:val="28"/>
          <w:lang w:val="x-none" w:eastAsia="ru-RU"/>
        </w:rPr>
        <w:object w:dxaOrig="3240" w:dyaOrig="660">
          <v:shape id="_x0000_i1044" type="#_x0000_t75" style="width:301.6pt;height:61.15pt" o:ole="" fillcolor="window">
            <v:imagedata r:id="rId43" o:title=""/>
          </v:shape>
          <o:OLEObject Type="Embed" ProgID="Equation.3" ShapeID="_x0000_i1044" DrawAspect="Content" ObjectID="_1587821467" r:id="rId44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,</w: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где </w:t>
      </w:r>
      <w:r w:rsidRPr="00E51BF0">
        <w:rPr>
          <w:rFonts w:ascii="Times New Roman" w:eastAsia="Times New Roman" w:hAnsi="Times New Roman" w:cs="Times New Roman"/>
          <w:position w:val="-10"/>
          <w:sz w:val="28"/>
          <w:szCs w:val="28"/>
          <w:lang w:val="x-none" w:eastAsia="ru-RU"/>
        </w:rPr>
        <w:object w:dxaOrig="1480" w:dyaOrig="400">
          <v:shape id="_x0000_i1045" type="#_x0000_t75" style="width:104.6pt;height:28.55pt" o:ole="" fillcolor="window">
            <v:imagedata r:id="rId45" o:title=""/>
          </v:shape>
          <o:OLEObject Type="Embed" ProgID="Equation.3" ShapeID="_x0000_i1045" DrawAspect="Content" ObjectID="_1587821468" r:id="rId46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- установившиеся значения температурного перепада в непрерывном режиме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lastRenderedPageBreak/>
        <w:t>P – номинальная нагрузка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Т = с(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61"/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S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о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)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perscript"/>
          <w:lang w:val="x-none" w:eastAsia="ru-RU"/>
        </w:rPr>
        <w:t>-1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постоянная времени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с – эквивалентная теплоемкость элемента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3B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position w:val="-24"/>
          <w:sz w:val="28"/>
          <w:szCs w:val="28"/>
          <w:lang w:val="en-US" w:eastAsia="ru-RU"/>
        </w:rPr>
        <w:object w:dxaOrig="620" w:dyaOrig="620">
          <v:shape id="_x0000_i1046" type="#_x0000_t75" style="width:42.8pt;height:42.8pt" o:ole="" fillcolor="window">
            <v:imagedata r:id="rId47" o:title=""/>
          </v:shape>
          <o:OLEObject Type="Embed" ProgID="Equation.3" ShapeID="_x0000_i1046" DrawAspect="Content" ObjectID="_1587821469" r:id="rId48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- скважность.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Эквивалентная теплоемкость элемента вычисляется по формуле: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position w:val="-24"/>
          <w:sz w:val="28"/>
          <w:szCs w:val="28"/>
          <w:lang w:val="x-none" w:eastAsia="ru-RU"/>
        </w:rPr>
        <w:object w:dxaOrig="2079" w:dyaOrig="620">
          <v:shape id="_x0000_i1047" type="#_x0000_t75" style="width:227.55pt;height:68.6pt" o:ole="" fillcolor="window">
            <v:imagedata r:id="rId49" o:title=""/>
          </v:shape>
          <o:OLEObject Type="Embed" ProgID="Equation.3" ShapeID="_x0000_i1047" DrawAspect="Content" ObjectID="_1587821470" r:id="rId50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,</w:t>
      </w:r>
    </w:p>
    <w:p w:rsidR="00E51BF0" w:rsidRPr="00E51BF0" w:rsidRDefault="00E51BF0" w:rsidP="00E51BF0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где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c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,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м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и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и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удельные теплоемкости стали, меди и изоляции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3B"/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3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с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,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3"/>
      </w:r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м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и </w: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sym w:font="Symbol" w:char="F073"/>
      </w:r>
      <w:proofErr w:type="spellStart"/>
      <w:r w:rsidRPr="00E51BF0">
        <w:rPr>
          <w:rFonts w:ascii="Times New Roman" w:eastAsia="Times New Roman" w:hAnsi="Times New Roman" w:cs="Times New Roman"/>
          <w:sz w:val="28"/>
          <w:szCs w:val="28"/>
          <w:vertAlign w:val="subscript"/>
          <w:lang w:val="x-none" w:eastAsia="ru-RU"/>
        </w:rPr>
        <w:t>и</w:t>
      </w:r>
      <w:proofErr w:type="spellEnd"/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 xml:space="preserve"> – масса стали, меди и изоляции.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Величина нагрузки для эквивалентного непрерывного режима определяется как:</w:t>
      </w:r>
    </w:p>
    <w:p w:rsidR="00E51BF0" w:rsidRPr="00E51BF0" w:rsidRDefault="00E51BF0" w:rsidP="00E51BF0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</w:pPr>
      <w:r w:rsidRPr="00E51B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</w:t>
      </w:r>
      <w:r w:rsidRPr="00E51BF0">
        <w:rPr>
          <w:rFonts w:ascii="Times New Roman" w:eastAsia="Times New Roman" w:hAnsi="Times New Roman" w:cs="Times New Roman"/>
          <w:position w:val="-54"/>
          <w:sz w:val="28"/>
          <w:szCs w:val="28"/>
          <w:lang w:val="x-none" w:eastAsia="ru-RU"/>
        </w:rPr>
        <w:object w:dxaOrig="2299" w:dyaOrig="1200">
          <v:shape id="_x0000_i1048" type="#_x0000_t75" style="width:180pt;height:93.75pt" o:ole="" fillcolor="window">
            <v:imagedata r:id="rId51" o:title=""/>
          </v:shape>
          <o:OLEObject Type="Embed" ProgID="Equation.3" ShapeID="_x0000_i1048" DrawAspect="Content" ObjectID="_1587821471" r:id="rId52"/>
        </w:object>
      </w:r>
      <w:r w:rsidRPr="00E51BF0">
        <w:rPr>
          <w:rFonts w:ascii="Times New Roman" w:eastAsia="Times New Roman" w:hAnsi="Times New Roman" w:cs="Times New Roman"/>
          <w:sz w:val="28"/>
          <w:szCs w:val="28"/>
          <w:lang w:val="x-none" w:eastAsia="ru-RU"/>
        </w:rPr>
        <w:t>.</w:t>
      </w:r>
    </w:p>
    <w:p w:rsidR="00046EA5" w:rsidRDefault="00046EA5"/>
    <w:sectPr w:rsidR="00046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5390E"/>
    <w:multiLevelType w:val="singleLevel"/>
    <w:tmpl w:val="FE28FF3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 w15:restartNumberingAfterBreak="0">
    <w:nsid w:val="54B60B63"/>
    <w:multiLevelType w:val="singleLevel"/>
    <w:tmpl w:val="EDDA5D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 w15:restartNumberingAfterBreak="0">
    <w:nsid w:val="730267E7"/>
    <w:multiLevelType w:val="singleLevel"/>
    <w:tmpl w:val="E808295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0"/>
    <w:rsid w:val="00046EA5"/>
    <w:rsid w:val="00E51BF0"/>
    <w:rsid w:val="00F2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50"/>
    <o:shapelayout v:ext="edit">
      <o:idmap v:ext="edit" data="1"/>
    </o:shapelayout>
  </w:shapeDefaults>
  <w:decimalSymbol w:val=","/>
  <w:listSeparator w:val=";"/>
  <w15:chartTrackingRefBased/>
  <w15:docId w15:val="{4109E1B1-21D7-4CAA-8B60-B5898CA0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2</cp:revision>
  <dcterms:created xsi:type="dcterms:W3CDTF">2018-05-14T12:54:00Z</dcterms:created>
  <dcterms:modified xsi:type="dcterms:W3CDTF">2018-05-14T13:44:00Z</dcterms:modified>
</cp:coreProperties>
</file>