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A5" w:rsidRDefault="0044419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4419C">
        <w:rPr>
          <w:rFonts w:ascii="Times New Roman" w:hAnsi="Times New Roman" w:cs="Times New Roman"/>
          <w:b/>
          <w:sz w:val="28"/>
          <w:szCs w:val="28"/>
        </w:rPr>
        <w:t>П</w:t>
      </w:r>
      <w:r w:rsidR="004E127A">
        <w:rPr>
          <w:rFonts w:ascii="Times New Roman" w:hAnsi="Times New Roman" w:cs="Times New Roman"/>
          <w:b/>
          <w:sz w:val="28"/>
          <w:szCs w:val="28"/>
        </w:rPr>
        <w:t>рактическое занятие № 6</w:t>
      </w:r>
    </w:p>
    <w:p w:rsidR="0044419C" w:rsidRDefault="00CC4285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b/>
          <w:sz w:val="28"/>
          <w:szCs w:val="28"/>
        </w:rPr>
      </w:pPr>
      <w:r>
        <w:rPr>
          <w:rStyle w:val="11"/>
          <w:b/>
          <w:sz w:val="28"/>
          <w:szCs w:val="28"/>
        </w:rPr>
        <w:t xml:space="preserve">Тема: </w:t>
      </w:r>
      <w:r w:rsidR="0044419C" w:rsidRPr="002003BF">
        <w:rPr>
          <w:rStyle w:val="11"/>
          <w:b/>
          <w:sz w:val="28"/>
          <w:szCs w:val="28"/>
        </w:rPr>
        <w:t>Исследование методов поме</w:t>
      </w:r>
      <w:r w:rsidR="001654DB">
        <w:rPr>
          <w:rStyle w:val="11"/>
          <w:b/>
          <w:sz w:val="28"/>
          <w:szCs w:val="28"/>
        </w:rPr>
        <w:t>хозащищенности узлов и блоков Э</w:t>
      </w:r>
      <w:r w:rsidR="0044419C" w:rsidRPr="002003BF">
        <w:rPr>
          <w:rStyle w:val="11"/>
          <w:b/>
          <w:sz w:val="28"/>
          <w:szCs w:val="28"/>
        </w:rPr>
        <w:t>С.</w:t>
      </w:r>
    </w:p>
    <w:p w:rsidR="008976E8" w:rsidRPr="002003BF" w:rsidRDefault="008976E8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b/>
          <w:sz w:val="28"/>
          <w:szCs w:val="28"/>
        </w:rPr>
      </w:pPr>
    </w:p>
    <w:p w:rsidR="0044419C" w:rsidRDefault="0044419C" w:rsidP="008976E8">
      <w:pPr>
        <w:pStyle w:val="31"/>
        <w:shd w:val="clear" w:color="auto" w:fill="auto"/>
        <w:spacing w:before="0" w:line="240" w:lineRule="auto"/>
        <w:ind w:firstLine="708"/>
        <w:jc w:val="left"/>
        <w:rPr>
          <w:rStyle w:val="11"/>
          <w:sz w:val="28"/>
          <w:szCs w:val="28"/>
        </w:rPr>
      </w:pPr>
      <w:r w:rsidRPr="002003BF">
        <w:rPr>
          <w:rStyle w:val="11"/>
          <w:sz w:val="28"/>
          <w:szCs w:val="28"/>
        </w:rPr>
        <w:t>Теоретическое моделирование паразитных параметров в конструкциях ЭС. Оценка уровня допустимых помех. Согласование линий связи с параметрами элементной базы. Экранирование.</w:t>
      </w:r>
    </w:p>
    <w:p w:rsidR="00116134" w:rsidRPr="00116134" w:rsidRDefault="00116134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i/>
          <w:sz w:val="28"/>
          <w:szCs w:val="28"/>
        </w:rPr>
      </w:pPr>
    </w:p>
    <w:p w:rsidR="00116134" w:rsidRPr="009A2F7F" w:rsidRDefault="00116134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i/>
          <w:sz w:val="28"/>
          <w:szCs w:val="28"/>
        </w:rPr>
      </w:pPr>
      <w:r w:rsidRPr="009A2F7F">
        <w:rPr>
          <w:rStyle w:val="11"/>
          <w:i/>
          <w:sz w:val="28"/>
          <w:szCs w:val="28"/>
        </w:rPr>
        <w:t>Задание</w:t>
      </w:r>
    </w:p>
    <w:p w:rsidR="00116134" w:rsidRPr="002124CD" w:rsidRDefault="00116134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sz w:val="28"/>
          <w:szCs w:val="28"/>
        </w:rPr>
      </w:pPr>
      <w:r w:rsidRPr="002124CD">
        <w:rPr>
          <w:rStyle w:val="11"/>
          <w:sz w:val="28"/>
          <w:szCs w:val="28"/>
        </w:rPr>
        <w:t>По индивидуальному заданию выполнить расчеты:</w:t>
      </w:r>
    </w:p>
    <w:p w:rsidR="00116134" w:rsidRPr="002124CD" w:rsidRDefault="00116134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sz w:val="28"/>
          <w:szCs w:val="28"/>
        </w:rPr>
      </w:pPr>
      <w:r w:rsidRPr="002124CD">
        <w:rPr>
          <w:rStyle w:val="11"/>
          <w:sz w:val="28"/>
          <w:szCs w:val="28"/>
        </w:rPr>
        <w:t>- сопротивления проводника;</w:t>
      </w:r>
    </w:p>
    <w:p w:rsidR="00116134" w:rsidRPr="002124CD" w:rsidRDefault="00116134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sz w:val="28"/>
          <w:szCs w:val="28"/>
        </w:rPr>
      </w:pPr>
      <w:r w:rsidRPr="002124CD">
        <w:rPr>
          <w:rStyle w:val="11"/>
          <w:sz w:val="28"/>
          <w:szCs w:val="28"/>
        </w:rPr>
        <w:t>- допустимый ток в печатном проводнике;</w:t>
      </w:r>
    </w:p>
    <w:p w:rsidR="00116134" w:rsidRPr="002124CD" w:rsidRDefault="00116134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4CD">
        <w:rPr>
          <w:rStyle w:val="11"/>
          <w:sz w:val="28"/>
          <w:szCs w:val="28"/>
        </w:rPr>
        <w:t xml:space="preserve">- </w:t>
      </w:r>
      <w:r w:rsidRPr="002124CD">
        <w:rPr>
          <w:rFonts w:ascii="Times New Roman" w:eastAsia="Times New Roman" w:hAnsi="Times New Roman" w:cs="Times New Roman"/>
          <w:sz w:val="28"/>
          <w:szCs w:val="28"/>
          <w:lang w:eastAsia="ru-RU"/>
        </w:rPr>
        <w:t>емкости между двумя выбранными проводящими элементами;</w:t>
      </w:r>
    </w:p>
    <w:p w:rsidR="00116134" w:rsidRPr="002124CD" w:rsidRDefault="00116134" w:rsidP="001161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4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собственной индуктивности печатного проводника; </w:t>
      </w:r>
    </w:p>
    <w:p w:rsidR="00116134" w:rsidRDefault="00116134" w:rsidP="001161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4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индуктивности печатного </w:t>
      </w:r>
      <w:r w:rsidR="00A942BC" w:rsidRPr="002124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проводника</w:t>
      </w:r>
      <w:r w:rsidR="00492A31" w:rsidRPr="002124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24CD" w:rsidRDefault="002124CD" w:rsidP="001161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4CD" w:rsidRPr="009A2F7F" w:rsidRDefault="002124CD" w:rsidP="00116134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A2F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Теоретические сведения</w:t>
      </w:r>
    </w:p>
    <w:p w:rsidR="0044419C" w:rsidRPr="0044419C" w:rsidRDefault="00763313" w:rsidP="0044419C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В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электронных изделиях печатные проводники, электрически объединяющие те или иные элементы схемы, проходят на достаточно близком расстоянии друг от друга и имеют относительно малые размеры сечения. При большом времени переключения и малых тактовых частотах параметры печатных проводников, соединяющие вводы одних элементов со входами других, не оказывают существенного воздействия на быстродействие всей схемы в целом и на помехоустойчивость элементов.</w:t>
      </w:r>
    </w:p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С уменьшением времени переключения (в микроэлектронных изделиях оно составляет единицы наносекунд) большое значение имеют степени влияния линий связи (сопротивления, емкости, индуктивности и т.д.) друг на друга (паразитная емкость, взаимоиндуктивность и т.д.). 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Постоянный ток в печатных проводниках распределяется равномерно по его сечению при условии, что материал проводника однороден и не имеет локальных посторонн</w:t>
      </w:r>
      <w:r w:rsidR="00343CA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их включений других веществ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.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Сопротивление проводника </w:t>
      </w:r>
      <w:r w:rsidR="00B9616E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рассчитывается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по формуле:</w:t>
      </w:r>
    </w:p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/>
      </w:tblPr>
      <w:tblGrid>
        <w:gridCol w:w="9039"/>
        <w:gridCol w:w="532"/>
      </w:tblGrid>
      <w:tr w:rsidR="0044419C" w:rsidRPr="0044419C" w:rsidTr="00532FBD">
        <w:tc>
          <w:tcPr>
            <w:tcW w:w="9039" w:type="dxa"/>
            <w:vAlign w:val="center"/>
            <w:hideMark/>
          </w:tcPr>
          <w:p w:rsidR="0044419C" w:rsidRPr="0044419C" w:rsidRDefault="00343CAC" w:rsidP="00A942BC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3CAC">
              <w:rPr>
                <w:rFonts w:ascii="Times New Roman" w:hAnsi="Times New Roman" w:cs="Times New Roman"/>
                <w:i/>
                <w:sz w:val="32"/>
                <w:szCs w:val="32"/>
                <w:lang w:val="en-US" w:eastAsia="ru-RU"/>
              </w:rPr>
              <w:t xml:space="preserve">R = </w:t>
            </w:r>
            <w:r w:rsidR="00A942BC">
              <w:rPr>
                <w:rFonts w:ascii="Times New Roman" w:hAnsi="Times New Roman" w:cs="Times New Roman"/>
                <w:i/>
                <w:sz w:val="32"/>
                <w:szCs w:val="32"/>
                <w:lang w:eastAsia="ru-RU"/>
              </w:rPr>
              <w:t xml:space="preserve"> </w:t>
            </w:r>
            <w:r w:rsidRPr="00343CAC">
              <w:rPr>
                <w:rFonts w:ascii="Times New Roman" w:hAnsi="Times New Roman" w:cs="Times New Roman"/>
                <w:i/>
                <w:sz w:val="40"/>
                <w:szCs w:val="40"/>
                <w:lang w:val="en-US" w:eastAsia="ru-RU"/>
              </w:rPr>
              <w:t>r</w:t>
            </w:r>
            <w:r w:rsidR="00A942B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43CAC">
              <w:rPr>
                <w:rFonts w:ascii="Times New Roman" w:hAnsi="Times New Roman" w:cs="Times New Roman"/>
                <w:i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343CAC">
              <w:rPr>
                <w:rFonts w:ascii="Times New Roman" w:hAnsi="Times New Roman" w:cs="Times New Roman"/>
                <w:i/>
                <w:sz w:val="40"/>
                <w:szCs w:val="40"/>
                <w:lang w:val="en-US" w:eastAsia="ru-RU"/>
              </w:rPr>
              <w:t>l</w:t>
            </w:r>
            <w:r w:rsidRPr="00343CAC">
              <w:rPr>
                <w:rFonts w:ascii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r w:rsidRPr="00343CAC">
              <w:rPr>
                <w:rFonts w:ascii="Times New Roman" w:hAnsi="Times New Roman" w:cs="Times New Roman"/>
                <w:i/>
                <w:sz w:val="32"/>
                <w:szCs w:val="32"/>
                <w:lang w:eastAsia="ru-RU"/>
              </w:rPr>
              <w:t>/</w:t>
            </w:r>
            <w:r w:rsidRPr="00343CAC">
              <w:rPr>
                <w:rFonts w:ascii="Times New Roman" w:hAnsi="Times New Roman" w:cs="Times New Roman"/>
                <w:i/>
                <w:sz w:val="32"/>
                <w:szCs w:val="32"/>
                <w:lang w:val="en-US" w:eastAsia="ru-RU"/>
              </w:rPr>
              <w:t xml:space="preserve"> (</w:t>
            </w:r>
            <w:r w:rsidRPr="00343CAC">
              <w:rPr>
                <w:rFonts w:ascii="Times New Roman" w:hAnsi="Times New Roman" w:cs="Times New Roman"/>
                <w:i/>
                <w:sz w:val="40"/>
                <w:szCs w:val="40"/>
                <w:lang w:val="en-US" w:eastAsia="ru-RU"/>
              </w:rPr>
              <w:t>b</w:t>
            </w:r>
            <w:r w:rsidR="00A942BC">
              <w:rPr>
                <w:rFonts w:ascii="Times New Roman" w:hAnsi="Times New Roman" w:cs="Times New Roman"/>
                <w:i/>
                <w:sz w:val="40"/>
                <w:szCs w:val="40"/>
                <w:lang w:eastAsia="ru-RU"/>
              </w:rPr>
              <w:t xml:space="preserve"> * </w:t>
            </w:r>
            <w:proofErr w:type="spellStart"/>
            <w:r w:rsidRPr="00343CAC">
              <w:rPr>
                <w:rFonts w:ascii="Times New Roman" w:hAnsi="Times New Roman" w:cs="Times New Roman"/>
                <w:i/>
                <w:sz w:val="40"/>
                <w:szCs w:val="40"/>
                <w:lang w:val="en-US" w:eastAsia="ru-RU"/>
              </w:rPr>
              <w:t>t</w:t>
            </w:r>
            <w:r w:rsidRPr="00343CAC">
              <w:rPr>
                <w:rFonts w:ascii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proofErr w:type="spellEnd"/>
            <w:r w:rsidRPr="00343CAC">
              <w:rPr>
                <w:rFonts w:ascii="Times New Roman" w:hAnsi="Times New Roman" w:cs="Times New Roman"/>
                <w:i/>
                <w:sz w:val="32"/>
                <w:szCs w:val="32"/>
                <w:lang w:val="en-US" w:eastAsia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             </w:t>
            </w:r>
          </w:p>
        </w:tc>
        <w:tc>
          <w:tcPr>
            <w:tcW w:w="532" w:type="dxa"/>
            <w:vAlign w:val="center"/>
            <w:hideMark/>
          </w:tcPr>
          <w:p w:rsidR="0044419C" w:rsidRPr="0044419C" w:rsidRDefault="0044419C" w:rsidP="0044419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343CAC" w:rsidRDefault="0044419C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r w:rsidRPr="00343CAC">
        <w:rPr>
          <w:rFonts w:ascii="Times New Roman" w:eastAsia="Microsoft Sans Serif" w:hAnsi="Times New Roman" w:cs="Times New Roman"/>
          <w:i/>
          <w:sz w:val="32"/>
          <w:szCs w:val="32"/>
          <w:lang w:val="en-US" w:eastAsia="ru-RU"/>
        </w:rPr>
        <w:t>r</w:t>
      </w:r>
      <w:r w:rsidRPr="00343CAC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- удельное объемное электрическое сопротивление проводника,          </w:t>
      </w:r>
    </w:p>
    <w:p w:rsidR="0044419C" w:rsidRPr="0044419C" w:rsidRDefault="00343CAC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343CA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  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 </w:t>
      </w:r>
      <w:r w:rsidR="0044419C" w:rsidRPr="00343CAC">
        <w:rPr>
          <w:rFonts w:ascii="Times New Roman" w:eastAsia="Microsoft Sans Serif" w:hAnsi="Times New Roman" w:cs="Times New Roman"/>
          <w:i/>
          <w:sz w:val="32"/>
          <w:szCs w:val="32"/>
          <w:lang w:val="en-US" w:eastAsia="ru-RU"/>
        </w:rPr>
        <w:t>r</w:t>
      </w:r>
      <w:r w:rsidR="0044419C" w:rsidRPr="00343CAC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= 0,</w:t>
      </w:r>
      <w:r w:rsidR="004B794A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0175 мкОм/м – для медных проводников;</w:t>
      </w:r>
    </w:p>
    <w:p w:rsidR="00343CAC" w:rsidRDefault="00343CAC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343CA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   </w:t>
      </w:r>
      <w:r w:rsidRPr="00343CAC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44419C" w:rsidRPr="00343CAC">
        <w:rPr>
          <w:rFonts w:ascii="Times New Roman" w:eastAsia="Microsoft Sans Serif" w:hAnsi="Times New Roman" w:cs="Times New Roman"/>
          <w:i/>
          <w:sz w:val="32"/>
          <w:szCs w:val="32"/>
          <w:lang w:eastAsia="ru-RU"/>
        </w:rPr>
        <w:t>l</w:t>
      </w:r>
      <w:r w:rsidR="0044419C" w:rsidRPr="00343CAC">
        <w:rPr>
          <w:rFonts w:ascii="Times New Roman" w:eastAsia="Microsoft Sans Serif" w:hAnsi="Times New Roman" w:cs="Times New Roman"/>
          <w:i/>
          <w:sz w:val="32"/>
          <w:szCs w:val="32"/>
          <w:vertAlign w:val="subscript"/>
          <w:lang w:eastAsia="ru-RU"/>
        </w:rPr>
        <w:t>n</w:t>
      </w:r>
      <w:proofErr w:type="spellEnd"/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– длинна проводника, мм; (</w:t>
      </w:r>
      <w:proofErr w:type="spellStart"/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l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= 63 мм).</w:t>
      </w:r>
    </w:p>
    <w:p w:rsidR="00343CAC" w:rsidRDefault="00343CAC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343CAC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    </w:t>
      </w:r>
      <w:r w:rsidR="0044419C" w:rsidRPr="00343CAC">
        <w:rPr>
          <w:rFonts w:ascii="Times New Roman" w:eastAsia="Microsoft Sans Serif" w:hAnsi="Times New Roman" w:cs="Times New Roman"/>
          <w:i/>
          <w:sz w:val="32"/>
          <w:szCs w:val="32"/>
          <w:lang w:eastAsia="ru-RU"/>
        </w:rPr>
        <w:t>b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 (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b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= 0,2 мм).</w:t>
      </w:r>
    </w:p>
    <w:p w:rsidR="0044419C" w:rsidRPr="0044419C" w:rsidRDefault="00343CAC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343CAC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    </w:t>
      </w:r>
      <w:proofErr w:type="spellStart"/>
      <w:r w:rsidR="0044419C" w:rsidRPr="00343CAC">
        <w:rPr>
          <w:rFonts w:ascii="Times New Roman" w:eastAsia="Microsoft Sans Serif" w:hAnsi="Times New Roman" w:cs="Times New Roman"/>
          <w:i/>
          <w:sz w:val="32"/>
          <w:szCs w:val="32"/>
          <w:lang w:eastAsia="ru-RU"/>
        </w:rPr>
        <w:t>t</w:t>
      </w:r>
      <w:r w:rsidR="0044419C" w:rsidRPr="00343CAC">
        <w:rPr>
          <w:rFonts w:ascii="Times New Roman" w:eastAsia="Microsoft Sans Serif" w:hAnsi="Times New Roman" w:cs="Times New Roman"/>
          <w:i/>
          <w:sz w:val="32"/>
          <w:szCs w:val="32"/>
          <w:vertAlign w:val="subscript"/>
          <w:lang w:eastAsia="ru-RU"/>
        </w:rPr>
        <w:t>n</w:t>
      </w:r>
      <w:proofErr w:type="spellEnd"/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проводника, мм (</w:t>
      </w:r>
      <w:proofErr w:type="spellStart"/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t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= 35 мкм).</w:t>
      </w:r>
    </w:p>
    <w:p w:rsidR="0044419C" w:rsidRDefault="00E11E04" w:rsidP="002124CD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lastRenderedPageBreak/>
        <w:t xml:space="preserve">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Допустимый ток в печатном проводнике рассчитывается по формуле: </w:t>
      </w:r>
    </w:p>
    <w:p w:rsidR="00715876" w:rsidRPr="0044419C" w:rsidRDefault="00715876" w:rsidP="002124CD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/>
      </w:tblPr>
      <w:tblGrid>
        <w:gridCol w:w="8412"/>
        <w:gridCol w:w="943"/>
      </w:tblGrid>
      <w:tr w:rsidR="0044419C" w:rsidRPr="0044419C" w:rsidTr="00715876">
        <w:tc>
          <w:tcPr>
            <w:tcW w:w="8412" w:type="dxa"/>
            <w:vAlign w:val="center"/>
            <w:hideMark/>
          </w:tcPr>
          <w:p w:rsidR="00A942BC" w:rsidRPr="00A942BC" w:rsidRDefault="00A942BC" w:rsidP="0044419C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A942B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I</w:t>
            </w:r>
            <w:r w:rsidRPr="00A942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max = 10</w:t>
            </w:r>
            <w:r w:rsidRPr="00A942BC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-3 *</w:t>
            </w:r>
            <w:r w:rsidRPr="00A942BC">
              <w:rPr>
                <w:rFonts w:ascii="Times New Roman" w:eastAsia="Times New Roman" w:hAnsi="Times New Roman" w:cs="Times New Roman"/>
                <w:i/>
                <w:sz w:val="32"/>
                <w:szCs w:val="32"/>
                <w:vertAlign w:val="superscript"/>
                <w:lang w:val="en-US" w:eastAsia="ru-RU"/>
              </w:rPr>
              <w:t xml:space="preserve"> </w:t>
            </w:r>
            <w:r w:rsidRPr="00A942BC">
              <w:rPr>
                <w:rFonts w:ascii="Times New Roman" w:eastAsia="Times New Roman" w:hAnsi="Times New Roman" w:cs="Times New Roman"/>
                <w:i/>
                <w:sz w:val="32"/>
                <w:szCs w:val="32"/>
                <w:lang w:val="en-US" w:eastAsia="ru-RU"/>
              </w:rPr>
              <w:t>g</w:t>
            </w:r>
            <w:proofErr w:type="spellStart"/>
            <w:r w:rsidRPr="00A942BC">
              <w:rPr>
                <w:rFonts w:ascii="Times New Roman" w:eastAsia="Times New Roman" w:hAnsi="Times New Roman" w:cs="Times New Roman"/>
                <w:i/>
                <w:sz w:val="22"/>
                <w:szCs w:val="22"/>
                <w:lang w:eastAsia="ru-RU"/>
              </w:rPr>
              <w:t>доп</w:t>
            </w:r>
            <w:proofErr w:type="spellEnd"/>
            <w:r w:rsidRPr="00A942BC">
              <w:rPr>
                <w:rFonts w:ascii="Times New Roman" w:eastAsia="Times New Roman" w:hAnsi="Times New Roman" w:cs="Times New Roman"/>
                <w:i/>
                <w:sz w:val="22"/>
                <w:szCs w:val="22"/>
                <w:lang w:eastAsia="ru-RU"/>
              </w:rPr>
              <w:t xml:space="preserve"> </w:t>
            </w:r>
            <w:r w:rsidRPr="00A942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*</w:t>
            </w:r>
            <w:r w:rsidRPr="00A942BC">
              <w:rPr>
                <w:rFonts w:ascii="Times New Roman" w:eastAsia="Times New Roman" w:hAnsi="Times New Roman" w:cs="Times New Roman"/>
                <w:i/>
                <w:sz w:val="32"/>
                <w:szCs w:val="32"/>
                <w:lang w:val="en-US" w:eastAsia="ru-RU"/>
              </w:rPr>
              <w:t xml:space="preserve">b </w:t>
            </w:r>
            <w:r w:rsidRPr="00A942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*</w:t>
            </w:r>
            <w:r w:rsidRPr="00A942BC">
              <w:rPr>
                <w:rFonts w:ascii="Times New Roman" w:eastAsia="Times New Roman" w:hAnsi="Times New Roman" w:cs="Times New Roman"/>
                <w:i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A942BC">
              <w:rPr>
                <w:rFonts w:ascii="Times New Roman" w:eastAsia="Times New Roman" w:hAnsi="Times New Roman" w:cs="Times New Roman"/>
                <w:i/>
                <w:sz w:val="32"/>
                <w:szCs w:val="32"/>
                <w:lang w:val="en-US" w:eastAsia="ru-RU"/>
              </w:rPr>
              <w:t>t</w:t>
            </w:r>
            <w:r w:rsidRPr="00A942BC">
              <w:rPr>
                <w:rFonts w:ascii="Times New Roman" w:eastAsia="Times New Roman" w:hAnsi="Times New Roman" w:cs="Times New Roman"/>
                <w:i/>
                <w:sz w:val="22"/>
                <w:szCs w:val="22"/>
                <w:lang w:val="en-US" w:eastAsia="ru-RU"/>
              </w:rPr>
              <w:t>n</w:t>
            </w:r>
            <w:proofErr w:type="spellEnd"/>
          </w:p>
        </w:tc>
        <w:tc>
          <w:tcPr>
            <w:tcW w:w="943" w:type="dxa"/>
            <w:vAlign w:val="center"/>
            <w:hideMark/>
          </w:tcPr>
          <w:p w:rsidR="0044419C" w:rsidRPr="0044419C" w:rsidRDefault="0044419C" w:rsidP="0044419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44419C" w:rsidRPr="0044419C" w:rsidRDefault="0044419C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r w:rsidRPr="0044419C">
        <w:rPr>
          <w:rFonts w:ascii="Times New Roman" w:eastAsia="Microsoft Sans Serif" w:hAnsi="Times New Roman" w:cs="Times New Roman"/>
          <w:i/>
          <w:sz w:val="28"/>
          <w:szCs w:val="28"/>
          <w:lang w:val="en-US" w:eastAsia="ru-RU"/>
        </w:rPr>
        <w:t>g</w:t>
      </w:r>
      <w:proofErr w:type="spellStart"/>
      <w:r w:rsidRPr="0044419C">
        <w:rPr>
          <w:rFonts w:ascii="Times New Roman" w:eastAsia="Microsoft Sans Serif" w:hAnsi="Times New Roman" w:cs="Times New Roman"/>
          <w:sz w:val="28"/>
          <w:szCs w:val="28"/>
          <w:vertAlign w:val="subscript"/>
          <w:lang w:eastAsia="ru-RU"/>
        </w:rPr>
        <w:t>доп</w:t>
      </w:r>
      <w:proofErr w:type="spellEnd"/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допустимая плотность тока, </w:t>
      </w:r>
      <w:r w:rsidRPr="0044419C">
        <w:rPr>
          <w:rFonts w:ascii="Times New Roman" w:eastAsia="Microsoft Sans Serif" w:hAnsi="Times New Roman" w:cs="Times New Roman"/>
          <w:i/>
          <w:sz w:val="28"/>
          <w:szCs w:val="28"/>
          <w:lang w:val="en-US" w:eastAsia="ru-RU"/>
        </w:rPr>
        <w:t>g</w:t>
      </w:r>
      <w:r w:rsidRPr="0044419C">
        <w:rPr>
          <w:rFonts w:ascii="Times New Roman" w:eastAsia="Microsoft Sans Serif" w:hAnsi="Times New Roman" w:cs="Times New Roman"/>
          <w:sz w:val="28"/>
          <w:szCs w:val="28"/>
          <w:vertAlign w:val="subscript"/>
          <w:lang w:eastAsia="ru-RU"/>
        </w:rPr>
        <w:t>доп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=78 А/мм</w:t>
      </w:r>
      <w:r w:rsidRPr="0044419C">
        <w:rPr>
          <w:rFonts w:ascii="Times New Roman" w:eastAsia="Microsoft Sans Serif" w:hAnsi="Times New Roman" w:cs="Times New Roman"/>
          <w:sz w:val="28"/>
          <w:szCs w:val="28"/>
          <w:vertAlign w:val="superscript"/>
          <w:lang w:eastAsia="ru-RU"/>
        </w:rPr>
        <w:t>2</w:t>
      </w:r>
      <w:r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для проводников, полученных ком</w:t>
      </w:r>
      <w:r w:rsidR="00343CA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бинированным позитивным методом.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расчета паразитной ёмкости выбирается участок, где она наибольшая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Times New Roman" w:hAnsi="Times New Roman" w:cs="Times New Roman"/>
          <w:sz w:val="28"/>
          <w:szCs w:val="28"/>
          <w:lang w:eastAsia="ru-RU"/>
        </w:rPr>
        <w:t>Ёмкость между двумя выбранными проводящими элементами определяем по формуле: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/>
      </w:tblPr>
      <w:tblGrid>
        <w:gridCol w:w="9039"/>
        <w:gridCol w:w="532"/>
      </w:tblGrid>
      <w:tr w:rsidR="0044419C" w:rsidRPr="0044419C" w:rsidTr="00532FBD">
        <w:tc>
          <w:tcPr>
            <w:tcW w:w="9039" w:type="dxa"/>
            <w:vAlign w:val="center"/>
            <w:hideMark/>
          </w:tcPr>
          <w:p w:rsidR="0044419C" w:rsidRPr="0044419C" w:rsidRDefault="0044419C" w:rsidP="0044419C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419C">
              <w:rPr>
                <w:rFonts w:ascii="Times New Roman" w:eastAsia="Microsoft Sans Serif" w:hAnsi="Times New Roman" w:cs="Times New Roman"/>
                <w:position w:val="-76"/>
                <w:sz w:val="28"/>
                <w:szCs w:val="28"/>
                <w:lang w:eastAsia="ru-RU"/>
              </w:rPr>
              <w:object w:dxaOrig="2320" w:dyaOrig="1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5pt;height:43.5pt" o:ole="" fillcolor="window">
                  <v:imagedata r:id="rId5" o:title=""/>
                </v:shape>
                <o:OLEObject Type="Embed" ProgID="Equation.DSMT4" ShapeID="_x0000_i1025" DrawAspect="Content" ObjectID="_1599424688" r:id="rId6"/>
              </w:object>
            </w:r>
          </w:p>
        </w:tc>
        <w:tc>
          <w:tcPr>
            <w:tcW w:w="532" w:type="dxa"/>
            <w:vAlign w:val="center"/>
            <w:hideMark/>
          </w:tcPr>
          <w:p w:rsidR="0044419C" w:rsidRPr="0044419C" w:rsidRDefault="0044419C" w:rsidP="0044419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419C" w:rsidRPr="0044419C" w:rsidRDefault="004B794A" w:rsidP="0044419C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>где</w:t>
      </w:r>
      <w:r w:rsidR="0044419C" w:rsidRPr="0044419C">
        <w:rPr>
          <w:rFonts w:ascii="Times New Roman" w:eastAsia="Microsoft Sans Serif" w:hAnsi="Times New Roman" w:cs="Times New Roman"/>
          <w:position w:val="-12"/>
          <w:sz w:val="28"/>
          <w:szCs w:val="28"/>
          <w:lang w:eastAsia="ru-RU"/>
        </w:rPr>
        <w:object w:dxaOrig="320" w:dyaOrig="360">
          <v:shape id="_x0000_i1026" type="#_x0000_t75" style="width:14.25pt;height:21.75pt" o:ole="">
            <v:imagedata r:id="rId7" o:title=""/>
          </v:shape>
          <o:OLEObject Type="Embed" ProgID="Equation.3" ShapeID="_x0000_i1026" DrawAspect="Content" ObjectID="_1599424689" r:id="rId8"/>
        </w:objec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диэлектрическая проницаемость среды между проводниками, расположенных на наружных поверхностях платы, покрытой лаком.</w:t>
      </w:r>
      <w:proofErr w:type="gramEnd"/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/>
      </w:tblPr>
      <w:tblGrid>
        <w:gridCol w:w="9039"/>
        <w:gridCol w:w="532"/>
      </w:tblGrid>
      <w:tr w:rsidR="0044419C" w:rsidRPr="0044419C" w:rsidTr="00532FBD">
        <w:tc>
          <w:tcPr>
            <w:tcW w:w="9039" w:type="dxa"/>
            <w:vAlign w:val="center"/>
            <w:hideMark/>
          </w:tcPr>
          <w:p w:rsidR="0044419C" w:rsidRPr="0044419C" w:rsidRDefault="007262D7" w:rsidP="007262D7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419C">
              <w:rPr>
                <w:rFonts w:ascii="Times New Roman" w:eastAsia="Microsoft Sans Serif" w:hAnsi="Times New Roman" w:cs="Times New Roman"/>
                <w:position w:val="-12"/>
                <w:sz w:val="28"/>
                <w:szCs w:val="28"/>
                <w:lang w:eastAsia="ru-RU"/>
              </w:rPr>
              <w:object w:dxaOrig="320" w:dyaOrig="360">
                <v:shape id="_x0000_i1027" type="#_x0000_t75" style="width:14.25pt;height:21.75pt" o:ole="">
                  <v:imagedata r:id="rId7" o:title=""/>
                </v:shape>
                <o:OLEObject Type="Embed" ProgID="Equation.3" ShapeID="_x0000_i1027" DrawAspect="Content" ObjectID="_1599424690" r:id="rId9"/>
              </w:object>
            </w:r>
            <w:r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 xml:space="preserve">  = 0,5 </w:t>
            </w:r>
            <w:r w:rsidR="009977C8">
              <w:rPr>
                <w:rFonts w:ascii="Times New Roman" w:eastAsia="Microsoft Sans Serif" w:hAnsi="Times New Roman" w:cs="Times New Roman"/>
                <w:lang w:eastAsia="ru-RU"/>
              </w:rPr>
              <w:t>*</w:t>
            </w:r>
            <w:r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 xml:space="preserve"> ( </w:t>
            </w:r>
            <w:r w:rsidRPr="007262D7">
              <w:rPr>
                <w:rFonts w:ascii="Times New Roman" w:eastAsia="Microsoft Sans Serif" w:hAnsi="Times New Roman" w:cs="Times New Roman"/>
                <w:sz w:val="32"/>
                <w:szCs w:val="32"/>
                <w:lang w:eastAsia="ru-RU"/>
              </w:rPr>
              <w:sym w:font="Symbol" w:char="F078"/>
            </w:r>
            <w:proofErr w:type="spellStart"/>
            <w:proofErr w:type="gramStart"/>
            <w:r w:rsidRPr="007262D7">
              <w:rPr>
                <w:rFonts w:ascii="Times New Roman" w:eastAsia="Microsoft Sans Serif" w:hAnsi="Times New Roman" w:cs="Times New Roman"/>
                <w:sz w:val="32"/>
                <w:szCs w:val="32"/>
                <w:vertAlign w:val="subscript"/>
                <w:lang w:eastAsia="ru-RU"/>
              </w:rPr>
              <w:t>п</w:t>
            </w:r>
            <w:proofErr w:type="spellEnd"/>
            <w:proofErr w:type="gramEnd"/>
            <w:r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 xml:space="preserve"> +</w:t>
            </w:r>
            <w:r w:rsidRPr="0044419C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262D7">
              <w:rPr>
                <w:rFonts w:ascii="Times New Roman" w:eastAsia="Microsoft Sans Serif" w:hAnsi="Times New Roman" w:cs="Times New Roman"/>
                <w:sz w:val="32"/>
                <w:szCs w:val="32"/>
                <w:lang w:eastAsia="ru-RU"/>
              </w:rPr>
              <w:sym w:font="Symbol" w:char="F078"/>
            </w:r>
            <w:r w:rsidRPr="007262D7">
              <w:rPr>
                <w:rFonts w:ascii="Times New Roman" w:eastAsia="Microsoft Sans Serif" w:hAnsi="Times New Roman" w:cs="Times New Roman"/>
                <w:sz w:val="32"/>
                <w:szCs w:val="32"/>
                <w:vertAlign w:val="subscript"/>
                <w:lang w:eastAsia="ru-RU"/>
              </w:rPr>
              <w:t>л</w:t>
            </w:r>
            <w:r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 xml:space="preserve"> )</w:t>
            </w:r>
            <w:r w:rsidR="0044419C" w:rsidRPr="00444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32" w:type="dxa"/>
            <w:vAlign w:val="center"/>
            <w:hideMark/>
          </w:tcPr>
          <w:p w:rsidR="0044419C" w:rsidRPr="0044419C" w:rsidRDefault="0044419C" w:rsidP="0044419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val="en-US" w:eastAsia="ru-RU"/>
        </w:rPr>
      </w:pPr>
    </w:p>
    <w:p w:rsidR="00343CAC" w:rsidRDefault="0044419C" w:rsidP="004B794A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r w:rsidRPr="007262D7">
        <w:rPr>
          <w:rFonts w:ascii="Times New Roman" w:eastAsia="Microsoft Sans Serif" w:hAnsi="Times New Roman" w:cs="Times New Roman"/>
          <w:sz w:val="32"/>
          <w:szCs w:val="32"/>
          <w:lang w:eastAsia="ru-RU"/>
        </w:rPr>
        <w:sym w:font="Symbol" w:char="F078"/>
      </w:r>
      <w:r w:rsidRPr="007262D7">
        <w:rPr>
          <w:rFonts w:ascii="Times New Roman" w:eastAsia="Microsoft Sans Serif" w:hAnsi="Times New Roman" w:cs="Times New Roman"/>
          <w:sz w:val="32"/>
          <w:szCs w:val="32"/>
          <w:vertAlign w:val="subscript"/>
          <w:lang w:eastAsia="ru-RU"/>
        </w:rPr>
        <w:t>п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и </w:t>
      </w:r>
      <w:r w:rsidRPr="007262D7">
        <w:rPr>
          <w:rFonts w:ascii="Times New Roman" w:eastAsia="Microsoft Sans Serif" w:hAnsi="Times New Roman" w:cs="Times New Roman"/>
          <w:sz w:val="32"/>
          <w:szCs w:val="32"/>
          <w:lang w:eastAsia="ru-RU"/>
        </w:rPr>
        <w:sym w:font="Symbol" w:char="F078"/>
      </w:r>
      <w:r w:rsidRPr="007262D7">
        <w:rPr>
          <w:rFonts w:ascii="Times New Roman" w:eastAsia="Microsoft Sans Serif" w:hAnsi="Times New Roman" w:cs="Times New Roman"/>
          <w:sz w:val="32"/>
          <w:szCs w:val="32"/>
          <w:vertAlign w:val="subscript"/>
          <w:lang w:eastAsia="ru-RU"/>
        </w:rPr>
        <w:t>л</w:t>
      </w:r>
      <w:r w:rsidR="007262D7">
        <w:rPr>
          <w:rFonts w:ascii="Times New Roman" w:eastAsia="Microsoft Sans Serif" w:hAnsi="Times New Roman" w:cs="Times New Roman"/>
          <w:sz w:val="32"/>
          <w:szCs w:val="32"/>
          <w:vertAlign w:val="subscript"/>
          <w:lang w:eastAsia="ru-RU"/>
        </w:rPr>
        <w:t xml:space="preserve"> 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- диэлектрические проницаемости материала платы и лака (для стеклотекстолита 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sym w:font="Symbol" w:char="F078"/>
      </w:r>
      <w:r w:rsidRPr="007262D7">
        <w:rPr>
          <w:rFonts w:ascii="Times New Roman" w:eastAsia="Microsoft Sans Serif" w:hAnsi="Times New Roman" w:cs="Times New Roman"/>
          <w:sz w:val="24"/>
          <w:szCs w:val="24"/>
          <w:vertAlign w:val="subscript"/>
          <w:lang w:eastAsia="ru-RU"/>
        </w:rPr>
        <w:t>П</w:t>
      </w:r>
      <w:r w:rsidRPr="007262D7">
        <w:rPr>
          <w:rFonts w:ascii="Times New Roman" w:eastAsia="Microsoft Sans Serif" w:hAnsi="Times New Roman" w:cs="Times New Roman"/>
          <w:sz w:val="24"/>
          <w:szCs w:val="24"/>
          <w:lang w:eastAsia="ru-RU"/>
        </w:rPr>
        <w:t xml:space="preserve"> 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= 6, для лака 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sym w:font="Symbol" w:char="F078"/>
      </w:r>
      <w:r w:rsidRPr="007262D7">
        <w:rPr>
          <w:rFonts w:ascii="Times New Roman" w:eastAsia="Microsoft Sans Serif" w:hAnsi="Times New Roman" w:cs="Times New Roman"/>
          <w:sz w:val="24"/>
          <w:szCs w:val="24"/>
          <w:vertAlign w:val="subscript"/>
          <w:lang w:eastAsia="ru-RU"/>
        </w:rPr>
        <w:t>Л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=4).</w:t>
      </w:r>
    </w:p>
    <w:p w:rsidR="00343CAC" w:rsidRDefault="004B794A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7262D7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      </w:t>
      </w:r>
      <w:proofErr w:type="spellStart"/>
      <w:r w:rsidR="0044419C" w:rsidRPr="007262D7">
        <w:rPr>
          <w:rFonts w:ascii="Times New Roman" w:eastAsia="Microsoft Sans Serif" w:hAnsi="Times New Roman" w:cs="Times New Roman"/>
          <w:i/>
          <w:sz w:val="32"/>
          <w:szCs w:val="32"/>
          <w:lang w:eastAsia="ru-RU"/>
        </w:rPr>
        <w:t>l</w:t>
      </w:r>
      <w:r w:rsidR="0044419C" w:rsidRPr="007262D7">
        <w:rPr>
          <w:rFonts w:ascii="Times New Roman" w:eastAsia="Microsoft Sans Serif" w:hAnsi="Times New Roman" w:cs="Times New Roman"/>
          <w:i/>
          <w:sz w:val="32"/>
          <w:szCs w:val="32"/>
          <w:vertAlign w:val="subscript"/>
          <w:lang w:eastAsia="ru-RU"/>
        </w:rPr>
        <w:t>n</w:t>
      </w:r>
      <w:proofErr w:type="spellEnd"/>
      <w:r w:rsidR="0044419C" w:rsidRPr="007262D7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– длина участка, на котором проводники параллельны друг </w:t>
      </w:r>
      <w:r w:rsidR="00343CA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другу, мм</w:t>
      </w:r>
      <w:r w:rsidR="007262D7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343CAC" w:rsidRPr="004B794A" w:rsidRDefault="004B794A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b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мм;</w:t>
      </w:r>
    </w:p>
    <w:p w:rsidR="00343CAC" w:rsidRDefault="004B794A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proofErr w:type="spellStart"/>
      <w:r w:rsidR="0044419C" w:rsidRPr="007262D7">
        <w:rPr>
          <w:rFonts w:ascii="Times New Roman" w:eastAsia="Microsoft Sans Serif" w:hAnsi="Times New Roman" w:cs="Times New Roman"/>
          <w:i/>
          <w:sz w:val="36"/>
          <w:szCs w:val="36"/>
          <w:lang w:eastAsia="ru-RU"/>
        </w:rPr>
        <w:t>t</w:t>
      </w:r>
      <w:r w:rsidR="0044419C" w:rsidRPr="007262D7">
        <w:rPr>
          <w:rFonts w:ascii="Times New Roman" w:eastAsia="Microsoft Sans Serif" w:hAnsi="Times New Roman" w:cs="Times New Roman"/>
          <w:i/>
          <w:sz w:val="32"/>
          <w:szCs w:val="32"/>
          <w:vertAlign w:val="subscript"/>
          <w:lang w:eastAsia="ru-RU"/>
        </w:rPr>
        <w:t>n</w:t>
      </w:r>
      <w:proofErr w:type="spellEnd"/>
      <w:r w:rsidRPr="007262D7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>– толщина проводника, мм;</w:t>
      </w:r>
    </w:p>
    <w:p w:rsidR="0044419C" w:rsidRPr="0044419C" w:rsidRDefault="004B794A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а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диэлектрика, мм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tblLook w:val="04A0"/>
      </w:tblPr>
      <w:tblGrid>
        <w:gridCol w:w="8830"/>
        <w:gridCol w:w="525"/>
      </w:tblGrid>
      <w:tr w:rsidR="0044419C" w:rsidRPr="0044419C" w:rsidTr="004B794A">
        <w:tc>
          <w:tcPr>
            <w:tcW w:w="8830" w:type="dxa"/>
            <w:vAlign w:val="center"/>
            <w:hideMark/>
          </w:tcPr>
          <w:p w:rsidR="0044419C" w:rsidRPr="0044419C" w:rsidRDefault="0044419C" w:rsidP="0044419C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44419C" w:rsidRPr="0044419C" w:rsidRDefault="0044419C" w:rsidP="0044419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 паразитн</w:t>
      </w:r>
      <w:r w:rsidRPr="0044419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ая</w:t>
      </w:r>
      <w:r w:rsidRPr="00444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индуктивность проводников печатной платы. Собственная индуктивность печатного проводника, определяется по формуле:</w:t>
      </w:r>
    </w:p>
    <w:tbl>
      <w:tblPr>
        <w:tblW w:w="0" w:type="auto"/>
        <w:tblLook w:val="04A0"/>
      </w:tblPr>
      <w:tblGrid>
        <w:gridCol w:w="9039"/>
        <w:gridCol w:w="532"/>
      </w:tblGrid>
      <w:tr w:rsidR="0044419C" w:rsidRPr="0044419C" w:rsidTr="00532FBD">
        <w:tc>
          <w:tcPr>
            <w:tcW w:w="9039" w:type="dxa"/>
            <w:vAlign w:val="center"/>
            <w:hideMark/>
          </w:tcPr>
          <w:p w:rsidR="0044419C" w:rsidRPr="0044419C" w:rsidRDefault="0044419C" w:rsidP="0044419C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419C">
              <w:rPr>
                <w:rFonts w:ascii="Times New Roman" w:eastAsia="Microsoft Sans Serif" w:hAnsi="Times New Roman" w:cs="Times New Roman"/>
                <w:position w:val="-28"/>
                <w:sz w:val="28"/>
                <w:szCs w:val="28"/>
                <w:lang w:eastAsia="ru-RU"/>
              </w:rPr>
              <w:object w:dxaOrig="6960" w:dyaOrig="720">
                <v:shape id="_x0000_i1028" type="#_x0000_t75" style="width:4in;height:28.5pt" o:ole="">
                  <v:imagedata r:id="rId10" o:title=""/>
                </v:shape>
                <o:OLEObject Type="Embed" ProgID="Equation.DSMT4" ShapeID="_x0000_i1028" DrawAspect="Content" ObjectID="_1599424691" r:id="rId11"/>
              </w:object>
            </w:r>
          </w:p>
        </w:tc>
        <w:tc>
          <w:tcPr>
            <w:tcW w:w="532" w:type="dxa"/>
            <w:vAlign w:val="center"/>
            <w:hideMark/>
          </w:tcPr>
          <w:p w:rsidR="0044419C" w:rsidRPr="0044419C" w:rsidRDefault="0044419C" w:rsidP="0044419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B794A" w:rsidRDefault="0044419C" w:rsidP="004B794A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l</w:t>
      </w:r>
      <w:r w:rsidRPr="0044419C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длина участка </w:t>
      </w:r>
      <w:r w:rsidR="004B794A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проводника,</w:t>
      </w:r>
      <w:r w:rsidR="004B794A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мм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44419C" w:rsidRPr="0044419C" w:rsidRDefault="004B794A" w:rsidP="004B794A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b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715876" w:rsidRDefault="004B794A" w:rsidP="00715876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proofErr w:type="spellStart"/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t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проводника, мм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.</w:t>
      </w:r>
    </w:p>
    <w:p w:rsidR="00715876" w:rsidRDefault="0044419C" w:rsidP="00715876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lastRenderedPageBreak/>
        <w:t>Индуктивность двух параллельных печатных проводников расположенных с одной стороны печатной платы с зазором</w:t>
      </w:r>
    </w:p>
    <w:p w:rsidR="00715876" w:rsidRDefault="00715876" w:rsidP="00715876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44419C" w:rsidRPr="0044419C" w:rsidRDefault="0044419C" w:rsidP="00715876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и с противоположным направлением тока в них рассчитывается по формуле: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/>
      </w:tblPr>
      <w:tblGrid>
        <w:gridCol w:w="9039"/>
        <w:gridCol w:w="532"/>
      </w:tblGrid>
      <w:tr w:rsidR="0044419C" w:rsidRPr="0044419C" w:rsidTr="00532FBD">
        <w:tc>
          <w:tcPr>
            <w:tcW w:w="9039" w:type="dxa"/>
            <w:vAlign w:val="center"/>
            <w:hideMark/>
          </w:tcPr>
          <w:p w:rsidR="0044419C" w:rsidRPr="0044419C" w:rsidRDefault="0044419C" w:rsidP="0044419C">
            <w:pPr>
              <w:spacing w:after="0"/>
              <w:ind w:firstLine="709"/>
              <w:jc w:val="center"/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</w:pPr>
            <w:r w:rsidRPr="0044419C">
              <w:rPr>
                <w:rFonts w:ascii="Times New Roman" w:eastAsia="Microsoft Sans Serif" w:hAnsi="Times New Roman" w:cs="Times New Roman"/>
                <w:position w:val="-40"/>
                <w:sz w:val="28"/>
                <w:szCs w:val="28"/>
                <w:lang w:eastAsia="ru-RU"/>
              </w:rPr>
              <w:object w:dxaOrig="9240" w:dyaOrig="999">
                <v:shape id="_x0000_i1029" type="#_x0000_t75" style="width:367.5pt;height:36pt" o:ole="">
                  <v:imagedata r:id="rId12" o:title=""/>
                </v:shape>
                <o:OLEObject Type="Embed" ProgID="Equation.DSMT4" ShapeID="_x0000_i1029" DrawAspect="Content" ObjectID="_1599424692" r:id="rId13"/>
              </w:object>
            </w:r>
            <w:r w:rsidRPr="0044419C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32" w:type="dxa"/>
            <w:vAlign w:val="center"/>
            <w:hideMark/>
          </w:tcPr>
          <w:p w:rsidR="0044419C" w:rsidRPr="0044419C" w:rsidRDefault="0044419C" w:rsidP="0044419C">
            <w:pPr>
              <w:spacing w:after="0"/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4419C" w:rsidRPr="0044419C" w:rsidRDefault="0044419C" w:rsidP="0044419C">
      <w:pPr>
        <w:spacing w:after="0"/>
        <w:ind w:firstLine="709"/>
        <w:jc w:val="center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4B794A" w:rsidRDefault="0044419C" w:rsidP="00343CAC">
      <w:pPr>
        <w:spacing w:after="0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l</w:t>
      </w:r>
      <w:r w:rsidRPr="00A942BC">
        <w:rPr>
          <w:rFonts w:ascii="Times New Roman" w:eastAsia="Microsoft Sans Serif" w:hAnsi="Times New Roman" w:cs="Times New Roman"/>
          <w:i/>
          <w:sz w:val="32"/>
          <w:szCs w:val="32"/>
          <w:vertAlign w:val="subscript"/>
          <w:lang w:eastAsia="ru-RU"/>
        </w:rPr>
        <w:t>n</w:t>
      </w:r>
      <w:proofErr w:type="spellEnd"/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длина участка, на котором проводники параллельны друг другу, мм</w:t>
      </w:r>
      <w:r w:rsidR="00EF1338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44419C" w:rsidRPr="0044419C" w:rsidRDefault="004B794A" w:rsidP="00343CAC">
      <w:pPr>
        <w:spacing w:after="0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b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4B794A" w:rsidRDefault="004B794A" w:rsidP="004B794A">
      <w:pPr>
        <w:spacing w:after="0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proofErr w:type="spellStart"/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t</w:t>
      </w:r>
      <w:r w:rsidR="0044419C" w:rsidRPr="00A942BC">
        <w:rPr>
          <w:rFonts w:ascii="Times New Roman" w:eastAsia="Microsoft Sans Serif" w:hAnsi="Times New Roman" w:cs="Times New Roman"/>
          <w:i/>
          <w:sz w:val="32"/>
          <w:szCs w:val="32"/>
          <w:vertAlign w:val="subscript"/>
          <w:lang w:eastAsia="ru-RU"/>
        </w:rPr>
        <w:t>n</w:t>
      </w:r>
      <w:proofErr w:type="spellEnd"/>
      <w:r w:rsidRPr="00A942BC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>– толщина проводника, мм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44419C" w:rsidRPr="0044419C" w:rsidRDefault="004B794A" w:rsidP="004B794A">
      <w:pPr>
        <w:spacing w:after="0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а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диэлектрика, мм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.</w:t>
      </w:r>
    </w:p>
    <w:p w:rsidR="0044419C" w:rsidRDefault="00EF1338" w:rsidP="0044419C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44419C" w:rsidRPr="0044419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значение паразитной емкости и индуктивности малы, то 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4419C" w:rsidRPr="00444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пренебречь и дополнительных мер по ее устранению принимать не следует.</w:t>
      </w:r>
    </w:p>
    <w:p w:rsidR="00116134" w:rsidRPr="0044419C" w:rsidRDefault="00116134" w:rsidP="0044419C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/>
      </w:tblPr>
      <w:tblGrid>
        <w:gridCol w:w="8830"/>
        <w:gridCol w:w="525"/>
      </w:tblGrid>
      <w:tr w:rsidR="00116134" w:rsidRPr="00E70D97" w:rsidTr="00CC4285">
        <w:tc>
          <w:tcPr>
            <w:tcW w:w="8830" w:type="dxa"/>
            <w:vAlign w:val="center"/>
          </w:tcPr>
          <w:p w:rsidR="00CC4285" w:rsidRPr="00CC4285" w:rsidRDefault="002124CD" w:rsidP="002124CD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    </w:t>
            </w:r>
            <w:r w:rsidR="00CC4285" w:rsidRPr="00CC4285">
              <w:rPr>
                <w:rFonts w:ascii="Times New Roman" w:eastAsiaTheme="minorHAnsi" w:hAnsi="Times New Roman" w:cs="Times New Roman"/>
                <w:sz w:val="28"/>
                <w:szCs w:val="28"/>
              </w:rPr>
              <w:t>Отчет по практическому занятию выполняется в виде электронного документа и помещается в личную папку студента.</w:t>
            </w:r>
          </w:p>
          <w:p w:rsidR="00CC4285" w:rsidRPr="00CC4285" w:rsidRDefault="00CC4285" w:rsidP="00CC428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8"/>
                <w:szCs w:val="28"/>
                <w:lang w:eastAsia="ru-RU"/>
              </w:rPr>
            </w:pPr>
          </w:p>
          <w:p w:rsidR="00CC4285" w:rsidRPr="009A2F7F" w:rsidRDefault="00CC4285" w:rsidP="00CC428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i/>
                <w:color w:val="000000" w:themeColor="text1"/>
                <w:kern w:val="24"/>
                <w:sz w:val="28"/>
                <w:szCs w:val="28"/>
                <w:lang w:eastAsia="ru-RU"/>
              </w:rPr>
            </w:pPr>
            <w:r w:rsidRPr="009A2F7F">
              <w:rPr>
                <w:rFonts w:ascii="Times New Roman" w:hAnsi="Times New Roman" w:cs="Times New Roman"/>
                <w:bCs/>
                <w:i/>
                <w:color w:val="000000" w:themeColor="text1"/>
                <w:kern w:val="24"/>
                <w:sz w:val="28"/>
                <w:szCs w:val="28"/>
                <w:lang w:eastAsia="ru-RU"/>
              </w:rPr>
              <w:t>Список рекомендуемых литературных источников</w:t>
            </w:r>
          </w:p>
          <w:p w:rsidR="00BE1752" w:rsidRDefault="00BE1752" w:rsidP="00CC428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i/>
                <w:color w:val="000000" w:themeColor="text1"/>
                <w:kern w:val="24"/>
                <w:sz w:val="28"/>
                <w:szCs w:val="28"/>
                <w:u w:val="single"/>
                <w:lang w:eastAsia="ru-RU"/>
              </w:rPr>
            </w:pPr>
          </w:p>
          <w:p w:rsidR="00BE1752" w:rsidRPr="00BE1752" w:rsidRDefault="00BE1752" w:rsidP="00FF2D18">
            <w:pPr>
              <w:pStyle w:val="af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75"/>
              <w:rPr>
                <w:rFonts w:ascii="Times New Roman" w:hAnsi="Times New Roman"/>
                <w:sz w:val="28"/>
                <w:szCs w:val="28"/>
              </w:rPr>
            </w:pPr>
            <w:r w:rsidRPr="00BE1752">
              <w:rPr>
                <w:rFonts w:ascii="Times New Roman" w:hAnsi="Times New Roman"/>
                <w:sz w:val="28"/>
                <w:szCs w:val="28"/>
              </w:rPr>
              <w:t>Кечиев, Л.Н. Защита электронных средств от воздействия статического электричества: учебное пособие для вузов /Л.Н. Кечиев, Е.Д. Пожидаев. – М.: Издательский Дом "Технологии", 2005. – 328 с.</w:t>
            </w:r>
          </w:p>
          <w:p w:rsidR="00BE1752" w:rsidRPr="00BE1752" w:rsidRDefault="00BE1752" w:rsidP="00BE1752">
            <w:pPr>
              <w:pStyle w:val="af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E1752">
              <w:rPr>
                <w:rFonts w:ascii="Times New Roman" w:hAnsi="Times New Roman"/>
                <w:sz w:val="28"/>
                <w:szCs w:val="28"/>
              </w:rPr>
              <w:t xml:space="preserve"> Кечиев, Л.Н. Электромагнитная совместимость и информационная </w:t>
            </w:r>
          </w:p>
          <w:p w:rsidR="00BE1752" w:rsidRPr="007B5884" w:rsidRDefault="00BE1752" w:rsidP="00BE1752">
            <w:pPr>
              <w:pStyle w:val="afb"/>
              <w:autoSpaceDE w:val="0"/>
              <w:autoSpaceDN w:val="0"/>
              <w:adjustRightInd w:val="0"/>
              <w:spacing w:after="0" w:line="240" w:lineRule="auto"/>
              <w:ind w:left="375"/>
              <w:rPr>
                <w:rFonts w:ascii="Times New Roman" w:hAnsi="Times New Roman"/>
                <w:sz w:val="28"/>
                <w:szCs w:val="28"/>
              </w:rPr>
            </w:pPr>
            <w:r w:rsidRPr="007B5884">
              <w:rPr>
                <w:rFonts w:ascii="Times New Roman" w:hAnsi="Times New Roman"/>
                <w:sz w:val="28"/>
                <w:szCs w:val="28"/>
              </w:rPr>
              <w:t>безопасность в системах телекоммуникаций / Л.Н. Кечиев, П.В. Степанов. – М.: Издательский Дом "Технологии", 2005. – 320 с.</w:t>
            </w:r>
          </w:p>
          <w:p w:rsidR="00BE1752" w:rsidRPr="00BE1752" w:rsidRDefault="00CC4285" w:rsidP="00BE1752">
            <w:pPr>
              <w:pStyle w:val="af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BE1752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Г. В. Мылов. Печатные платы.</w:t>
            </w:r>
            <w:r w:rsidR="00BE1752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 xml:space="preserve"> Выбор базовых материалов </w:t>
            </w:r>
          </w:p>
          <w:p w:rsidR="00CC4285" w:rsidRPr="00BE1752" w:rsidRDefault="00BE1752" w:rsidP="00BE1752">
            <w:pPr>
              <w:pStyle w:val="afb"/>
              <w:spacing w:after="0" w:line="240" w:lineRule="auto"/>
              <w:ind w:left="360"/>
              <w:jc w:val="both"/>
              <w:rPr>
                <w:rFonts w:ascii="Times New Roman" w:eastAsia="TimesNew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 xml:space="preserve">2015, </w:t>
            </w:r>
            <w:r w:rsidR="00CC4285" w:rsidRPr="00BE1752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176 с.</w:t>
            </w:r>
          </w:p>
          <w:p w:rsidR="00CC4285" w:rsidRPr="00BE1752" w:rsidRDefault="00CC4285" w:rsidP="00822210">
            <w:pPr>
              <w:numPr>
                <w:ilvl w:val="0"/>
                <w:numId w:val="4"/>
              </w:numPr>
              <w:tabs>
                <w:tab w:val="left" w:pos="1134"/>
              </w:tabs>
              <w:spacing w:after="0" w:line="240" w:lineRule="auto"/>
              <w:ind w:left="35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Джон </w:t>
            </w:r>
            <w:proofErr w:type="spellStart"/>
            <w:r w:rsidRP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Ардизонни</w:t>
            </w:r>
            <w:proofErr w:type="spellEnd"/>
            <w:r w:rsidRP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. Практическое руководство по разработке многослойных печатных плат / Джон </w:t>
            </w:r>
            <w:proofErr w:type="spellStart"/>
            <w:r w:rsidRP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Ардизонни</w:t>
            </w:r>
            <w:proofErr w:type="spellEnd"/>
            <w:r w:rsidRP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// </w:t>
            </w:r>
            <w:r w:rsid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Научный аспект. – 2012. – №1. </w:t>
            </w:r>
            <w:r w:rsidRP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с. 133 – 136.</w:t>
            </w:r>
          </w:p>
          <w:p w:rsidR="00CC4285" w:rsidRPr="00CC4285" w:rsidRDefault="00CC4285" w:rsidP="00BE1752">
            <w:pPr>
              <w:numPr>
                <w:ilvl w:val="0"/>
                <w:numId w:val="4"/>
              </w:numPr>
              <w:spacing w:after="0" w:line="240" w:lineRule="auto"/>
              <w:ind w:left="357"/>
              <w:contextualSpacing/>
              <w:jc w:val="both"/>
              <w:rPr>
                <w:rFonts w:ascii="Times New Roman" w:eastAsia="TimesNew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А.Н. </w:t>
            </w: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Гормаков, Н.А. Воронина. Конструирование и технология электронных устройств приборов. Печатные платы. 2006 г.,164 с. </w:t>
            </w:r>
          </w:p>
          <w:p w:rsidR="00BE1752" w:rsidRPr="00BE1752" w:rsidRDefault="00CC4285" w:rsidP="00BE1752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А. Медведев. </w:t>
            </w:r>
            <w:r w:rsidRPr="00CC4285"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lang w:eastAsia="ru-RU"/>
              </w:rPr>
              <w:t xml:space="preserve">Технология производства печатных плат. </w:t>
            </w:r>
          </w:p>
          <w:p w:rsidR="00CC4285" w:rsidRPr="00CC4285" w:rsidRDefault="00CC4285" w:rsidP="00BE1752">
            <w:pPr>
              <w:spacing w:after="0" w:line="240" w:lineRule="auto"/>
              <w:ind w:left="360"/>
              <w:contextualSpacing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lang w:eastAsia="ru-RU"/>
              </w:rPr>
              <w:t>2005 г., 360 с. </w:t>
            </w:r>
          </w:p>
          <w:p w:rsidR="00CC4285" w:rsidRPr="00CC4285" w:rsidRDefault="00CC4285" w:rsidP="00BE1752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Л.А. Брусницына, Е.И. Степановских. </w:t>
            </w:r>
            <w:r w:rsidRPr="00CC4285"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lang w:eastAsia="ru-RU"/>
              </w:rPr>
              <w:t>Технология изготовления печатных плат. Учебное пособие. 2015 г. 200 с. </w:t>
            </w:r>
          </w:p>
          <w:p w:rsidR="00CC4285" w:rsidRPr="00CC4285" w:rsidRDefault="00CC4285" w:rsidP="00BE1752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Остек. Материалы для пайки и ремонт печатных плат. 2013 г., 96 с. </w:t>
            </w:r>
          </w:p>
          <w:p w:rsidR="00CC4285" w:rsidRPr="00CC4285" w:rsidRDefault="00CC4285" w:rsidP="00BE1752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42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ГОСТ 29137−91 </w:t>
            </w: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</w:rPr>
              <w:t>Формовка выводов и установка изделий электронной техники на печатные платы.</w:t>
            </w:r>
          </w:p>
          <w:p w:rsidR="00CC4285" w:rsidRPr="00CC4285" w:rsidRDefault="00CC4285" w:rsidP="00BE1752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</w:pPr>
            <w:r w:rsidRPr="00CC4285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lastRenderedPageBreak/>
              <w:t xml:space="preserve">ГОСТ Р 53432-2009 Платы печатные. Общие технические требования к производству. </w:t>
            </w:r>
          </w:p>
          <w:p w:rsidR="00CC4285" w:rsidRPr="00CC4285" w:rsidRDefault="00CC4285" w:rsidP="00CC4285">
            <w:pPr>
              <w:spacing w:after="0" w:line="240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</w:pPr>
          </w:p>
          <w:p w:rsidR="00CC4285" w:rsidRPr="00CC4285" w:rsidRDefault="00CC4285" w:rsidP="00CC4285">
            <w:pPr>
              <w:widowControl w:val="0"/>
              <w:spacing w:after="0" w:line="240" w:lineRule="auto"/>
              <w:ind w:left="720"/>
              <w:rPr>
                <w:bCs/>
                <w:color w:val="000000" w:themeColor="text1"/>
                <w:kern w:val="24"/>
                <w:sz w:val="28"/>
                <w:szCs w:val="28"/>
              </w:rPr>
            </w:pPr>
          </w:p>
          <w:p w:rsidR="00116134" w:rsidRPr="00E70D97" w:rsidRDefault="00116134" w:rsidP="00056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116134" w:rsidRPr="00E70D97" w:rsidRDefault="00116134" w:rsidP="0005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</w:tbl>
    <w:p w:rsidR="0044419C" w:rsidRPr="0044419C" w:rsidRDefault="0044419C">
      <w:pPr>
        <w:rPr>
          <w:rFonts w:ascii="Times New Roman" w:hAnsi="Times New Roman" w:cs="Times New Roman"/>
          <w:b/>
          <w:sz w:val="28"/>
          <w:szCs w:val="28"/>
        </w:rPr>
      </w:pPr>
    </w:p>
    <w:p w:rsidR="00715876" w:rsidRPr="0044419C" w:rsidRDefault="00715876">
      <w:pPr>
        <w:rPr>
          <w:rFonts w:ascii="Times New Roman" w:hAnsi="Times New Roman" w:cs="Times New Roman"/>
          <w:b/>
          <w:sz w:val="28"/>
          <w:szCs w:val="28"/>
        </w:rPr>
      </w:pPr>
    </w:p>
    <w:sectPr w:rsidR="00715876" w:rsidRPr="0044419C" w:rsidSect="00E36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B652B"/>
    <w:multiLevelType w:val="hybridMultilevel"/>
    <w:tmpl w:val="3B1289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97807"/>
    <w:multiLevelType w:val="hybridMultilevel"/>
    <w:tmpl w:val="0DD4BC1E"/>
    <w:lvl w:ilvl="0" w:tplc="4CFCE1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4419C"/>
    <w:rsid w:val="00074E12"/>
    <w:rsid w:val="00116134"/>
    <w:rsid w:val="00126F4D"/>
    <w:rsid w:val="001332D1"/>
    <w:rsid w:val="001654DB"/>
    <w:rsid w:val="002003BF"/>
    <w:rsid w:val="002124CD"/>
    <w:rsid w:val="00310B3D"/>
    <w:rsid w:val="00343CAC"/>
    <w:rsid w:val="0044419C"/>
    <w:rsid w:val="004621F9"/>
    <w:rsid w:val="00492A31"/>
    <w:rsid w:val="004B794A"/>
    <w:rsid w:val="004E127A"/>
    <w:rsid w:val="00532FBD"/>
    <w:rsid w:val="00715876"/>
    <w:rsid w:val="007262D7"/>
    <w:rsid w:val="00763313"/>
    <w:rsid w:val="008976E8"/>
    <w:rsid w:val="008A56A5"/>
    <w:rsid w:val="009977C8"/>
    <w:rsid w:val="009A2F7F"/>
    <w:rsid w:val="00A942BC"/>
    <w:rsid w:val="00B9616E"/>
    <w:rsid w:val="00BE1752"/>
    <w:rsid w:val="00CC4285"/>
    <w:rsid w:val="00E11E04"/>
    <w:rsid w:val="00E3674D"/>
    <w:rsid w:val="00EF1338"/>
    <w:rsid w:val="00F46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2BC"/>
  </w:style>
  <w:style w:type="paragraph" w:styleId="1">
    <w:name w:val="heading 1"/>
    <w:basedOn w:val="a"/>
    <w:next w:val="a"/>
    <w:link w:val="10"/>
    <w:uiPriority w:val="9"/>
    <w:qFormat/>
    <w:rsid w:val="00A942B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2B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44419C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1"/>
    <w:uiPriority w:val="99"/>
    <w:locked/>
    <w:rsid w:val="0044419C"/>
    <w:rPr>
      <w:sz w:val="26"/>
      <w:shd w:val="clear" w:color="auto" w:fill="FFFFFF"/>
    </w:rPr>
  </w:style>
  <w:style w:type="paragraph" w:customStyle="1" w:styleId="31">
    <w:name w:val="Основной текст3"/>
    <w:basedOn w:val="a"/>
    <w:link w:val="a3"/>
    <w:uiPriority w:val="99"/>
    <w:rsid w:val="0044419C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character" w:styleId="a4">
    <w:name w:val="annotation reference"/>
    <w:basedOn w:val="a0"/>
    <w:uiPriority w:val="99"/>
    <w:semiHidden/>
    <w:unhideWhenUsed/>
    <w:rsid w:val="004B794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B794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B794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B794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B794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B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B794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942B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42B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A942B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942B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942B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942B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942B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942B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942B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b">
    <w:name w:val="caption"/>
    <w:basedOn w:val="a"/>
    <w:next w:val="a"/>
    <w:uiPriority w:val="35"/>
    <w:semiHidden/>
    <w:unhideWhenUsed/>
    <w:qFormat/>
    <w:rsid w:val="00A942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A942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d">
    <w:name w:val="Название Знак"/>
    <w:basedOn w:val="a0"/>
    <w:link w:val="ac"/>
    <w:uiPriority w:val="10"/>
    <w:rsid w:val="00A942B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e">
    <w:name w:val="Subtitle"/>
    <w:basedOn w:val="a"/>
    <w:next w:val="a"/>
    <w:link w:val="af"/>
    <w:uiPriority w:val="11"/>
    <w:qFormat/>
    <w:rsid w:val="00A942B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">
    <w:name w:val="Подзаголовок Знак"/>
    <w:basedOn w:val="a0"/>
    <w:link w:val="ae"/>
    <w:uiPriority w:val="11"/>
    <w:rsid w:val="00A942BC"/>
    <w:rPr>
      <w:caps/>
      <w:color w:val="404040" w:themeColor="text1" w:themeTint="BF"/>
      <w:spacing w:val="20"/>
      <w:sz w:val="28"/>
      <w:szCs w:val="28"/>
    </w:rPr>
  </w:style>
  <w:style w:type="character" w:styleId="af0">
    <w:name w:val="Strong"/>
    <w:basedOn w:val="a0"/>
    <w:uiPriority w:val="22"/>
    <w:qFormat/>
    <w:rsid w:val="00A942BC"/>
    <w:rPr>
      <w:b/>
      <w:bCs/>
    </w:rPr>
  </w:style>
  <w:style w:type="character" w:styleId="af1">
    <w:name w:val="Emphasis"/>
    <w:basedOn w:val="a0"/>
    <w:uiPriority w:val="20"/>
    <w:qFormat/>
    <w:rsid w:val="00A942BC"/>
    <w:rPr>
      <w:i/>
      <w:iCs/>
      <w:color w:val="000000" w:themeColor="text1"/>
    </w:rPr>
  </w:style>
  <w:style w:type="paragraph" w:styleId="af2">
    <w:name w:val="No Spacing"/>
    <w:uiPriority w:val="1"/>
    <w:qFormat/>
    <w:rsid w:val="00A942B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942B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942B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A942B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4">
    <w:name w:val="Выделенная цитата Знак"/>
    <w:basedOn w:val="a0"/>
    <w:link w:val="af3"/>
    <w:uiPriority w:val="30"/>
    <w:rsid w:val="00A942BC"/>
    <w:rPr>
      <w:rFonts w:asciiTheme="majorHAnsi" w:eastAsiaTheme="majorEastAsia" w:hAnsiTheme="majorHAnsi" w:cstheme="majorBidi"/>
      <w:sz w:val="24"/>
      <w:szCs w:val="24"/>
    </w:rPr>
  </w:style>
  <w:style w:type="character" w:styleId="af5">
    <w:name w:val="Subtle Emphasis"/>
    <w:basedOn w:val="a0"/>
    <w:uiPriority w:val="19"/>
    <w:qFormat/>
    <w:rsid w:val="00A942BC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A942B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7">
    <w:name w:val="Subtle Reference"/>
    <w:basedOn w:val="a0"/>
    <w:uiPriority w:val="31"/>
    <w:qFormat/>
    <w:rsid w:val="00A942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A942BC"/>
    <w:rPr>
      <w:b/>
      <w:bCs/>
      <w:caps w:val="0"/>
      <w:smallCaps/>
      <w:color w:val="auto"/>
      <w:spacing w:val="0"/>
      <w:u w:val="single"/>
    </w:rPr>
  </w:style>
  <w:style w:type="character" w:styleId="af9">
    <w:name w:val="Book Title"/>
    <w:basedOn w:val="a0"/>
    <w:uiPriority w:val="33"/>
    <w:qFormat/>
    <w:rsid w:val="00A942BC"/>
    <w:rPr>
      <w:b/>
      <w:bCs/>
      <w:caps w:val="0"/>
      <w:smallCaps/>
      <w:spacing w:val="0"/>
    </w:rPr>
  </w:style>
  <w:style w:type="paragraph" w:styleId="afa">
    <w:name w:val="TOC Heading"/>
    <w:basedOn w:val="1"/>
    <w:next w:val="a"/>
    <w:uiPriority w:val="39"/>
    <w:semiHidden/>
    <w:unhideWhenUsed/>
    <w:qFormat/>
    <w:rsid w:val="00A942BC"/>
    <w:pPr>
      <w:outlineLvl w:val="9"/>
    </w:pPr>
  </w:style>
  <w:style w:type="paragraph" w:styleId="afb">
    <w:name w:val="List Paragraph"/>
    <w:basedOn w:val="a"/>
    <w:uiPriority w:val="34"/>
    <w:qFormat/>
    <w:rsid w:val="00BE1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13</cp:revision>
  <dcterms:created xsi:type="dcterms:W3CDTF">2017-12-05T20:41:00Z</dcterms:created>
  <dcterms:modified xsi:type="dcterms:W3CDTF">2018-09-25T20:52:00Z</dcterms:modified>
</cp:coreProperties>
</file>