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132348802037724247</Id>
    <Name>Sylwia</Name>
    <Surname>Makowska</Surname>
    <PESEL>83020882431</PESEL>
    <Address>UL. ARTYLERYJSKA 87/30, 56-467</Address>
    <PhoneNumber>308-268-866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