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132348808115112876</Id>
    <Name>Wojciech</Name>
    <Surname>Kowalski</Surname>
    <PESEL>90061724576</PESEL>
    <Address>UL. AUSTRIACKA 140/47, 50-475</Address>
    <PhoneNumber>181-351-315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