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132348808129577099</Id>
    <Name>Marzena</Name>
    <Surname>Sadowska</Surname>
    <PESEL>76031940442</PESEL>
    <Address>UL. GEN. ROMANA ABRAHAMA 96/78, 58-217</Address>
    <PhoneNumber>225-921-922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