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D976" w14:textId="6977E768" w:rsidR="004044C9" w:rsidRPr="002D5D8F" w:rsidRDefault="002D5D8F" w:rsidP="002D5D8F">
      <w:r w:rsidRPr="002D5D8F">
        <w:t xml:space="preserve">Based on the provided data, it is apparent that crowdfunding demonstrates a notable level of success overall, with </w:t>
      </w:r>
      <w:proofErr w:type="gramStart"/>
      <w:r w:rsidRPr="002D5D8F">
        <w:t>a majority of</w:t>
      </w:r>
      <w:proofErr w:type="gramEnd"/>
      <w:r w:rsidRPr="002D5D8F">
        <w:t xml:space="preserve"> companies achieving </w:t>
      </w:r>
      <w:r w:rsidR="00D65B56" w:rsidRPr="002D5D8F">
        <w:t>favourable</w:t>
      </w:r>
      <w:r w:rsidRPr="002D5D8F">
        <w:t xml:space="preserve"> outcomes. An observation reveals that the funding percentile correlates significantly with the resulting outcomes; </w:t>
      </w:r>
      <w:r w:rsidR="00D65B56" w:rsidRPr="002D5D8F">
        <w:t>endeavours</w:t>
      </w:r>
      <w:r w:rsidRPr="002D5D8F">
        <w:t xml:space="preserve"> with limited budgets tended to falter, whereas those enjoying higher percentile funding achieved success, even within similar sectors.</w:t>
      </w:r>
    </w:p>
    <w:sectPr w:rsidR="004044C9" w:rsidRPr="002D5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8F"/>
    <w:rsid w:val="002D5D8F"/>
    <w:rsid w:val="004044C9"/>
    <w:rsid w:val="00D65B56"/>
    <w:rsid w:val="00E1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C5CE5"/>
  <w15:chartTrackingRefBased/>
  <w15:docId w15:val="{360EF10A-1017-1A4C-AD5C-E155A25B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Sheyma Mukhtar</dc:creator>
  <cp:keywords/>
  <dc:description/>
  <cp:lastModifiedBy>Sheyma Mukhtar</cp:lastModifiedBy>
  <cp:revision>2</cp:revision>
  <dcterms:created xsi:type="dcterms:W3CDTF">2024-02-08T17:38:00Z</dcterms:created>
  <dcterms:modified xsi:type="dcterms:W3CDTF">2024-02-08T17:41:00Z</dcterms:modified>
</cp:coreProperties>
</file>