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100"/>
      </w:pPr>
      <w:r>
        <w:rPr>
          <w:b/>
          <w:bCs/>
          <w:sz w:val="34"/>
          <w:szCs w:val="34"/>
        </w:rPr>
        <w:t xml:space="preserve">SoK: Aggregation for Disagreement</w:t>
      </w:r>
    </w:p>
    <w:p>
      <w:pPr>
        <w:pBdr>
          <w:bottom w:val="single" w:sz="6" w:space="6" w:color="999999"/>
        </w:pBdr>
        <w:spacing w:after="60"/>
      </w:pPr>
      <w:r>
        <w:rPr>
          <w:color w:val="333333"/>
          <w:sz w:val="24"/>
          <w:szCs w:val="24"/>
        </w:rPr>
        <w:t xml:space="preserve">What aggregation methods do to disagreement, and which welfare criteria they implement</w:t>
      </w:r>
    </w:p>
    <w:p>
      <w:pPr>
        <w:spacing w:after="240"/>
      </w:pPr>
      <w:r>
        <w:rPr>
          <w:color w:val="444444"/>
          <w:sz w:val="20"/>
          <w:szCs w:val="20"/>
        </w:rPr>
        <w:t xml:space="preserve">Project Design Document  ·  Version 8.0  ·  27 September 2026  ·  Supersedes v7.1  ·  Target venue: ACM FAccT</w:t>
      </w:r>
    </w:p>
    <w:p>
      <w:pPr>
        <w:pStyle w:val="Heading1"/>
      </w:pPr>
      <w:r>
        <w:t xml:space="preserve">1. Problem and scope</w:t>
      </w:r>
    </w:p>
    <w:p>
      <w:pPr>
        <w:spacing w:after="120" w:line="276" w:lineRule="auto"/>
      </w:pPr>
      <w:r>
        <w:t xml:space="preserve">Aggregation methods take inputs from several sources and return one output. Most return a single object from which the disagreement between sources cannot be recovered. Majority vote discards minority labels, federated averaging returns one model, and latent-truth label models treat divergence from the consensus as annotator error.</w:t>
      </w:r>
    </w:p>
    <w:p>
      <w:pPr>
        <w:spacing w:after="120" w:line="276" w:lineRule="auto"/>
      </w:pPr>
      <w:r>
        <w:t xml:space="preserve">Whether that loss matters depends on what the disagreement is. Three cases are standard in social choice and social epistemology:</w:t>
      </w:r>
    </w:p>
    <w:p>
      <w:pPr>
        <w:pStyle w:val="ListParagraph"/>
        <w:numPr>
          <w:ilvl w:val="0"/>
          <w:numId w:val="1"/>
        </w:numPr>
        <w:spacing w:after="70" w:line="276" w:lineRule="auto"/>
      </w:pPr>
      <w:r>
        <w:t xml:space="preserve">Sources estimate one true answer with noise. Discarding outliers is correct.</w:t>
      </w:r>
    </w:p>
    <w:p>
      <w:pPr>
        <w:pStyle w:val="ListParagraph"/>
        <w:numPr>
          <w:ilvl w:val="0"/>
          <w:numId w:val="1"/>
        </w:numPr>
        <w:spacing w:after="70" w:line="276" w:lineRule="auto"/>
      </w:pPr>
      <w:r>
        <w:t xml:space="preserve">Sources have conflicting interests. Any aggregate distributes gains and losses, so the aggregation rule is a social welfare function. Utilitarian sums, Nash products, and leximin give different outcomes and require different assumptions about comparing utilities across people.</w:t>
      </w:r>
    </w:p>
    <w:p>
      <w:pPr>
        <w:pStyle w:val="ListParagraph"/>
        <w:numPr>
          <w:ilvl w:val="0"/>
          <w:numId w:val="1"/>
        </w:numPr>
        <w:spacing w:after="70" w:line="276" w:lineRule="auto"/>
      </w:pPr>
      <w:r>
        <w:t xml:space="preserve">Sources hold different, legitimate perspectives, such as annotators from different communities. The goal is to represent the range of views, not to estimate a truth or maximize welfare.</w:t>
      </w:r>
    </w:p>
    <w:p>
      <w:pPr>
        <w:spacing w:after="120" w:line="276" w:lineRule="auto"/>
      </w:pPr>
      <w:r>
        <w:t xml:space="preserve">ML papers rarely state which case they assume, but their methods imply one. Averaging reward models is a utilitarian rule that assumes utilities are comparable in units across annotators. Federated averaging weights clients by sample size, which is a utilitarian rule with data volume as the weight. Majority vote over labels assumes the minority is wrong. When these methods are applied to people who disagree about values, the implied assumption decides whose position appears in the output.</w:t>
      </w:r>
    </w:p>
    <w:p>
      <w:pPr>
        <w:spacing w:after="120" w:line="276" w:lineRule="auto"/>
      </w:pPr>
      <w:r>
        <w:rPr>
          <w:b/>
          <w:bCs/>
        </w:rPr>
        <w:t xml:space="preserve">Scope. </w:t>
      </w:r>
      <w:r>
        <w:t xml:space="preserve">A systematic mapping study for ACM FAccT. Each aggregation technique is coded by what it does to disagreement and by the account of disagreement and welfare criterion it implies. The corpus covers ML, NLP, AI and multiagent systems, computational social choice and economics, FAccT-adjacent venues, and philosophy and political theory journals. Negotiation is one discussion section (§12.1).</w:t>
      </w:r>
    </w:p>
    <w:p>
      <w:pPr>
        <w:pStyle w:val="Heading1"/>
      </w:pPr>
      <w:r>
        <w:t xml:space="preserve">2. Related surveys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tblPrEx>
          <w:tblCellMar>
            <w:top w:w="0" w:type="dxa"/>
            <w:bottom w:w="0" w:type="dxa"/>
          </w:tblCellMar>
        </w:tblPrEx>
        <w:trPr>
          <w:tblHeader/>
        </w:trPr>
        <w:tc>
          <w:tcPr>
            <w:tcW w:w="2400" w:type="dxa"/>
            <w:shd w:val="clear" w:color="auto" w:fill="E8EAED"/>
            <w:tcMar>
              <w:top w:w="60" w:type="dxa"/>
              <w:left w:w="100" w:type="dxa"/>
              <w:bottom w:w="60" w:type="dxa"/>
              <w:right w:w="100" w:type="dxa"/>
            </w:tcMar>
          </w:tcPr>
          <w:p>
            <w:pPr>
              <w:spacing w:after="20"/>
            </w:pPr>
            <w:r>
              <w:rPr>
                <w:b/>
                <w:bCs/>
                <w:sz w:val="18"/>
                <w:szCs w:val="18"/>
              </w:rPr>
              <w:t xml:space="preserve">Survey</w:t>
            </w:r>
          </w:p>
        </w:tc>
        <w:tc>
          <w:tcPr>
            <w:tcW w:w="3400" w:type="dxa"/>
            <w:shd w:val="clear" w:color="auto" w:fill="E8EAED"/>
            <w:tcMar>
              <w:top w:w="60" w:type="dxa"/>
              <w:left w:w="100" w:type="dxa"/>
              <w:bottom w:w="60" w:type="dxa"/>
              <w:right w:w="100" w:type="dxa"/>
            </w:tcMar>
          </w:tcPr>
          <w:p>
            <w:pPr>
              <w:spacing w:after="20"/>
            </w:pPr>
            <w:r>
              <w:rPr>
                <w:b/>
                <w:bCs/>
                <w:sz w:val="18"/>
                <w:szCs w:val="18"/>
              </w:rPr>
              <w:t xml:space="preserve">Covers</w:t>
            </w:r>
          </w:p>
        </w:tc>
        <w:tc>
          <w:tcPr>
            <w:tcW w:w="3560" w:type="dxa"/>
            <w:shd w:val="clear" w:color="auto" w:fill="E8EAED"/>
            <w:tcMar>
              <w:top w:w="60" w:type="dxa"/>
              <w:left w:w="100" w:type="dxa"/>
              <w:bottom w:w="60" w:type="dxa"/>
              <w:right w:w="100" w:type="dxa"/>
            </w:tcMar>
          </w:tcPr>
          <w:p>
            <w:pPr>
              <w:spacing w:after="20"/>
            </w:pPr>
            <w:r>
              <w:rPr>
                <w:b/>
                <w:bCs/>
                <w:sz w:val="18"/>
                <w:szCs w:val="18"/>
              </w:rPr>
              <w:t xml:space="preserve">Does not cover</w:t>
            </w:r>
          </w:p>
        </w:tc>
      </w:tr>
      <w:tr>
        <w:tblPrEx>
          <w:tblCellMar>
            <w:top w:w="0" w:type="dxa"/>
            <w:bottom w:w="0" w:type="dxa"/>
          </w:tblCellMar>
        </w:tblPrEx>
        <w:tc>
          <w:tcPr>
            <w:tcW w:w="2400" w:type="dxa"/>
            <w:tcMar>
              <w:top w:w="60" w:type="dxa"/>
              <w:left w:w="100" w:type="dxa"/>
              <w:bottom w:w="60" w:type="dxa"/>
              <w:right w:w="100" w:type="dxa"/>
            </w:tcMar>
          </w:tcPr>
          <w:p>
            <w:pPr>
              <w:spacing w:after="20"/>
            </w:pPr>
            <w:r>
              <w:rPr>
                <w:sz w:val="18"/>
                <w:szCs w:val="18"/>
              </w:rPr>
              <w:t xml:space="preserve">Model MoErging: recycling and routing among specialized experts (TMLR 2025)</w:t>
            </w:r>
          </w:p>
        </w:tc>
        <w:tc>
          <w:tcPr>
            <w:tcW w:w="3400" w:type="dxa"/>
            <w:tcMar>
              <w:top w:w="60" w:type="dxa"/>
              <w:left w:w="100" w:type="dxa"/>
              <w:bottom w:w="60" w:type="dxa"/>
              <w:right w:w="100" w:type="dxa"/>
            </w:tcMar>
          </w:tcPr>
          <w:p>
            <w:pPr>
              <w:spacing w:after="20"/>
            </w:pPr>
            <w:r>
              <w:rPr>
                <w:sz w:val="18"/>
                <w:szCs w:val="18"/>
              </w:rPr>
              <w:t xml:space="preserve">How independently trained experts are created, routed among, and combined</w:t>
            </w:r>
          </w:p>
        </w:tc>
        <w:tc>
          <w:tcPr>
            <w:tcW w:w="3560" w:type="dxa"/>
            <w:tcMar>
              <w:top w:w="60" w:type="dxa"/>
              <w:left w:w="100" w:type="dxa"/>
              <w:bottom w:w="60" w:type="dxa"/>
              <w:right w:w="100" w:type="dxa"/>
            </w:tcMar>
          </w:tcPr>
          <w:p>
            <w:pPr>
              <w:spacing w:after="20"/>
            </w:pPr>
            <w:r>
              <w:rPr>
                <w:sz w:val="18"/>
                <w:szCs w:val="18"/>
              </w:rPr>
              <w:t xml:space="preserve">What routing and merging do to disagreement between experts; which criterion a merge optimizes. Performance is the only target</w:t>
            </w:r>
          </w:p>
        </w:tc>
      </w:tr>
      <w:tr>
        <w:tblPrEx>
          <w:tblCellMar>
            <w:top w:w="0" w:type="dxa"/>
            <w:bottom w:w="0" w:type="dxa"/>
          </w:tblCellMar>
        </w:tblPrEx>
        <w:tc>
          <w:tcPr>
            <w:tcW w:w="2400" w:type="dxa"/>
            <w:tcMar>
              <w:top w:w="60" w:type="dxa"/>
              <w:left w:w="100" w:type="dxa"/>
              <w:bottom w:w="60" w:type="dxa"/>
              <w:right w:w="100" w:type="dxa"/>
            </w:tcMar>
          </w:tcPr>
          <w:p>
            <w:pPr>
              <w:spacing w:after="20"/>
            </w:pPr>
            <w:r>
              <w:rPr>
                <w:sz w:val="18"/>
                <w:szCs w:val="18"/>
              </w:rPr>
              <w:t xml:space="preserve">Alignment as preference aggregation from social choice perspectives (2026)</w:t>
            </w:r>
          </w:p>
        </w:tc>
        <w:tc>
          <w:tcPr>
            <w:tcW w:w="3400" w:type="dxa"/>
            <w:tcMar>
              <w:top w:w="60" w:type="dxa"/>
              <w:left w:w="100" w:type="dxa"/>
              <w:bottom w:w="60" w:type="dxa"/>
              <w:right w:w="100" w:type="dxa"/>
            </w:tcMar>
          </w:tcPr>
          <w:p>
            <w:pPr>
              <w:spacing w:after="20"/>
            </w:pPr>
            <w:r>
              <w:rPr>
                <w:sz w:val="18"/>
                <w:szCs w:val="18"/>
              </w:rPr>
              <w:t xml:space="preserve">Collapse rules and their axioms in alignment, including Borda-like behaviour of pairwise reward learning and clone sensitivity</w:t>
            </w:r>
          </w:p>
        </w:tc>
        <w:tc>
          <w:tcPr>
            <w:tcW w:w="3560" w:type="dxa"/>
            <w:tcMar>
              <w:top w:w="60" w:type="dxa"/>
              <w:left w:w="100" w:type="dxa"/>
              <w:bottom w:w="60" w:type="dxa"/>
              <w:right w:w="100" w:type="dxa"/>
            </w:tcMar>
          </w:tcPr>
          <w:p>
            <w:pPr>
              <w:spacing w:after="20"/>
            </w:pPr>
            <w:r>
              <w:rPr>
                <w:sz w:val="18"/>
                <w:szCs w:val="18"/>
              </w:rPr>
              <w:t xml:space="preserve">Rules that preserve disagreement; comparison of welfare criteria beyond the implied positional rule</w:t>
            </w:r>
          </w:p>
        </w:tc>
      </w:tr>
      <w:tr>
        <w:tblPrEx>
          <w:tblCellMar>
            <w:top w:w="0" w:type="dxa"/>
            <w:bottom w:w="0" w:type="dxa"/>
          </w:tblCellMar>
        </w:tblPrEx>
        <w:tc>
          <w:tcPr>
            <w:tcW w:w="2400" w:type="dxa"/>
            <w:tcMar>
              <w:top w:w="60" w:type="dxa"/>
              <w:left w:w="100" w:type="dxa"/>
              <w:bottom w:w="60" w:type="dxa"/>
              <w:right w:w="100" w:type="dxa"/>
            </w:tcMar>
          </w:tcPr>
          <w:p>
            <w:pPr>
              <w:spacing w:after="20"/>
            </w:pPr>
            <w:r>
              <w:rPr>
                <w:sz w:val="18"/>
                <w:szCs w:val="18"/>
              </w:rPr>
              <w:t xml:space="preserve">Social choice for collective control of AI (FAccT 2026)</w:t>
            </w:r>
          </w:p>
        </w:tc>
        <w:tc>
          <w:tcPr>
            <w:tcW w:w="3400" w:type="dxa"/>
            <w:tcMar>
              <w:top w:w="60" w:type="dxa"/>
              <w:left w:w="100" w:type="dxa"/>
              <w:bottom w:w="60" w:type="dxa"/>
              <w:right w:w="100" w:type="dxa"/>
            </w:tcMar>
          </w:tcPr>
          <w:p>
            <w:pPr>
              <w:spacing w:after="20"/>
            </w:pPr>
            <w:r>
              <w:rPr>
                <w:sz w:val="18"/>
                <w:szCs w:val="18"/>
              </w:rPr>
              <w:t xml:space="preserve">Social choice as a modelling language for collective input across ML pipeline stages</w:t>
            </w:r>
          </w:p>
        </w:tc>
        <w:tc>
          <w:tcPr>
            <w:tcW w:w="3560" w:type="dxa"/>
            <w:tcMar>
              <w:top w:w="60" w:type="dxa"/>
              <w:left w:w="100" w:type="dxa"/>
              <w:bottom w:w="60" w:type="dxa"/>
              <w:right w:w="100" w:type="dxa"/>
            </w:tcMar>
          </w:tcPr>
          <w:p>
            <w:pPr>
              <w:spacing w:after="20"/>
            </w:pPr>
            <w:r>
              <w:rPr>
                <w:sz w:val="18"/>
                <w:szCs w:val="18"/>
              </w:rPr>
              <w:t xml:space="preserve">A systematic corpus; counts of which welfare criteria are in use; preservation as an alternative to aggregation</w:t>
            </w:r>
          </w:p>
        </w:tc>
      </w:tr>
      <w:tr>
        <w:tblPrEx>
          <w:tblCellMar>
            <w:top w:w="0" w:type="dxa"/>
            <w:bottom w:w="0" w:type="dxa"/>
          </w:tblCellMar>
        </w:tblPrEx>
        <w:tc>
          <w:tcPr>
            <w:tcW w:w="2400" w:type="dxa"/>
            <w:tcMar>
              <w:top w:w="60" w:type="dxa"/>
              <w:left w:w="100" w:type="dxa"/>
              <w:bottom w:w="60" w:type="dxa"/>
              <w:right w:w="100" w:type="dxa"/>
            </w:tcMar>
          </w:tcPr>
          <w:p>
            <w:pPr>
              <w:spacing w:after="20"/>
            </w:pPr>
            <w:r>
              <w:rPr>
                <w:sz w:val="18"/>
                <w:szCs w:val="18"/>
              </w:rPr>
              <w:t xml:space="preserve">Learning from disagreement and perspectivist NLP surveys</w:t>
            </w:r>
          </w:p>
        </w:tc>
        <w:tc>
          <w:tcPr>
            <w:tcW w:w="3400" w:type="dxa"/>
            <w:tcMar>
              <w:top w:w="60" w:type="dxa"/>
              <w:left w:w="100" w:type="dxa"/>
              <w:bottom w:w="60" w:type="dxa"/>
              <w:right w:w="100" w:type="dxa"/>
            </w:tcMar>
          </w:tcPr>
          <w:p>
            <w:pPr>
              <w:spacing w:after="20"/>
            </w:pPr>
            <w:r>
              <w:rPr>
                <w:sz w:val="18"/>
                <w:szCs w:val="18"/>
              </w:rPr>
              <w:t xml:space="preserve">Annotator disagreement modelled as a distribution or per-annotator signal</w:t>
            </w:r>
          </w:p>
        </w:tc>
        <w:tc>
          <w:tcPr>
            <w:tcW w:w="3560" w:type="dxa"/>
            <w:tcMar>
              <w:top w:w="60" w:type="dxa"/>
              <w:left w:w="100" w:type="dxa"/>
              <w:bottom w:w="60" w:type="dxa"/>
              <w:right w:w="100" w:type="dxa"/>
            </w:tcMar>
          </w:tcPr>
          <w:p>
            <w:pPr>
              <w:spacing w:after="20"/>
            </w:pPr>
            <w:r>
              <w:rPr>
                <w:sz w:val="18"/>
                <w:szCs w:val="18"/>
              </w:rPr>
              <w:t xml:space="preserve">Literatures outside annotation; which treatment fits which kind of disagreement</w:t>
            </w:r>
          </w:p>
        </w:tc>
      </w:tr>
      <w:tr>
        <w:tblPrEx>
          <w:tblCellMar>
            <w:top w:w="0" w:type="dxa"/>
            <w:bottom w:w="0" w:type="dxa"/>
          </w:tblCellMar>
        </w:tblPrEx>
        <w:tc>
          <w:tcPr>
            <w:tcW w:w="2400" w:type="dxa"/>
            <w:tcMar>
              <w:top w:w="60" w:type="dxa"/>
              <w:left w:w="100" w:type="dxa"/>
              <w:bottom w:w="60" w:type="dxa"/>
              <w:right w:w="100" w:type="dxa"/>
            </w:tcMar>
          </w:tcPr>
          <w:p>
            <w:pPr>
              <w:spacing w:after="20"/>
            </w:pPr>
            <w:r>
              <w:rPr>
                <w:sz w:val="18"/>
                <w:szCs w:val="18"/>
              </w:rPr>
              <w:t xml:space="preserve">LLM ensemble survey; AI mediation and consensus-generation systems</w:t>
            </w:r>
          </w:p>
        </w:tc>
        <w:tc>
          <w:tcPr>
            <w:tcW w:w="3400" w:type="dxa"/>
            <w:tcMar>
              <w:top w:w="60" w:type="dxa"/>
              <w:left w:w="100" w:type="dxa"/>
              <w:bottom w:w="60" w:type="dxa"/>
              <w:right w:w="100" w:type="dxa"/>
            </w:tcMar>
          </w:tcPr>
          <w:p>
            <w:pPr>
              <w:spacing w:after="20"/>
            </w:pPr>
            <w:r>
              <w:rPr>
                <w:sz w:val="18"/>
                <w:szCs w:val="18"/>
              </w:rPr>
              <w:t xml:space="preserve">Ensembling and routing taxonomies; systems that generate consensus statements or mediator proposals</w:t>
            </w:r>
          </w:p>
        </w:tc>
        <w:tc>
          <w:tcPr>
            <w:tcW w:w="3560" w:type="dxa"/>
            <w:tcMar>
              <w:top w:w="60" w:type="dxa"/>
              <w:left w:w="100" w:type="dxa"/>
              <w:bottom w:w="60" w:type="dxa"/>
              <w:right w:w="100" w:type="dxa"/>
            </w:tcMar>
          </w:tcPr>
          <w:p>
            <w:pPr>
              <w:spacing w:after="20"/>
            </w:pPr>
            <w:r>
              <w:rPr>
                <w:sz w:val="18"/>
                <w:szCs w:val="18"/>
              </w:rPr>
              <w:t xml:space="preserve">The welfare criterion or bargaining solution implemented by the aggregation step</w:t>
            </w:r>
          </w:p>
        </w:tc>
      </w:tr>
      <w:tr>
        <w:tblPrEx>
          <w:tblCellMar>
            <w:top w:w="0" w:type="dxa"/>
            <w:bottom w:w="0" w:type="dxa"/>
          </w:tblCellMar>
        </w:tblPrEx>
        <w:tc>
          <w:tcPr>
            <w:tcW w:w="2400" w:type="dxa"/>
            <w:tcMar>
              <w:top w:w="60" w:type="dxa"/>
              <w:left w:w="100" w:type="dxa"/>
              <w:bottom w:w="60" w:type="dxa"/>
              <w:right w:w="100" w:type="dxa"/>
            </w:tcMar>
          </w:tcPr>
          <w:p>
            <w:pPr>
              <w:spacing w:after="20"/>
            </w:pPr>
            <w:r>
              <w:rPr>
                <w:sz w:val="18"/>
                <w:szCs w:val="18"/>
              </w:rPr>
              <w:t xml:space="preserve">Social choice and welfare economics</w:t>
            </w:r>
          </w:p>
        </w:tc>
        <w:tc>
          <w:tcPr>
            <w:tcW w:w="3400" w:type="dxa"/>
            <w:tcMar>
              <w:top w:w="60" w:type="dxa"/>
              <w:left w:w="100" w:type="dxa"/>
              <w:bottom w:w="60" w:type="dxa"/>
              <w:right w:w="100" w:type="dxa"/>
            </w:tcMar>
          </w:tcPr>
          <w:p>
            <w:pPr>
              <w:spacing w:after="20"/>
            </w:pPr>
            <w:r>
              <w:rPr>
                <w:sz w:val="18"/>
                <w:szCs w:val="18"/>
              </w:rPr>
              <w:t xml:space="preserve">Social welfare functions, informational bases, axiomatic characterizations, impossibility results</w:t>
            </w:r>
          </w:p>
        </w:tc>
        <w:tc>
          <w:tcPr>
            <w:tcW w:w="3560" w:type="dxa"/>
            <w:tcMar>
              <w:top w:w="60" w:type="dxa"/>
              <w:left w:w="100" w:type="dxa"/>
              <w:bottom w:w="60" w:type="dxa"/>
              <w:right w:w="100" w:type="dxa"/>
            </w:tcMar>
          </w:tcPr>
          <w:p>
            <w:pPr>
              <w:spacing w:after="20"/>
            </w:pPr>
            <w:r>
              <w:rPr>
                <w:sz w:val="18"/>
                <w:szCs w:val="18"/>
              </w:rPr>
              <w:t xml:space="preserve">Learned models, annotator populations, merged models, textual positions, and outputs that keep disagreement</w:t>
            </w:r>
          </w:p>
        </w:tc>
      </w:tr>
    </w:tbl>
    <w:p>
      <w:pPr>
        <w:spacing w:before="60" w:after="200"/>
      </w:pPr>
      <w:r>
        <w:rPr>
          <w:i/>
          <w:iCs/>
          <w:sz w:val="19"/>
          <w:szCs w:val="19"/>
        </w:rPr>
        <w:t xml:space="preserve">Table 1. Adjacent surveys.</w:t>
      </w:r>
    </w:p>
    <w:p>
      <w:pPr>
        <w:spacing w:after="120" w:line="276" w:lineRule="auto"/>
      </w:pPr>
      <w:r>
        <w:t xml:space="preserve">None of these codes techniques by what they do to disagreement or by the welfare criterion they imply, and none compares techniques across these literatures on one scheme. That coding and comparison is the contribution.</w:t>
      </w:r>
    </w:p>
    <w:p>
      <w:pPr>
        <w:spacing w:after="120" w:line="276" w:lineRule="auto"/>
      </w:pPr>
      <w:r>
        <w:t xml:space="preserve">The MoErging survey is by a committee member. The paper cites it as the source of the routing and merging inventory and states that this review codes the same methods on different axes. The framing is agreed with the co-author before submission.</w:t>
      </w:r>
    </w:p>
    <w:p>
      <w:pPr>
        <w:pStyle w:val="Heading1"/>
      </w:pPr>
      <w:r>
        <w:t xml:space="preserve">3. Research questions</w:t>
      </w:r>
    </w:p>
    <w:p>
      <w:pPr>
        <w:spacing w:after="120" w:line="276" w:lineRule="auto"/>
      </w:pPr>
      <w:r>
        <w:rPr>
          <w:b/>
          <w:bCs/>
        </w:rPr>
        <w:t xml:space="preserve">RQ1. What does each technique do to disagreement? </w:t>
      </w:r>
      <w:r>
        <w:t xml:space="preserve">Coded on the disposition scale (§4.1). The result is a count of techniques by disposition and source literature.</w:t>
      </w:r>
    </w:p>
    <w:p>
      <w:pPr>
        <w:pStyle w:val="ListParagraph"/>
        <w:numPr>
          <w:ilvl w:val="0"/>
          <w:numId w:val="1"/>
        </w:numPr>
        <w:spacing w:after="70" w:line="276" w:lineRule="auto"/>
      </w:pPr>
      <w:r>
        <w:t xml:space="preserve">RQ1a. When a technique keeps disagreement, what does it keep: magnitude, which source holds which position, the grounds, confidence, or the structure of the conflict?</w:t>
      </w:r>
    </w:p>
    <w:p>
      <w:pPr>
        <w:pStyle w:val="ListParagraph"/>
        <w:numPr>
          <w:ilvl w:val="0"/>
          <w:numId w:val="1"/>
        </w:numPr>
        <w:spacing w:after="70" w:line="276" w:lineRule="auto"/>
      </w:pPr>
      <w:r>
        <w:t xml:space="preserve">RQ1b. Which techniques claim to keep disagreement but discard it in the deployed output?</w:t>
      </w:r>
    </w:p>
    <w:p>
      <w:pPr>
        <w:spacing w:after="120" w:line="276" w:lineRule="auto"/>
      </w:pPr>
      <w:r>
        <w:rPr>
          <w:b/>
          <w:bCs/>
        </w:rPr>
        <w:t xml:space="preserve">RQ2. What does each technique assume disagreement is, and which welfare criterion does it implement? </w:t>
      </w:r>
      <w:r>
        <w:t xml:space="preserve">Coded as an account of disagreement (§4.2). For welfarist techniques and techniques with a derivable criterion, coders also record the social welfare function and the utility comparability it requires. The result is a table of disposition against account.</w:t>
      </w:r>
    </w:p>
    <w:p>
      <w:pPr>
        <w:pStyle w:val="ListParagraph"/>
        <w:numPr>
          <w:ilvl w:val="0"/>
          <w:numId w:val="1"/>
        </w:numPr>
        <w:spacing w:after="70" w:line="276" w:lineRule="auto"/>
      </w:pPr>
      <w:r>
        <w:t xml:space="preserve">RQ2a. How many techniques state a welfare criterion, how many have one only by derivation, and how many of either are utilitarian?</w:t>
      </w:r>
    </w:p>
    <w:p>
      <w:pPr>
        <w:pStyle w:val="ListParagraph"/>
        <w:numPr>
          <w:ilvl w:val="0"/>
          <w:numId w:val="1"/>
        </w:numPr>
        <w:spacing w:after="70" w:line="276" w:lineRule="auto"/>
      </w:pPr>
      <w:r>
        <w:t xml:space="preserve">RQ2b. Which combinations of disposition and account are ruled out by an impossibility result, and which have no published technique? With ordinal, non-comparable inputs, Arrow's theorem applies; a social welfare function avoids it only by assuming some comparability of utilities.</w:t>
      </w:r>
    </w:p>
    <w:p>
      <w:pPr>
        <w:spacing w:after="120" w:line="276" w:lineRule="auto"/>
      </w:pPr>
      <w:r>
        <w:rPr>
          <w:b/>
          <w:bCs/>
        </w:rPr>
        <w:t xml:space="preserve">RQ3. Under which operating conditions does each technique remain well defined? </w:t>
      </w:r>
      <w:r>
        <w:t xml:space="preserve">Coded against three conditions (§4.3): strategic sources, decentralized inputs, and exit.</w:t>
      </w:r>
    </w:p>
    <w:p>
      <w:pPr>
        <w:pStyle w:val="Heading1"/>
      </w:pPr>
      <w:r>
        <w:t xml:space="preserve">4. Classification scheme</w:t>
      </w:r>
    </w:p>
    <w:p>
      <w:pPr>
        <w:spacing w:after="120" w:line="276" w:lineRule="auto"/>
      </w:pPr>
      <w:r>
        <w:t xml:space="preserve">Each technique is coded on two main axes (§4.1, §4.2) and three operating conditions (§4.3). Method families (Appendix A) are used only to index the corpus.</w:t>
      </w:r>
    </w:p>
    <w:p>
      <w:pPr>
        <w:pStyle w:val="Heading2"/>
      </w:pPr>
      <w:r>
        <w:t xml:space="preserve">4.1 Disposition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200"/>
        <w:gridCol w:w="3700"/>
        <w:gridCol w:w="3660"/>
      </w:tblGrid>
      <w:tr>
        <w:tblPrEx>
          <w:tblCellMar>
            <w:top w:w="0" w:type="dxa"/>
            <w:bottom w:w="0" w:type="dxa"/>
          </w:tblCellMar>
        </w:tblPrEx>
        <w:trPr>
          <w:tblHeader/>
        </w:trPr>
        <w:tc>
          <w:tcPr>
            <w:tcW w:w="800" w:type="dxa"/>
            <w:shd w:val="clear" w:color="auto" w:fill="E8EAED"/>
            <w:tcMar>
              <w:top w:w="60" w:type="dxa"/>
              <w:left w:w="100" w:type="dxa"/>
              <w:bottom w:w="60" w:type="dxa"/>
              <w:right w:w="100" w:type="dxa"/>
            </w:tcMar>
          </w:tcPr>
          <w:p>
            <w:pPr>
              <w:spacing w:after="20"/>
            </w:pPr>
            <w:r>
              <w:rPr>
                <w:b/>
                <w:bCs/>
                <w:sz w:val="18"/>
                <w:szCs w:val="18"/>
              </w:rPr>
              <w:t xml:space="preserve">Level</w:t>
            </w:r>
          </w:p>
        </w:tc>
        <w:tc>
          <w:tcPr>
            <w:tcW w:w="1200" w:type="dxa"/>
            <w:shd w:val="clear" w:color="auto" w:fill="E8EAED"/>
            <w:tcMar>
              <w:top w:w="60" w:type="dxa"/>
              <w:left w:w="100" w:type="dxa"/>
              <w:bottom w:w="60" w:type="dxa"/>
              <w:right w:w="100" w:type="dxa"/>
            </w:tcMar>
          </w:tcPr>
          <w:p>
            <w:pPr>
              <w:spacing w:after="20"/>
            </w:pPr>
            <w:r>
              <w:rPr>
                <w:b/>
                <w:bCs/>
                <w:sz w:val="18"/>
                <w:szCs w:val="18"/>
              </w:rPr>
              <w:t xml:space="preserve">Name</w:t>
            </w:r>
          </w:p>
        </w:tc>
        <w:tc>
          <w:tcPr>
            <w:tcW w:w="3700" w:type="dxa"/>
            <w:shd w:val="clear" w:color="auto" w:fill="E8EAED"/>
            <w:tcMar>
              <w:top w:w="60" w:type="dxa"/>
              <w:left w:w="100" w:type="dxa"/>
              <w:bottom w:w="60" w:type="dxa"/>
              <w:right w:w="100" w:type="dxa"/>
            </w:tcMar>
          </w:tcPr>
          <w:p>
            <w:pPr>
              <w:spacing w:after="20"/>
            </w:pPr>
            <w:r>
              <w:rPr>
                <w:b/>
                <w:bCs/>
                <w:sz w:val="18"/>
                <w:szCs w:val="18"/>
              </w:rPr>
              <w:t xml:space="preserve">Definition</w:t>
            </w:r>
          </w:p>
        </w:tc>
        <w:tc>
          <w:tcPr>
            <w:tcW w:w="3660" w:type="dxa"/>
            <w:shd w:val="clear" w:color="auto" w:fill="E8EAED"/>
            <w:tcMar>
              <w:top w:w="60" w:type="dxa"/>
              <w:left w:w="100" w:type="dxa"/>
              <w:bottom w:w="60" w:type="dxa"/>
              <w:right w:w="100" w:type="dxa"/>
            </w:tcMar>
          </w:tcPr>
          <w:p>
            <w:pPr>
              <w:spacing w:after="20"/>
            </w:pPr>
            <w:r>
              <w:rPr>
                <w:b/>
                <w:bCs/>
                <w:sz w:val="18"/>
                <w:szCs w:val="18"/>
              </w:rPr>
              <w:t xml:space="preserve">Examples</w:t>
            </w:r>
          </w:p>
        </w:tc>
      </w:tr>
      <w:tr>
        <w:tblPrEx>
          <w:tblCellMar>
            <w:top w:w="0" w:type="dxa"/>
            <w:bottom w:w="0" w:type="dxa"/>
          </w:tblCellMar>
        </w:tblPrEx>
        <w:tc>
          <w:tcPr>
            <w:tcW w:w="800" w:type="dxa"/>
            <w:tcMar>
              <w:top w:w="60" w:type="dxa"/>
              <w:left w:w="100" w:type="dxa"/>
              <w:bottom w:w="60" w:type="dxa"/>
              <w:right w:w="100" w:type="dxa"/>
            </w:tcMar>
          </w:tcPr>
          <w:p>
            <w:pPr>
              <w:spacing w:after="20"/>
            </w:pPr>
            <w:r>
              <w:rPr>
                <w:sz w:val="18"/>
                <w:szCs w:val="18"/>
              </w:rPr>
              <w:t xml:space="preserve">D0</w:t>
            </w:r>
          </w:p>
        </w:tc>
        <w:tc>
          <w:tcPr>
            <w:tcW w:w="1200" w:type="dxa"/>
            <w:tcMar>
              <w:top w:w="60" w:type="dxa"/>
              <w:left w:w="100" w:type="dxa"/>
              <w:bottom w:w="60" w:type="dxa"/>
              <w:right w:w="100" w:type="dxa"/>
            </w:tcMar>
          </w:tcPr>
          <w:p>
            <w:pPr>
              <w:spacing w:after="20"/>
            </w:pPr>
            <w:r>
              <w:rPr>
                <w:sz w:val="18"/>
                <w:szCs w:val="18"/>
              </w:rPr>
              <w:t xml:space="preserve">Collapse</w:t>
            </w:r>
          </w:p>
        </w:tc>
        <w:tc>
          <w:tcPr>
            <w:tcW w:w="3700" w:type="dxa"/>
            <w:tcMar>
              <w:top w:w="60" w:type="dxa"/>
              <w:left w:w="100" w:type="dxa"/>
              <w:bottom w:w="60" w:type="dxa"/>
              <w:right w:w="100" w:type="dxa"/>
            </w:tcMar>
          </w:tcPr>
          <w:p>
            <w:pPr>
              <w:spacing w:after="20"/>
            </w:pPr>
            <w:r>
              <w:rPr>
                <w:sz w:val="18"/>
                <w:szCs w:val="18"/>
              </w:rPr>
              <w:t xml:space="preserve">Output is one object. Which sources disagreed, and by how much, cannot be recovered from it</w:t>
            </w:r>
          </w:p>
        </w:tc>
        <w:tc>
          <w:tcPr>
            <w:tcW w:w="3660" w:type="dxa"/>
            <w:tcMar>
              <w:top w:w="60" w:type="dxa"/>
              <w:left w:w="100" w:type="dxa"/>
              <w:bottom w:w="60" w:type="dxa"/>
              <w:right w:w="100" w:type="dxa"/>
            </w:tcMar>
          </w:tcPr>
          <w:p>
            <w:pPr>
              <w:spacing w:after="20"/>
            </w:pPr>
            <w:r>
              <w:rPr>
                <w:sz w:val="18"/>
                <w:szCs w:val="18"/>
              </w:rPr>
              <w:t xml:space="preserve">Majority and plurality rules; positional scoring; weighted means; federated averaging; trimmed-mean and medoid aggregators; latent-truth estimation at its point estimate; merged models</w:t>
            </w:r>
          </w:p>
        </w:tc>
      </w:tr>
      <w:tr>
        <w:tblPrEx>
          <w:tblCellMar>
            <w:top w:w="0" w:type="dxa"/>
            <w:bottom w:w="0" w:type="dxa"/>
          </w:tblCellMar>
        </w:tblPrEx>
        <w:tc>
          <w:tcPr>
            <w:tcW w:w="800" w:type="dxa"/>
            <w:tcMar>
              <w:top w:w="60" w:type="dxa"/>
              <w:left w:w="100" w:type="dxa"/>
              <w:bottom w:w="60" w:type="dxa"/>
              <w:right w:w="100" w:type="dxa"/>
            </w:tcMar>
          </w:tcPr>
          <w:p>
            <w:pPr>
              <w:spacing w:after="20"/>
            </w:pPr>
            <w:r>
              <w:rPr>
                <w:sz w:val="18"/>
                <w:szCs w:val="18"/>
              </w:rPr>
              <w:t xml:space="preserve">D1</w:t>
            </w:r>
          </w:p>
        </w:tc>
        <w:tc>
          <w:tcPr>
            <w:tcW w:w="1200" w:type="dxa"/>
            <w:tcMar>
              <w:top w:w="60" w:type="dxa"/>
              <w:left w:w="100" w:type="dxa"/>
              <w:bottom w:w="60" w:type="dxa"/>
              <w:right w:w="100" w:type="dxa"/>
            </w:tcMar>
          </w:tcPr>
          <w:p>
            <w:pPr>
              <w:spacing w:after="20"/>
            </w:pPr>
            <w:r>
              <w:rPr>
                <w:sz w:val="18"/>
                <w:szCs w:val="18"/>
              </w:rPr>
              <w:t xml:space="preserve">Model</w:t>
            </w:r>
          </w:p>
        </w:tc>
        <w:tc>
          <w:tcPr>
            <w:tcW w:w="3700" w:type="dxa"/>
            <w:tcMar>
              <w:top w:w="60" w:type="dxa"/>
              <w:left w:w="100" w:type="dxa"/>
              <w:bottom w:w="60" w:type="dxa"/>
              <w:right w:w="100" w:type="dxa"/>
            </w:tcMar>
          </w:tcPr>
          <w:p>
            <w:pPr>
              <w:spacing w:after="20"/>
            </w:pPr>
            <w:r>
              <w:rPr>
                <w:sz w:val="18"/>
                <w:szCs w:val="18"/>
              </w:rPr>
              <w:t xml:space="preserve">Output is one object that encodes disagreement as spread, uncertainty, or a mixture. The amount of disagreement can be recovered; which source held which position cannot</w:t>
            </w:r>
          </w:p>
        </w:tc>
        <w:tc>
          <w:tcPr>
            <w:tcW w:w="3660" w:type="dxa"/>
            <w:tcMar>
              <w:top w:w="60" w:type="dxa"/>
              <w:left w:w="100" w:type="dxa"/>
              <w:bottom w:w="60" w:type="dxa"/>
              <w:right w:w="100" w:type="dxa"/>
            </w:tcMar>
          </w:tcPr>
          <w:p>
            <w:pPr>
              <w:spacing w:after="20"/>
            </w:pPr>
            <w:r>
              <w:rPr>
                <w:sz w:val="18"/>
                <w:szCs w:val="18"/>
              </w:rPr>
              <w:t xml:space="preserve">Soft labels; label distributions; distributional preference learning; credal pooling; mixtures of reward models; ensembles reported with disagreement statistics</w:t>
            </w:r>
          </w:p>
        </w:tc>
      </w:tr>
      <w:tr>
        <w:tblPrEx>
          <w:tblCellMar>
            <w:top w:w="0" w:type="dxa"/>
            <w:bottom w:w="0" w:type="dxa"/>
          </w:tblCellMar>
        </w:tblPrEx>
        <w:tc>
          <w:tcPr>
            <w:tcW w:w="800" w:type="dxa"/>
            <w:tcMar>
              <w:top w:w="60" w:type="dxa"/>
              <w:left w:w="100" w:type="dxa"/>
              <w:bottom w:w="60" w:type="dxa"/>
              <w:right w:w="100" w:type="dxa"/>
            </w:tcMar>
          </w:tcPr>
          <w:p>
            <w:pPr>
              <w:spacing w:after="20"/>
            </w:pPr>
            <w:r>
              <w:rPr>
                <w:sz w:val="18"/>
                <w:szCs w:val="18"/>
              </w:rPr>
              <w:t xml:space="preserve">D2</w:t>
            </w:r>
          </w:p>
        </w:tc>
        <w:tc>
          <w:tcPr>
            <w:tcW w:w="1200" w:type="dxa"/>
            <w:tcMar>
              <w:top w:w="60" w:type="dxa"/>
              <w:left w:w="100" w:type="dxa"/>
              <w:bottom w:w="60" w:type="dxa"/>
              <w:right w:w="100" w:type="dxa"/>
            </w:tcMar>
          </w:tcPr>
          <w:p>
            <w:pPr>
              <w:spacing w:after="20"/>
            </w:pPr>
            <w:r>
              <w:rPr>
                <w:sz w:val="18"/>
                <w:szCs w:val="18"/>
              </w:rPr>
              <w:t xml:space="preserve">Preserve</w:t>
            </w:r>
          </w:p>
        </w:tc>
        <w:tc>
          <w:tcPr>
            <w:tcW w:w="3700" w:type="dxa"/>
            <w:tcMar>
              <w:top w:w="60" w:type="dxa"/>
              <w:left w:w="100" w:type="dxa"/>
              <w:bottom w:w="60" w:type="dxa"/>
              <w:right w:w="100" w:type="dxa"/>
            </w:tcMar>
          </w:tcPr>
          <w:p>
            <w:pPr>
              <w:spacing w:after="20"/>
            </w:pPr>
            <w:r>
              <w:rPr>
                <w:sz w:val="18"/>
                <w:szCs w:val="18"/>
              </w:rPr>
              <w:t xml:space="preserve">Output keeps disagreement with attribution: which sources diverged, on what grounds, how strongly. No single answer is produced, or the choice is left to a human</w:t>
            </w:r>
          </w:p>
        </w:tc>
        <w:tc>
          <w:tcPr>
            <w:tcW w:w="3660" w:type="dxa"/>
            <w:tcMar>
              <w:top w:w="60" w:type="dxa"/>
              <w:left w:w="100" w:type="dxa"/>
              <w:bottom w:w="60" w:type="dxa"/>
              <w:right w:w="100" w:type="dxa"/>
            </w:tcMar>
          </w:tcPr>
          <w:p>
            <w:pPr>
              <w:spacing w:after="20"/>
            </w:pPr>
            <w:r>
              <w:rPr>
                <w:sz w:val="18"/>
                <w:szCs w:val="18"/>
              </w:rPr>
              <w:t xml:space="preserve">Per-annotator models; jury learning with a specified jury; disaggregated reporting; argumentation frameworks that keep attacks; per-group outputs; abstention on conflict</w:t>
            </w:r>
          </w:p>
        </w:tc>
      </w:tr>
      <w:tr>
        <w:tblPrEx>
          <w:tblCellMar>
            <w:top w:w="0" w:type="dxa"/>
            <w:bottom w:w="0" w:type="dxa"/>
          </w:tblCellMar>
        </w:tblPrEx>
        <w:tc>
          <w:tcPr>
            <w:tcW w:w="800" w:type="dxa"/>
            <w:tcMar>
              <w:top w:w="60" w:type="dxa"/>
              <w:left w:w="100" w:type="dxa"/>
              <w:bottom w:w="60" w:type="dxa"/>
              <w:right w:w="100" w:type="dxa"/>
            </w:tcMar>
          </w:tcPr>
          <w:p>
            <w:pPr>
              <w:spacing w:after="20"/>
            </w:pPr>
            <w:r>
              <w:rPr>
                <w:sz w:val="18"/>
                <w:szCs w:val="18"/>
              </w:rPr>
              <w:t xml:space="preserve">D3</w:t>
            </w:r>
          </w:p>
        </w:tc>
        <w:tc>
          <w:tcPr>
            <w:tcW w:w="1200" w:type="dxa"/>
            <w:tcMar>
              <w:top w:w="60" w:type="dxa"/>
              <w:left w:w="100" w:type="dxa"/>
              <w:bottom w:w="60" w:type="dxa"/>
              <w:right w:w="100" w:type="dxa"/>
            </w:tcMar>
          </w:tcPr>
          <w:p>
            <w:pPr>
              <w:spacing w:after="20"/>
            </w:pPr>
            <w:r>
              <w:rPr>
                <w:sz w:val="18"/>
                <w:szCs w:val="18"/>
              </w:rPr>
              <w:t xml:space="preserve">Exploit</w:t>
            </w:r>
          </w:p>
        </w:tc>
        <w:tc>
          <w:tcPr>
            <w:tcW w:w="3700" w:type="dxa"/>
            <w:tcMar>
              <w:top w:w="60" w:type="dxa"/>
              <w:left w:w="100" w:type="dxa"/>
              <w:bottom w:w="60" w:type="dxa"/>
              <w:right w:w="100" w:type="dxa"/>
            </w:tcMar>
          </w:tcPr>
          <w:p>
            <w:pPr>
              <w:spacing w:after="20"/>
            </w:pPr>
            <w:r>
              <w:rPr>
                <w:sz w:val="18"/>
                <w:szCs w:val="18"/>
              </w:rPr>
              <w:t xml:space="preserve">Output is a new option built from the disagreement, such as a trade across issues, that no single source proposed</w:t>
            </w:r>
          </w:p>
        </w:tc>
        <w:tc>
          <w:tcPr>
            <w:tcW w:w="3660" w:type="dxa"/>
            <w:tcMar>
              <w:top w:w="60" w:type="dxa"/>
              <w:left w:w="100" w:type="dxa"/>
              <w:bottom w:w="60" w:type="dxa"/>
              <w:right w:w="100" w:type="dxa"/>
            </w:tcMar>
          </w:tcPr>
          <w:p>
            <w:pPr>
              <w:spacing w:after="20"/>
            </w:pPr>
            <w:r>
              <w:rPr>
                <w:sz w:val="18"/>
                <w:szCs w:val="18"/>
              </w:rPr>
              <w:t xml:space="preserve">Integrative bargaining and issue linkage; Pareto-improving package search; methods that use predictions of others' answers; debate protocols where conflict drives the search</w:t>
            </w:r>
          </w:p>
        </w:tc>
      </w:tr>
    </w:tbl>
    <w:p>
      <w:pPr>
        <w:spacing w:before="60" w:after="200"/>
      </w:pPr>
      <w:r>
        <w:rPr>
          <w:i/>
          <w:iCs/>
          <w:sz w:val="19"/>
          <w:szCs w:val="19"/>
        </w:rPr>
        <w:t xml:space="preserve">Table 2. Disposition scale.</w:t>
      </w:r>
    </w:p>
    <w:p>
      <w:pPr>
        <w:pStyle w:val="ListParagraph"/>
        <w:numPr>
          <w:ilvl w:val="0"/>
          <w:numId w:val="1"/>
        </w:numPr>
        <w:spacing w:after="70" w:line="276" w:lineRule="auto"/>
      </w:pPr>
      <w:r>
        <w:t xml:space="preserve">Code the output the method produces when deployed, not its architecture or training. A model with per-annotator heads that averages them at inference is D0 or D1.</w:t>
      </w:r>
    </w:p>
    <w:p>
      <w:pPr>
        <w:pStyle w:val="ListParagraph"/>
        <w:numPr>
          <w:ilvl w:val="0"/>
          <w:numId w:val="1"/>
        </w:numPr>
        <w:spacing w:after="70" w:line="276" w:lineRule="auto"/>
      </w:pPr>
      <w:r>
        <w:t xml:space="preserve">The scale records what information survives, not quality. D0 is appropriate when a true answer exists.</w:t>
      </w:r>
    </w:p>
    <w:p>
      <w:pPr>
        <w:pStyle w:val="ListParagraph"/>
        <w:numPr>
          <w:ilvl w:val="0"/>
          <w:numId w:val="1"/>
        </w:numPr>
        <w:spacing w:after="70" w:line="276" w:lineRule="auto"/>
      </w:pPr>
      <w:r>
        <w:t xml:space="preserve">D3 needs inputs that D2 does not, such as preference intensity across issues. Axis A1 records whether the method collects them.</w:t>
      </w:r>
    </w:p>
    <w:p>
      <w:pPr>
        <w:pStyle w:val="Heading2"/>
      </w:pPr>
      <w:r>
        <w:t xml:space="preserve">4.2 Account of disagreement and welfare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3000"/>
        <w:gridCol w:w="4160"/>
      </w:tblGrid>
      <w:tr>
        <w:tblPrEx>
          <w:tblCellMar>
            <w:top w:w="0" w:type="dxa"/>
            <w:bottom w:w="0" w:type="dxa"/>
          </w:tblCellMar>
        </w:tblPrEx>
        <w:trPr>
          <w:tblHeader/>
        </w:trPr>
        <w:tc>
          <w:tcPr>
            <w:tcW w:w="700" w:type="dxa"/>
            <w:shd w:val="clear" w:color="auto" w:fill="E8EAED"/>
            <w:tcMar>
              <w:top w:w="60" w:type="dxa"/>
              <w:left w:w="100" w:type="dxa"/>
              <w:bottom w:w="60" w:type="dxa"/>
              <w:right w:w="100" w:type="dxa"/>
            </w:tcMar>
          </w:tcPr>
          <w:p>
            <w:pPr>
              <w:spacing w:after="20"/>
            </w:pPr>
            <w:r>
              <w:rPr>
                <w:b/>
                <w:bCs/>
                <w:sz w:val="18"/>
                <w:szCs w:val="18"/>
              </w:rPr>
              <w:t xml:space="preserve">Code</w:t>
            </w:r>
          </w:p>
        </w:tc>
        <w:tc>
          <w:tcPr>
            <w:tcW w:w="1500" w:type="dxa"/>
            <w:shd w:val="clear" w:color="auto" w:fill="E8EAED"/>
            <w:tcMar>
              <w:top w:w="60" w:type="dxa"/>
              <w:left w:w="100" w:type="dxa"/>
              <w:bottom w:w="60" w:type="dxa"/>
              <w:right w:w="100" w:type="dxa"/>
            </w:tcMar>
          </w:tcPr>
          <w:p>
            <w:pPr>
              <w:spacing w:after="20"/>
            </w:pPr>
            <w:r>
              <w:rPr>
                <w:b/>
                <w:bCs/>
                <w:sz w:val="18"/>
                <w:szCs w:val="18"/>
              </w:rPr>
              <w:t xml:space="preserve">Account</w:t>
            </w:r>
          </w:p>
        </w:tc>
        <w:tc>
          <w:tcPr>
            <w:tcW w:w="3000" w:type="dxa"/>
            <w:shd w:val="clear" w:color="auto" w:fill="E8EAED"/>
            <w:tcMar>
              <w:top w:w="60" w:type="dxa"/>
              <w:left w:w="100" w:type="dxa"/>
              <w:bottom w:w="60" w:type="dxa"/>
              <w:right w:w="100" w:type="dxa"/>
            </w:tcMar>
          </w:tcPr>
          <w:p>
            <w:pPr>
              <w:spacing w:after="20"/>
            </w:pPr>
            <w:r>
              <w:rPr>
                <w:b/>
                <w:bCs/>
                <w:sz w:val="18"/>
                <w:szCs w:val="18"/>
              </w:rPr>
              <w:t xml:space="preserve">Treats disagreement as</w:t>
            </w:r>
          </w:p>
        </w:tc>
        <w:tc>
          <w:tcPr>
            <w:tcW w:w="4160" w:type="dxa"/>
            <w:shd w:val="clear" w:color="auto" w:fill="E8EAED"/>
            <w:tcMar>
              <w:top w:w="60" w:type="dxa"/>
              <w:left w:w="100" w:type="dxa"/>
              <w:bottom w:w="60" w:type="dxa"/>
              <w:right w:w="100" w:type="dxa"/>
            </w:tcMar>
          </w:tcPr>
          <w:p>
            <w:pPr>
              <w:spacing w:after="20"/>
            </w:pPr>
            <w:r>
              <w:rPr>
                <w:b/>
                <w:bCs/>
                <w:sz w:val="18"/>
                <w:szCs w:val="18"/>
              </w:rPr>
              <w:t xml:space="preserve">Target and examples</w:t>
            </w:r>
          </w:p>
        </w:tc>
      </w:tr>
      <w:tr>
        <w:tblPrEx>
          <w:tblCellMar>
            <w:top w:w="0" w:type="dxa"/>
            <w:bottom w:w="0" w:type="dxa"/>
          </w:tblCellMar>
        </w:tblPrEx>
        <w:tc>
          <w:tcPr>
            <w:tcW w:w="700" w:type="dxa"/>
            <w:tcMar>
              <w:top w:w="60" w:type="dxa"/>
              <w:left w:w="100" w:type="dxa"/>
              <w:bottom w:w="60" w:type="dxa"/>
              <w:right w:w="100" w:type="dxa"/>
            </w:tcMar>
          </w:tcPr>
          <w:p>
            <w:pPr>
              <w:spacing w:after="20"/>
            </w:pPr>
            <w:r>
              <w:rPr>
                <w:sz w:val="18"/>
                <w:szCs w:val="18"/>
              </w:rPr>
              <w:t xml:space="preserve">E</w:t>
            </w:r>
          </w:p>
        </w:tc>
        <w:tc>
          <w:tcPr>
            <w:tcW w:w="1500" w:type="dxa"/>
            <w:tcMar>
              <w:top w:w="60" w:type="dxa"/>
              <w:left w:w="100" w:type="dxa"/>
              <w:bottom w:w="60" w:type="dxa"/>
              <w:right w:w="100" w:type="dxa"/>
            </w:tcMar>
          </w:tcPr>
          <w:p>
            <w:pPr>
              <w:spacing w:after="20"/>
            </w:pPr>
            <w:r>
              <w:rPr>
                <w:sz w:val="18"/>
                <w:szCs w:val="18"/>
              </w:rPr>
              <w:t xml:space="preserve">Epistemic</w:t>
            </w:r>
          </w:p>
        </w:tc>
        <w:tc>
          <w:tcPr>
            <w:tcW w:w="3000" w:type="dxa"/>
            <w:tcMar>
              <w:top w:w="60" w:type="dxa"/>
              <w:left w:w="100" w:type="dxa"/>
              <w:bottom w:w="60" w:type="dxa"/>
              <w:right w:w="100" w:type="dxa"/>
            </w:tcMar>
          </w:tcPr>
          <w:p>
            <w:pPr>
              <w:spacing w:after="20"/>
            </w:pPr>
            <w:r>
              <w:rPr>
                <w:sz w:val="18"/>
                <w:szCs w:val="18"/>
              </w:rPr>
              <w:t xml:space="preserve">Noise around one true answer, from sources of varying reliability</w:t>
            </w:r>
          </w:p>
        </w:tc>
        <w:tc>
          <w:tcPr>
            <w:tcW w:w="4160" w:type="dxa"/>
            <w:tcMar>
              <w:top w:w="60" w:type="dxa"/>
              <w:left w:w="100" w:type="dxa"/>
              <w:bottom w:w="60" w:type="dxa"/>
              <w:right w:w="100" w:type="dxa"/>
            </w:tcMar>
          </w:tcPr>
          <w:p>
            <w:pPr>
              <w:spacing w:after="20"/>
            </w:pPr>
            <w:r>
              <w:rPr>
                <w:sz w:val="18"/>
                <w:szCs w:val="18"/>
              </w:rPr>
              <w:t xml:space="preserve">Accuracy, usually maximum likelihood under a noise model. Condorcet jury reasoning, observer-error label models, forecast pooling, self-consistency</w:t>
            </w:r>
          </w:p>
        </w:tc>
      </w:tr>
      <w:tr>
        <w:tblPrEx>
          <w:tblCellMar>
            <w:top w:w="0" w:type="dxa"/>
            <w:bottom w:w="0" w:type="dxa"/>
          </w:tblCellMar>
        </w:tblPrEx>
        <w:tc>
          <w:tcPr>
            <w:tcW w:w="700" w:type="dxa"/>
            <w:tcMar>
              <w:top w:w="60" w:type="dxa"/>
              <w:left w:w="100" w:type="dxa"/>
              <w:bottom w:w="60" w:type="dxa"/>
              <w:right w:w="100" w:type="dxa"/>
            </w:tcMar>
          </w:tcPr>
          <w:p>
            <w:pPr>
              <w:spacing w:after="20"/>
            </w:pPr>
            <w:r>
              <w:rPr>
                <w:sz w:val="18"/>
                <w:szCs w:val="18"/>
              </w:rPr>
              <w:t xml:space="preserve">W</w:t>
            </w:r>
          </w:p>
        </w:tc>
        <w:tc>
          <w:tcPr>
            <w:tcW w:w="1500" w:type="dxa"/>
            <w:tcMar>
              <w:top w:w="60" w:type="dxa"/>
              <w:left w:w="100" w:type="dxa"/>
              <w:bottom w:w="60" w:type="dxa"/>
              <w:right w:w="100" w:type="dxa"/>
            </w:tcMar>
          </w:tcPr>
          <w:p>
            <w:pPr>
              <w:spacing w:after="20"/>
            </w:pPr>
            <w:r>
              <w:rPr>
                <w:sz w:val="18"/>
                <w:szCs w:val="18"/>
              </w:rPr>
              <w:t xml:space="preserve">Welfarist</w:t>
            </w:r>
          </w:p>
        </w:tc>
        <w:tc>
          <w:tcPr>
            <w:tcW w:w="3000" w:type="dxa"/>
            <w:tcMar>
              <w:top w:w="60" w:type="dxa"/>
              <w:left w:w="100" w:type="dxa"/>
              <w:bottom w:w="60" w:type="dxa"/>
              <w:right w:w="100" w:type="dxa"/>
            </w:tcMar>
          </w:tcPr>
          <w:p>
            <w:pPr>
              <w:spacing w:after="20"/>
            </w:pPr>
            <w:r>
              <w:rPr>
                <w:sz w:val="18"/>
                <w:szCs w:val="18"/>
              </w:rPr>
              <w:t xml:space="preserve">Conflicting interests or preferences over outcomes</w:t>
            </w:r>
          </w:p>
        </w:tc>
        <w:tc>
          <w:tcPr>
            <w:tcW w:w="4160" w:type="dxa"/>
            <w:tcMar>
              <w:top w:w="60" w:type="dxa"/>
              <w:left w:w="100" w:type="dxa"/>
              <w:bottom w:w="60" w:type="dxa"/>
              <w:right w:w="100" w:type="dxa"/>
            </w:tcMar>
          </w:tcPr>
          <w:p>
            <w:pPr>
              <w:spacing w:after="20"/>
            </w:pPr>
            <w:r>
              <w:rPr>
                <w:sz w:val="18"/>
                <w:szCs w:val="18"/>
              </w:rPr>
              <w:t xml:space="preserve">A social welfare function: utilitarian, weighted utilitarian, Nash, egalitarian or leximin, prioritarian or generalized mean. Bargaining solutions, fair division, minimax and group-robust objectives, MaxMin alignment</w:t>
            </w:r>
          </w:p>
        </w:tc>
      </w:tr>
      <w:tr>
        <w:tblPrEx>
          <w:tblCellMar>
            <w:top w:w="0" w:type="dxa"/>
            <w:bottom w:w="0" w:type="dxa"/>
          </w:tblCellMar>
        </w:tblPrEx>
        <w:tc>
          <w:tcPr>
            <w:tcW w:w="700" w:type="dxa"/>
            <w:tcMar>
              <w:top w:w="60" w:type="dxa"/>
              <w:left w:w="100" w:type="dxa"/>
              <w:bottom w:w="60" w:type="dxa"/>
              <w:right w:w="100" w:type="dxa"/>
            </w:tcMar>
          </w:tcPr>
          <w:p>
            <w:pPr>
              <w:spacing w:after="20"/>
            </w:pPr>
            <w:r>
              <w:rPr>
                <w:sz w:val="18"/>
                <w:szCs w:val="18"/>
              </w:rPr>
              <w:t xml:space="preserve">R</w:t>
            </w:r>
          </w:p>
        </w:tc>
        <w:tc>
          <w:tcPr>
            <w:tcW w:w="1500" w:type="dxa"/>
            <w:tcMar>
              <w:top w:w="60" w:type="dxa"/>
              <w:left w:w="100" w:type="dxa"/>
              <w:bottom w:w="60" w:type="dxa"/>
              <w:right w:w="100" w:type="dxa"/>
            </w:tcMar>
          </w:tcPr>
          <w:p>
            <w:pPr>
              <w:spacing w:after="20"/>
            </w:pPr>
            <w:r>
              <w:rPr>
                <w:sz w:val="18"/>
                <w:szCs w:val="18"/>
              </w:rPr>
              <w:t xml:space="preserve">Representational</w:t>
            </w:r>
          </w:p>
        </w:tc>
        <w:tc>
          <w:tcPr>
            <w:tcW w:w="3000" w:type="dxa"/>
            <w:tcMar>
              <w:top w:w="60" w:type="dxa"/>
              <w:left w:w="100" w:type="dxa"/>
              <w:bottom w:w="60" w:type="dxa"/>
              <w:right w:w="100" w:type="dxa"/>
            </w:tcMar>
          </w:tcPr>
          <w:p>
            <w:pPr>
              <w:spacing w:after="20"/>
            </w:pPr>
            <w:r>
              <w:rPr>
                <w:sz w:val="18"/>
                <w:szCs w:val="18"/>
              </w:rPr>
              <w:t xml:space="preserve">Legitimate differences to be represented, not resolved</w:t>
            </w:r>
          </w:p>
        </w:tc>
        <w:tc>
          <w:tcPr>
            <w:tcW w:w="4160" w:type="dxa"/>
            <w:tcMar>
              <w:top w:w="60" w:type="dxa"/>
              <w:left w:w="100" w:type="dxa"/>
              <w:bottom w:w="60" w:type="dxa"/>
              <w:right w:w="100" w:type="dxa"/>
            </w:tcMar>
          </w:tcPr>
          <w:p>
            <w:pPr>
              <w:spacing w:after="20"/>
            </w:pPr>
            <w:r>
              <w:rPr>
                <w:sz w:val="18"/>
                <w:szCs w:val="18"/>
              </w:rPr>
              <w:t xml:space="preserve">Proportional representation or procedural legitimacy. Justified representation, proportional committees, sortition, jury learning, perspectivist and disaggregated outputs</w:t>
            </w:r>
          </w:p>
        </w:tc>
      </w:tr>
      <w:tr>
        <w:tblPrEx>
          <w:tblCellMar>
            <w:top w:w="0" w:type="dxa"/>
            <w:bottom w:w="0" w:type="dxa"/>
          </w:tblCellMar>
        </w:tblPrEx>
        <w:tc>
          <w:tcPr>
            <w:tcW w:w="700" w:type="dxa"/>
            <w:tcMar>
              <w:top w:w="60" w:type="dxa"/>
              <w:left w:w="100" w:type="dxa"/>
              <w:bottom w:w="60" w:type="dxa"/>
              <w:right w:w="100" w:type="dxa"/>
            </w:tcMar>
          </w:tcPr>
          <w:p>
            <w:pPr>
              <w:spacing w:after="20"/>
            </w:pPr>
            <w:r>
              <w:rPr>
                <w:sz w:val="18"/>
                <w:szCs w:val="18"/>
              </w:rPr>
              <w:t xml:space="preserve">U</w:t>
            </w:r>
          </w:p>
        </w:tc>
        <w:tc>
          <w:tcPr>
            <w:tcW w:w="1500" w:type="dxa"/>
            <w:tcMar>
              <w:top w:w="60" w:type="dxa"/>
              <w:left w:w="100" w:type="dxa"/>
              <w:bottom w:w="60" w:type="dxa"/>
              <w:right w:w="100" w:type="dxa"/>
            </w:tcMar>
          </w:tcPr>
          <w:p>
            <w:pPr>
              <w:spacing w:after="20"/>
            </w:pPr>
            <w:r>
              <w:rPr>
                <w:sz w:val="18"/>
                <w:szCs w:val="18"/>
              </w:rPr>
              <w:t xml:space="preserve">Unspecified</w:t>
            </w:r>
          </w:p>
        </w:tc>
        <w:tc>
          <w:tcPr>
            <w:tcW w:w="3000" w:type="dxa"/>
            <w:tcMar>
              <w:top w:w="60" w:type="dxa"/>
              <w:left w:w="100" w:type="dxa"/>
              <w:bottom w:w="60" w:type="dxa"/>
              <w:right w:w="100" w:type="dxa"/>
            </w:tcMar>
          </w:tcPr>
          <w:p>
            <w:pPr>
              <w:spacing w:after="20"/>
            </w:pPr>
            <w:r>
              <w:rPr>
                <w:sz w:val="18"/>
                <w:szCs w:val="18"/>
              </w:rPr>
              <w:t xml:space="preserve">Not stated, and not derivable without further assumptions</w:t>
            </w:r>
          </w:p>
        </w:tc>
        <w:tc>
          <w:tcPr>
            <w:tcW w:w="4160" w:type="dxa"/>
            <w:tcMar>
              <w:top w:w="60" w:type="dxa"/>
              <w:left w:w="100" w:type="dxa"/>
              <w:bottom w:w="60" w:type="dxa"/>
              <w:right w:w="100" w:type="dxa"/>
            </w:tcMar>
          </w:tcPr>
          <w:p>
            <w:pPr>
              <w:spacing w:after="20"/>
            </w:pPr>
            <w:r>
              <w:rPr>
                <w:sz w:val="18"/>
                <w:szCs w:val="18"/>
              </w:rPr>
              <w:t xml:space="preserve">None stated. Expected to be common in merging, routing, and ensembling</w:t>
            </w:r>
          </w:p>
        </w:tc>
      </w:tr>
    </w:tbl>
    <w:p>
      <w:pPr>
        <w:spacing w:before="60" w:after="200"/>
      </w:pPr>
      <w:r>
        <w:rPr>
          <w:i/>
          <w:iCs/>
          <w:sz w:val="19"/>
          <w:szCs w:val="19"/>
        </w:rPr>
        <w:t xml:space="preserve">Table 3. Accounts of disagreement. Each technique takes one primary and at most one secondary account.</w:t>
      </w:r>
    </w:p>
    <w:p>
      <w:pPr>
        <w:spacing w:after="120" w:line="276" w:lineRule="auto"/>
      </w:pPr>
      <w:r>
        <w:rPr>
          <w:b/>
          <w:bCs/>
        </w:rPr>
        <w:t xml:space="preserve">Welfare fields. </w:t>
      </w:r>
      <w:r>
        <w:t xml:space="preserve">For W and derived criteria, coders record two fields. The first is the social welfare function from a fixed list: utilitarian; weighted utilitarian, with the weights; Nash; egalitarian or leximin; prioritarian or generalized mean, with the parameter; other. The second is the utility comparability it requires, from ordinal non-comparable to fully comparable. Utilitarian sums require utilities comparable in units. Leximin requires utilities comparable in levels. Nash welfare is unchanged when one source's utilities are rescaled, so it needs a fixed zero point but no comparison across sources. Per-annotator normalization of reward scores is a comparability assumption and is coded as one.</w:t>
      </w:r>
    </w:p>
    <w:p>
      <w:pPr>
        <w:spacing w:after="120" w:line="276" w:lineRule="auto"/>
      </w:pPr>
      <w:r>
        <w:rPr>
          <w:b/>
          <w:bCs/>
        </w:rPr>
        <w:t xml:space="preserve">Derived criteria. </w:t>
      </w:r>
      <w:r>
        <w:t xml:space="preserve">When a paper states no criterion but its objective has a known form, such as a weighted sum of per-source losses, coders record the derived criterion and cite the reduction. Derived criteria are stored separately from stated ones and are fully double coded.</w:t>
      </w:r>
    </w:p>
    <w:p>
      <w:pPr>
        <w:pStyle w:val="Heading2"/>
      </w:pPr>
      <w:r>
        <w:t xml:space="preserve">4.3 Operating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tblPrEx>
          <w:tblCellMar>
            <w:top w:w="0" w:type="dxa"/>
            <w:bottom w:w="0" w:type="dxa"/>
          </w:tblCellMar>
        </w:tblPrEx>
        <w:trPr>
          <w:tblHeader/>
        </w:trPr>
        <w:tc>
          <w:tcPr>
            <w:tcW w:w="2200" w:type="dxa"/>
            <w:shd w:val="clear" w:color="auto" w:fill="E8EAED"/>
            <w:tcMar>
              <w:top w:w="60" w:type="dxa"/>
              <w:left w:w="100" w:type="dxa"/>
              <w:bottom w:w="60" w:type="dxa"/>
              <w:right w:w="100" w:type="dxa"/>
            </w:tcMar>
          </w:tcPr>
          <w:p>
            <w:pPr>
              <w:spacing w:after="20"/>
            </w:pPr>
            <w:r>
              <w:rPr>
                <w:b/>
                <w:bCs/>
                <w:sz w:val="18"/>
                <w:szCs w:val="18"/>
              </w:rPr>
              <w:t xml:space="preserve">Condition</w:t>
            </w:r>
          </w:p>
        </w:tc>
        <w:tc>
          <w:tcPr>
            <w:tcW w:w="3400" w:type="dxa"/>
            <w:shd w:val="clear" w:color="auto" w:fill="E8EAED"/>
            <w:tcMar>
              <w:top w:w="60" w:type="dxa"/>
              <w:left w:w="100" w:type="dxa"/>
              <w:bottom w:w="60" w:type="dxa"/>
              <w:right w:w="100" w:type="dxa"/>
            </w:tcMar>
          </w:tcPr>
          <w:p>
            <w:pPr>
              <w:spacing w:after="20"/>
            </w:pPr>
            <w:r>
              <w:rPr>
                <w:b/>
                <w:bCs/>
                <w:sz w:val="18"/>
                <w:szCs w:val="18"/>
              </w:rPr>
              <w:t xml:space="preserve">Requirement</w:t>
            </w:r>
          </w:p>
        </w:tc>
        <w:tc>
          <w:tcPr>
            <w:tcW w:w="3760" w:type="dxa"/>
            <w:shd w:val="clear" w:color="auto" w:fill="E8EAED"/>
            <w:tcMar>
              <w:top w:w="60" w:type="dxa"/>
              <w:left w:w="100" w:type="dxa"/>
              <w:bottom w:w="60" w:type="dxa"/>
              <w:right w:w="100" w:type="dxa"/>
            </w:tcMar>
          </w:tcPr>
          <w:p>
            <w:pPr>
              <w:spacing w:after="20"/>
            </w:pPr>
            <w:r>
              <w:rPr>
                <w:b/>
                <w:bCs/>
                <w:sz w:val="18"/>
                <w:szCs w:val="18"/>
              </w:rPr>
              <w:t xml:space="preserve">Common failure</w:t>
            </w:r>
          </w:p>
        </w:tc>
      </w:tr>
      <w:tr>
        <w:tblPrEx>
          <w:tblCellMar>
            <w:top w:w="0" w:type="dxa"/>
            <w:bottom w:w="0" w:type="dxa"/>
          </w:tblCellMar>
        </w:tblPrEx>
        <w:tc>
          <w:tcPr>
            <w:tcW w:w="2200" w:type="dxa"/>
            <w:tcMar>
              <w:top w:w="60" w:type="dxa"/>
              <w:left w:w="100" w:type="dxa"/>
              <w:bottom w:w="60" w:type="dxa"/>
              <w:right w:w="100" w:type="dxa"/>
            </w:tcMar>
          </w:tcPr>
          <w:p>
            <w:pPr>
              <w:spacing w:after="20"/>
            </w:pPr>
            <w:r>
              <w:rPr>
                <w:sz w:val="18"/>
                <w:szCs w:val="18"/>
              </w:rPr>
              <w:t xml:space="preserve">C1 Strategic sources</w:t>
            </w:r>
          </w:p>
        </w:tc>
        <w:tc>
          <w:tcPr>
            <w:tcW w:w="3400" w:type="dxa"/>
            <w:tcMar>
              <w:top w:w="60" w:type="dxa"/>
              <w:left w:w="100" w:type="dxa"/>
              <w:bottom w:w="60" w:type="dxa"/>
              <w:right w:w="100" w:type="dxa"/>
            </w:tcMar>
          </w:tcPr>
          <w:p>
            <w:pPr>
              <w:spacing w:after="20"/>
            </w:pPr>
            <w:r>
              <w:rPr>
                <w:sz w:val="18"/>
                <w:szCs w:val="18"/>
              </w:rPr>
              <w:t xml:space="preserve">Strategyproofness or bounded manipulability under misreporting and withholding</w:t>
            </w:r>
          </w:p>
        </w:tc>
        <w:tc>
          <w:tcPr>
            <w:tcW w:w="3760" w:type="dxa"/>
            <w:tcMar>
              <w:top w:w="60" w:type="dxa"/>
              <w:left w:w="100" w:type="dxa"/>
              <w:bottom w:w="60" w:type="dxa"/>
              <w:right w:w="100" w:type="dxa"/>
            </w:tcMar>
          </w:tcPr>
          <w:p>
            <w:pPr>
              <w:spacing w:after="20"/>
            </w:pPr>
            <w:r>
              <w:rPr>
                <w:sz w:val="18"/>
                <w:szCs w:val="18"/>
              </w:rPr>
              <w:t xml:space="preserve">Crowd and annotation aggregation assumes honest sources; federated aggregation treats deviation as a fault; most voting rules are manipulable</w:t>
            </w:r>
          </w:p>
        </w:tc>
      </w:tr>
      <w:tr>
        <w:tblPrEx>
          <w:tblCellMar>
            <w:top w:w="0" w:type="dxa"/>
            <w:bottom w:w="0" w:type="dxa"/>
          </w:tblCellMar>
        </w:tblPrEx>
        <w:tc>
          <w:tcPr>
            <w:tcW w:w="2200" w:type="dxa"/>
            <w:tcMar>
              <w:top w:w="60" w:type="dxa"/>
              <w:left w:w="100" w:type="dxa"/>
              <w:bottom w:w="60" w:type="dxa"/>
              <w:right w:w="100" w:type="dxa"/>
            </w:tcMar>
          </w:tcPr>
          <w:p>
            <w:pPr>
              <w:spacing w:after="20"/>
            </w:pPr>
            <w:r>
              <w:rPr>
                <w:sz w:val="18"/>
                <w:szCs w:val="18"/>
              </w:rPr>
              <w:t xml:space="preserve">C2 Decentralized inputs</w:t>
            </w:r>
          </w:p>
        </w:tc>
        <w:tc>
          <w:tcPr>
            <w:tcW w:w="3400" w:type="dxa"/>
            <w:tcMar>
              <w:top w:w="60" w:type="dxa"/>
              <w:left w:w="100" w:type="dxa"/>
              <w:bottom w:w="60" w:type="dxa"/>
              <w:right w:w="100" w:type="dxa"/>
            </w:tcMar>
          </w:tcPr>
          <w:p>
            <w:pPr>
              <w:spacing w:after="20"/>
            </w:pPr>
            <w:r>
              <w:rPr>
                <w:sz w:val="18"/>
                <w:szCs w:val="18"/>
              </w:rPr>
              <w:t xml:space="preserve">Works on released signals rather than pooled data, with formal guarantees on what is released</w:t>
            </w:r>
          </w:p>
        </w:tc>
        <w:tc>
          <w:tcPr>
            <w:tcW w:w="3760" w:type="dxa"/>
            <w:tcMar>
              <w:top w:w="60" w:type="dxa"/>
              <w:left w:w="100" w:type="dxa"/>
              <w:bottom w:w="60" w:type="dxa"/>
              <w:right w:w="100" w:type="dxa"/>
            </w:tcMar>
          </w:tcPr>
          <w:p>
            <w:pPr>
              <w:spacing w:after="20"/>
            </w:pPr>
            <w:r>
              <w:rPr>
                <w:sz w:val="18"/>
                <w:szCs w:val="18"/>
              </w:rPr>
              <w:t xml:space="preserve">Social choice assumes a central profile; federated and private aggregation handle this only for D0 outputs</w:t>
            </w:r>
          </w:p>
        </w:tc>
      </w:tr>
      <w:tr>
        <w:tblPrEx>
          <w:tblCellMar>
            <w:top w:w="0" w:type="dxa"/>
            <w:bottom w:w="0" w:type="dxa"/>
          </w:tblCellMar>
        </w:tblPrEx>
        <w:tc>
          <w:tcPr>
            <w:tcW w:w="2200" w:type="dxa"/>
            <w:tcMar>
              <w:top w:w="60" w:type="dxa"/>
              <w:left w:w="100" w:type="dxa"/>
              <w:bottom w:w="60" w:type="dxa"/>
              <w:right w:w="100" w:type="dxa"/>
            </w:tcMar>
          </w:tcPr>
          <w:p>
            <w:pPr>
              <w:spacing w:after="20"/>
            </w:pPr>
            <w:r>
              <w:rPr>
                <w:sz w:val="18"/>
                <w:szCs w:val="18"/>
              </w:rPr>
              <w:t xml:space="preserve">C3 Exit</w:t>
            </w:r>
          </w:p>
        </w:tc>
        <w:tc>
          <w:tcPr>
            <w:tcW w:w="3400" w:type="dxa"/>
            <w:tcMar>
              <w:top w:w="60" w:type="dxa"/>
              <w:left w:w="100" w:type="dxa"/>
              <w:bottom w:w="60" w:type="dxa"/>
              <w:right w:w="100" w:type="dxa"/>
            </w:tcMar>
          </w:tcPr>
          <w:p>
            <w:pPr>
              <w:spacing w:after="20"/>
            </w:pPr>
            <w:r>
              <w:rPr>
                <w:sz w:val="18"/>
                <w:szCs w:val="18"/>
              </w:rPr>
              <w:t xml:space="preserve">Output remains defined and stable when a source withdraws or declines to report; participation and core stability</w:t>
            </w:r>
          </w:p>
        </w:tc>
        <w:tc>
          <w:tcPr>
            <w:tcW w:w="3760" w:type="dxa"/>
            <w:tcMar>
              <w:top w:w="60" w:type="dxa"/>
              <w:left w:w="100" w:type="dxa"/>
              <w:bottom w:w="60" w:type="dxa"/>
              <w:right w:w="100" w:type="dxa"/>
            </w:tcMar>
          </w:tcPr>
          <w:p>
            <w:pPr>
              <w:spacing w:after="20"/>
            </w:pPr>
            <w:r>
              <w:rPr>
                <w:sz w:val="18"/>
                <w:szCs w:val="18"/>
              </w:rPr>
              <w:t xml:space="preserve">Rarely addressed outside cooperative game theory; many rules can make a source worse off for taking part</w:t>
            </w:r>
          </w:p>
        </w:tc>
      </w:tr>
    </w:tbl>
    <w:p>
      <w:pPr>
        <w:spacing w:before="60" w:after="200"/>
      </w:pPr>
      <w:r>
        <w:rPr>
          <w:i/>
          <w:iCs/>
          <w:sz w:val="19"/>
          <w:szCs w:val="19"/>
        </w:rPr>
        <w:t xml:space="preserve">Table 4. Operating conditions.</w:t>
      </w:r>
    </w:p>
    <w:p>
      <w:pPr>
        <w:pStyle w:val="Heading2"/>
      </w:pPr>
      <w:r>
        <w:t xml:space="preserve">4.4 Registered predictions</w:t>
      </w:r>
    </w:p>
    <w:p>
      <w:pPr>
        <w:spacing w:after="120" w:line="276" w:lineRule="auto"/>
      </w:pPr>
      <w:r>
        <w:t xml:space="preserve">Registered with a timestamp before screening. Each is reported as confirmed or not, with counts.</w:t>
      </w:r>
    </w:p>
    <w:p>
      <w:pPr>
        <w:pStyle w:val="ListParagraph"/>
        <w:numPr>
          <w:ilvl w:val="0"/>
          <w:numId w:val="1"/>
        </w:numPr>
        <w:spacing w:after="70" w:line="276" w:lineRule="auto"/>
      </w:pPr>
      <w:r>
        <w:t xml:space="preserve">P1. D0 is the most common disposition overall, and in federated, routing, and merging work, where the account is mostly U.</w:t>
      </w:r>
    </w:p>
    <w:p>
      <w:pPr>
        <w:pStyle w:val="ListParagraph"/>
        <w:numPr>
          <w:ilvl w:val="0"/>
          <w:numId w:val="1"/>
        </w:numPr>
        <w:spacing w:after="70" w:line="276" w:lineRule="auto"/>
      </w:pPr>
      <w:r>
        <w:t xml:space="preserve">P2. Among ML techniques with a stated or derived welfare criterion, most are utilitarian. Nash welfare and leximin appear mainly in social choice, fair division, and economics venues.</w:t>
      </w:r>
    </w:p>
    <w:p>
      <w:pPr>
        <w:pStyle w:val="ListParagraph"/>
        <w:numPr>
          <w:ilvl w:val="0"/>
          <w:numId w:val="1"/>
        </w:numPr>
        <w:spacing w:after="70" w:line="276" w:lineRule="auto"/>
      </w:pPr>
      <w:r>
        <w:t xml:space="preserve">P3. D2 techniques are mostly R. Five or fewer techniques combine D2 with a W account.</w:t>
      </w:r>
    </w:p>
    <w:p>
      <w:pPr>
        <w:pStyle w:val="Heading1"/>
      </w:pPr>
      <w:r>
        <w:t xml:space="preserve">5. Units and descriptive axes</w:t>
      </w:r>
    </w:p>
    <w:p>
      <w:pPr>
        <w:spacing w:after="120" w:line="276" w:lineRule="auto"/>
      </w:pPr>
      <w:r>
        <w:t xml:space="preserve">The paper record is the unit for screening and PRISMA counts. The technique record is the unit for coding: one paper can contribute several techniques, and one technique can appear in several papers. Technique records are deduplicated against a canonical name and alias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000"/>
        <w:gridCol w:w="3660"/>
      </w:tblGrid>
      <w:tr>
        <w:tblPrEx>
          <w:tblCellMar>
            <w:top w:w="0" w:type="dxa"/>
            <w:bottom w:w="0" w:type="dxa"/>
          </w:tblCellMar>
        </w:tblPrEx>
        <w:trPr>
          <w:tblHeader/>
        </w:trPr>
        <w:tc>
          <w:tcPr>
            <w:tcW w:w="1700" w:type="dxa"/>
            <w:shd w:val="clear" w:color="auto" w:fill="E8EAED"/>
            <w:tcMar>
              <w:top w:w="60" w:type="dxa"/>
              <w:left w:w="100" w:type="dxa"/>
              <w:bottom w:w="60" w:type="dxa"/>
              <w:right w:w="100" w:type="dxa"/>
            </w:tcMar>
          </w:tcPr>
          <w:p>
            <w:pPr>
              <w:spacing w:after="20"/>
            </w:pPr>
            <w:r>
              <w:rPr>
                <w:b/>
                <w:bCs/>
                <w:sz w:val="18"/>
                <w:szCs w:val="18"/>
              </w:rPr>
              <w:t xml:space="preserve">Axis</w:t>
            </w:r>
          </w:p>
        </w:tc>
        <w:tc>
          <w:tcPr>
            <w:tcW w:w="4000" w:type="dxa"/>
            <w:shd w:val="clear" w:color="auto" w:fill="E8EAED"/>
            <w:tcMar>
              <w:top w:w="60" w:type="dxa"/>
              <w:left w:w="100" w:type="dxa"/>
              <w:bottom w:w="60" w:type="dxa"/>
              <w:right w:w="100" w:type="dxa"/>
            </w:tcMar>
          </w:tcPr>
          <w:p>
            <w:pPr>
              <w:spacing w:after="20"/>
            </w:pPr>
            <w:r>
              <w:rPr>
                <w:b/>
                <w:bCs/>
                <w:sz w:val="18"/>
                <w:szCs w:val="18"/>
              </w:rPr>
              <w:t xml:space="preserve">Values</w:t>
            </w:r>
          </w:p>
        </w:tc>
        <w:tc>
          <w:tcPr>
            <w:tcW w:w="3660" w:type="dxa"/>
            <w:shd w:val="clear" w:color="auto" w:fill="E8EAED"/>
            <w:tcMar>
              <w:top w:w="60" w:type="dxa"/>
              <w:left w:w="100" w:type="dxa"/>
              <w:bottom w:w="60" w:type="dxa"/>
              <w:right w:w="100" w:type="dxa"/>
            </w:tcMar>
          </w:tcPr>
          <w:p>
            <w:pPr>
              <w:spacing w:after="20"/>
            </w:pPr>
            <w:r>
              <w:rPr>
                <w:b/>
                <w:bCs/>
                <w:sz w:val="18"/>
                <w:szCs w:val="18"/>
              </w:rPr>
              <w:t xml:space="preserve">Use</w:t>
            </w:r>
          </w:p>
        </w:tc>
      </w:tr>
      <w:tr>
        <w:tblPrEx>
          <w:tblCellMar>
            <w:top w:w="0" w:type="dxa"/>
            <w:bottom w:w="0" w:type="dxa"/>
          </w:tblCellMar>
        </w:tblPrEx>
        <w:tc>
          <w:tcPr>
            <w:tcW w:w="1700" w:type="dxa"/>
            <w:tcMar>
              <w:top w:w="60" w:type="dxa"/>
              <w:left w:w="100" w:type="dxa"/>
              <w:bottom w:w="60" w:type="dxa"/>
              <w:right w:w="100" w:type="dxa"/>
            </w:tcMar>
          </w:tcPr>
          <w:p>
            <w:pPr>
              <w:spacing w:after="20"/>
            </w:pPr>
            <w:r>
              <w:rPr>
                <w:sz w:val="18"/>
                <w:szCs w:val="18"/>
              </w:rPr>
              <w:t xml:space="preserve">A1 Input</w:t>
            </w:r>
          </w:p>
        </w:tc>
        <w:tc>
          <w:tcPr>
            <w:tcW w:w="4000" w:type="dxa"/>
            <w:tcMar>
              <w:top w:w="60" w:type="dxa"/>
              <w:left w:w="100" w:type="dxa"/>
              <w:bottom w:w="60" w:type="dxa"/>
              <w:right w:w="100" w:type="dxa"/>
            </w:tcMar>
          </w:tcPr>
          <w:p>
            <w:pPr>
              <w:spacing w:after="20"/>
            </w:pPr>
            <w:r>
              <w:rPr>
                <w:sz w:val="18"/>
                <w:szCs w:val="18"/>
              </w:rPr>
              <w:t xml:space="preserve">Ordinal rankings; pairwise comparisons; approval; cardinal scores; issue-wise utilities; probabilities; propositions; free text; parameter vectors; argument graphs</w:t>
            </w:r>
          </w:p>
        </w:tc>
        <w:tc>
          <w:tcPr>
            <w:tcW w:w="3660" w:type="dxa"/>
            <w:tcMar>
              <w:top w:w="60" w:type="dxa"/>
              <w:left w:w="100" w:type="dxa"/>
              <w:bottom w:w="60" w:type="dxa"/>
              <w:right w:w="100" w:type="dxa"/>
            </w:tcMar>
          </w:tcPr>
          <w:p>
            <w:pPr>
              <w:spacing w:after="20"/>
            </w:pPr>
            <w:r>
              <w:rPr>
                <w:sz w:val="18"/>
                <w:szCs w:val="18"/>
              </w:rPr>
              <w:t xml:space="preserve">Which welfare criteria can be defined on it</w:t>
            </w:r>
          </w:p>
        </w:tc>
      </w:tr>
      <w:tr>
        <w:tblPrEx>
          <w:tblCellMar>
            <w:top w:w="0" w:type="dxa"/>
            <w:bottom w:w="0" w:type="dxa"/>
          </w:tblCellMar>
        </w:tblPrEx>
        <w:tc>
          <w:tcPr>
            <w:tcW w:w="1700" w:type="dxa"/>
            <w:tcMar>
              <w:top w:w="60" w:type="dxa"/>
              <w:left w:w="100" w:type="dxa"/>
              <w:bottom w:w="60" w:type="dxa"/>
              <w:right w:w="100" w:type="dxa"/>
            </w:tcMar>
          </w:tcPr>
          <w:p>
            <w:pPr>
              <w:spacing w:after="20"/>
            </w:pPr>
            <w:r>
              <w:rPr>
                <w:sz w:val="18"/>
                <w:szCs w:val="18"/>
              </w:rPr>
              <w:t xml:space="preserve">A2 Output object</w:t>
            </w:r>
          </w:p>
        </w:tc>
        <w:tc>
          <w:tcPr>
            <w:tcW w:w="4000" w:type="dxa"/>
            <w:tcMar>
              <w:top w:w="60" w:type="dxa"/>
              <w:left w:w="100" w:type="dxa"/>
              <w:bottom w:w="60" w:type="dxa"/>
              <w:right w:w="100" w:type="dxa"/>
            </w:tcMar>
          </w:tcPr>
          <w:p>
            <w:pPr>
              <w:spacing w:after="20"/>
            </w:pPr>
            <w:r>
              <w:rPr>
                <w:sz w:val="18"/>
                <w:szCs w:val="18"/>
              </w:rPr>
              <w:t xml:space="preserve">Alternative or committee; ranking; scalar; distribution; lottery; credal set; package or allocation; disagreement record; per-source outputs; model or router; accepted arguments</w:t>
            </w:r>
          </w:p>
        </w:tc>
        <w:tc>
          <w:tcPr>
            <w:tcW w:w="3660" w:type="dxa"/>
            <w:tcMar>
              <w:top w:w="60" w:type="dxa"/>
              <w:left w:w="100" w:type="dxa"/>
              <w:bottom w:w="60" w:type="dxa"/>
              <w:right w:w="100" w:type="dxa"/>
            </w:tcMar>
          </w:tcPr>
          <w:p>
            <w:pPr>
              <w:spacing w:after="20"/>
            </w:pPr>
            <w:r>
              <w:rPr>
                <w:sz w:val="18"/>
                <w:szCs w:val="18"/>
              </w:rPr>
              <w:t xml:space="preserve">With A6, determines disposition</w:t>
            </w:r>
          </w:p>
        </w:tc>
      </w:tr>
      <w:tr>
        <w:tblPrEx>
          <w:tblCellMar>
            <w:top w:w="0" w:type="dxa"/>
            <w:bottom w:w="0" w:type="dxa"/>
          </w:tblCellMar>
        </w:tblPrEx>
        <w:tc>
          <w:tcPr>
            <w:tcW w:w="1700" w:type="dxa"/>
            <w:tcMar>
              <w:top w:w="60" w:type="dxa"/>
              <w:left w:w="100" w:type="dxa"/>
              <w:bottom w:w="60" w:type="dxa"/>
              <w:right w:w="100" w:type="dxa"/>
            </w:tcMar>
          </w:tcPr>
          <w:p>
            <w:pPr>
              <w:spacing w:after="20"/>
            </w:pPr>
            <w:r>
              <w:rPr>
                <w:sz w:val="18"/>
                <w:szCs w:val="18"/>
              </w:rPr>
              <w:t xml:space="preserve">A3 Informational basis</w:t>
            </w:r>
          </w:p>
        </w:tc>
        <w:tc>
          <w:tcPr>
            <w:tcW w:w="4000" w:type="dxa"/>
            <w:tcMar>
              <w:top w:w="60" w:type="dxa"/>
              <w:left w:w="100" w:type="dxa"/>
              <w:bottom w:w="60" w:type="dxa"/>
              <w:right w:w="100" w:type="dxa"/>
            </w:tcMar>
          </w:tcPr>
          <w:p>
            <w:pPr>
              <w:spacing w:after="20"/>
            </w:pPr>
            <w:r>
              <w:rPr>
                <w:sz w:val="18"/>
                <w:szCs w:val="18"/>
              </w:rPr>
              <w:t xml:space="preserve">Comparability level (§4.2); plus reliability estimates; source covariates; predictions of others; disagreement points</w:t>
            </w:r>
          </w:p>
        </w:tc>
        <w:tc>
          <w:tcPr>
            <w:tcW w:w="3660" w:type="dxa"/>
            <w:tcMar>
              <w:top w:w="60" w:type="dxa"/>
              <w:left w:w="100" w:type="dxa"/>
              <w:bottom w:w="60" w:type="dxa"/>
              <w:right w:w="100" w:type="dxa"/>
            </w:tcMar>
          </w:tcPr>
          <w:p>
            <w:pPr>
              <w:spacing w:after="20"/>
            </w:pPr>
            <w:r>
              <w:rPr>
                <w:sz w:val="18"/>
                <w:szCs w:val="18"/>
              </w:rPr>
              <w:t xml:space="preserve">Whether Arrow's theorem applies and which welfare criteria are available</w:t>
            </w:r>
          </w:p>
        </w:tc>
      </w:tr>
      <w:tr>
        <w:tblPrEx>
          <w:tblCellMar>
            <w:top w:w="0" w:type="dxa"/>
            <w:bottom w:w="0" w:type="dxa"/>
          </w:tblCellMar>
        </w:tblPrEx>
        <w:tc>
          <w:tcPr>
            <w:tcW w:w="1700" w:type="dxa"/>
            <w:tcMar>
              <w:top w:w="60" w:type="dxa"/>
              <w:left w:w="100" w:type="dxa"/>
              <w:bottom w:w="60" w:type="dxa"/>
              <w:right w:w="100" w:type="dxa"/>
            </w:tcMar>
          </w:tcPr>
          <w:p>
            <w:pPr>
              <w:spacing w:after="20"/>
            </w:pPr>
            <w:r>
              <w:rPr>
                <w:sz w:val="18"/>
                <w:szCs w:val="18"/>
              </w:rPr>
              <w:t xml:space="preserve">A4 Profile completeness</w:t>
            </w:r>
          </w:p>
        </w:tc>
        <w:tc>
          <w:tcPr>
            <w:tcW w:w="4000" w:type="dxa"/>
            <w:tcMar>
              <w:top w:w="60" w:type="dxa"/>
              <w:left w:w="100" w:type="dxa"/>
              <w:bottom w:w="60" w:type="dxa"/>
              <w:right w:w="100" w:type="dxa"/>
            </w:tcMar>
          </w:tcPr>
          <w:p>
            <w:pPr>
              <w:spacing w:after="20"/>
            </w:pPr>
            <w:r>
              <w:rPr>
                <w:sz w:val="18"/>
                <w:szCs w:val="18"/>
              </w:rPr>
              <w:t xml:space="preserve">Complete; sparse with missingness-aware estimation; sparse with imputation; partial by disclosure; strategically withheld</w:t>
            </w:r>
          </w:p>
        </w:tc>
        <w:tc>
          <w:tcPr>
            <w:tcW w:w="3660" w:type="dxa"/>
            <w:tcMar>
              <w:top w:w="60" w:type="dxa"/>
              <w:left w:w="100" w:type="dxa"/>
              <w:bottom w:w="60" w:type="dxa"/>
              <w:right w:w="100" w:type="dxa"/>
            </w:tcMar>
          </w:tcPr>
          <w:p>
            <w:pPr>
              <w:spacing w:after="20"/>
            </w:pPr>
            <w:r>
              <w:rPr>
                <w:sz w:val="18"/>
                <w:szCs w:val="18"/>
              </w:rPr>
              <w:t xml:space="preserve">Interacts with C1 and C2</w:t>
            </w:r>
          </w:p>
        </w:tc>
      </w:tr>
      <w:tr>
        <w:tblPrEx>
          <w:tblCellMar>
            <w:top w:w="0" w:type="dxa"/>
            <w:bottom w:w="0" w:type="dxa"/>
          </w:tblCellMar>
        </w:tblPrEx>
        <w:tc>
          <w:tcPr>
            <w:tcW w:w="1700" w:type="dxa"/>
            <w:tcMar>
              <w:top w:w="60" w:type="dxa"/>
              <w:left w:w="100" w:type="dxa"/>
              <w:bottom w:w="60" w:type="dxa"/>
              <w:right w:w="100" w:type="dxa"/>
            </w:tcMar>
          </w:tcPr>
          <w:p>
            <w:pPr>
              <w:spacing w:after="20"/>
            </w:pPr>
            <w:r>
              <w:rPr>
                <w:sz w:val="18"/>
                <w:szCs w:val="18"/>
              </w:rPr>
              <w:t xml:space="preserve">A5 Composition</w:t>
            </w:r>
          </w:p>
        </w:tc>
        <w:tc>
          <w:tcPr>
            <w:tcW w:w="4000" w:type="dxa"/>
            <w:tcMar>
              <w:top w:w="60" w:type="dxa"/>
              <w:left w:w="100" w:type="dxa"/>
              <w:bottom w:w="60" w:type="dxa"/>
              <w:right w:w="100" w:type="dxa"/>
            </w:tcMar>
          </w:tcPr>
          <w:p>
            <w:pPr>
              <w:spacing w:after="20"/>
            </w:pPr>
            <w:r>
              <w:rPr>
                <w:sz w:val="18"/>
                <w:szCs w:val="18"/>
              </w:rPr>
              <w:t xml:space="preserve">Single stage; two-level, where groups aggregate internally first; iterative; recursive</w:t>
            </w:r>
          </w:p>
        </w:tc>
        <w:tc>
          <w:tcPr>
            <w:tcW w:w="3660" w:type="dxa"/>
            <w:tcMar>
              <w:top w:w="60" w:type="dxa"/>
              <w:left w:w="100" w:type="dxa"/>
              <w:bottom w:w="60" w:type="dxa"/>
              <w:right w:w="100" w:type="dxa"/>
            </w:tcMar>
          </w:tcPr>
          <w:p>
            <w:pPr>
              <w:spacing w:after="20"/>
            </w:pPr>
            <w:r>
              <w:rPr>
                <w:sz w:val="18"/>
                <w:szCs w:val="18"/>
              </w:rPr>
              <w:t xml:space="preserve">In two-level designs, the internal rule shapes the external result</w:t>
            </w:r>
          </w:p>
        </w:tc>
      </w:tr>
      <w:tr>
        <w:tblPrEx>
          <w:tblCellMar>
            <w:top w:w="0" w:type="dxa"/>
            <w:bottom w:w="0" w:type="dxa"/>
          </w:tblCellMar>
        </w:tblPrEx>
        <w:tc>
          <w:tcPr>
            <w:tcW w:w="1700" w:type="dxa"/>
            <w:tcMar>
              <w:top w:w="60" w:type="dxa"/>
              <w:left w:w="100" w:type="dxa"/>
              <w:bottom w:w="60" w:type="dxa"/>
              <w:right w:w="100" w:type="dxa"/>
            </w:tcMar>
          </w:tcPr>
          <w:p>
            <w:pPr>
              <w:spacing w:after="20"/>
            </w:pPr>
            <w:r>
              <w:rPr>
                <w:sz w:val="18"/>
                <w:szCs w:val="18"/>
              </w:rPr>
              <w:t xml:space="preserve">A6 Output multiplicity</w:t>
            </w:r>
          </w:p>
        </w:tc>
        <w:tc>
          <w:tcPr>
            <w:tcW w:w="4000" w:type="dxa"/>
            <w:tcMar>
              <w:top w:w="60" w:type="dxa"/>
              <w:left w:w="100" w:type="dxa"/>
              <w:bottom w:w="60" w:type="dxa"/>
              <w:right w:w="100" w:type="dxa"/>
            </w:tcMar>
          </w:tcPr>
          <w:p>
            <w:pPr>
              <w:spacing w:after="20"/>
            </w:pPr>
            <w:r>
              <w:rPr>
                <w:sz w:val="18"/>
                <w:szCs w:val="18"/>
              </w:rPr>
              <w:t xml:space="preserve">Single object; set; distribution; lottery; credal set; per-source outputs; explicit non-collapse; abstention</w:t>
            </w:r>
          </w:p>
        </w:tc>
        <w:tc>
          <w:tcPr>
            <w:tcW w:w="3660" w:type="dxa"/>
            <w:tcMar>
              <w:top w:w="60" w:type="dxa"/>
              <w:left w:w="100" w:type="dxa"/>
              <w:bottom w:w="60" w:type="dxa"/>
              <w:right w:w="100" w:type="dxa"/>
            </w:tcMar>
          </w:tcPr>
          <w:p>
            <w:pPr>
              <w:spacing w:after="20"/>
            </w:pPr>
            <w:r>
              <w:rPr>
                <w:sz w:val="18"/>
                <w:szCs w:val="18"/>
              </w:rPr>
              <w:t xml:space="preserve">Separates D1 from D2; records whether collapse is refused or deferred</w:t>
            </w:r>
          </w:p>
        </w:tc>
      </w:tr>
    </w:tbl>
    <w:p>
      <w:pPr>
        <w:spacing w:before="60" w:after="200"/>
      </w:pPr>
      <w:r>
        <w:rPr>
          <w:i/>
          <w:iCs/>
          <w:sz w:val="19"/>
          <w:szCs w:val="19"/>
        </w:rPr>
        <w:t xml:space="preserve">Table 5. Descriptive axes. Inferred values are flagged and inference rates reported.</w:t>
      </w:r>
    </w:p>
    <w:p>
      <w:pPr>
        <w:pStyle w:val="Heading1"/>
      </w:pPr>
      <w:r>
        <w:t xml:space="preserve">6. Eligibility (PICOC)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tblPrEx>
          <w:tblCellMar>
            <w:top w:w="0" w:type="dxa"/>
            <w:bottom w:w="0" w:type="dxa"/>
          </w:tblCellMar>
        </w:tblPrEx>
        <w:trPr>
          <w:tblHeader/>
        </w:trPr>
        <w:tc>
          <w:tcPr>
            <w:tcW w:w="1800" w:type="dxa"/>
            <w:shd w:val="clear" w:color="auto" w:fill="E8EAED"/>
            <w:tcMar>
              <w:top w:w="60" w:type="dxa"/>
              <w:left w:w="100" w:type="dxa"/>
              <w:bottom w:w="60" w:type="dxa"/>
              <w:right w:w="100" w:type="dxa"/>
            </w:tcMar>
          </w:tcPr>
          <w:p>
            <w:pPr>
              <w:spacing w:after="20"/>
            </w:pPr>
            <w:r>
              <w:rPr>
                <w:b/>
                <w:bCs/>
                <w:sz w:val="18"/>
                <w:szCs w:val="18"/>
              </w:rPr>
              <w:t xml:space="preserve">Element</w:t>
            </w:r>
          </w:p>
        </w:tc>
        <w:tc>
          <w:tcPr>
            <w:tcW w:w="7560" w:type="dxa"/>
            <w:shd w:val="clear" w:color="auto" w:fill="E8EAED"/>
            <w:tcMar>
              <w:top w:w="60" w:type="dxa"/>
              <w:left w:w="100" w:type="dxa"/>
              <w:bottom w:w="60" w:type="dxa"/>
              <w:right w:w="100" w:type="dxa"/>
            </w:tcMar>
          </w:tcPr>
          <w:p>
            <w:pPr>
              <w:spacing w:after="20"/>
            </w:pPr>
            <w:r>
              <w:rPr>
                <w:b/>
                <w:bCs/>
                <w:sz w:val="18"/>
                <w:szCs w:val="18"/>
              </w:rPr>
              <w:t xml:space="preserve">Specification</w:t>
            </w:r>
          </w:p>
        </w:tc>
      </w:tr>
      <w:tr>
        <w:tblPrEx>
          <w:tblCellMar>
            <w:top w:w="0" w:type="dxa"/>
            <w:bottom w:w="0" w:type="dxa"/>
          </w:tblCellMar>
        </w:tblPrEx>
        <w:tc>
          <w:tcPr>
            <w:tcW w:w="1800" w:type="dxa"/>
            <w:tcMar>
              <w:top w:w="60" w:type="dxa"/>
              <w:left w:w="100" w:type="dxa"/>
              <w:bottom w:w="60" w:type="dxa"/>
              <w:right w:w="100" w:type="dxa"/>
            </w:tcMar>
          </w:tcPr>
          <w:p>
            <w:pPr>
              <w:spacing w:after="20"/>
            </w:pPr>
            <w:r>
              <w:rPr>
                <w:sz w:val="18"/>
                <w:szCs w:val="18"/>
              </w:rPr>
              <w:t xml:space="preserve">Population</w:t>
            </w:r>
          </w:p>
        </w:tc>
        <w:tc>
          <w:tcPr>
            <w:tcW w:w="7560" w:type="dxa"/>
            <w:tcMar>
              <w:top w:w="60" w:type="dxa"/>
              <w:left w:w="100" w:type="dxa"/>
              <w:bottom w:w="60" w:type="dxa"/>
              <w:right w:w="100" w:type="dxa"/>
            </w:tcMar>
          </w:tcPr>
          <w:p>
            <w:pPr>
              <w:spacing w:after="20"/>
            </w:pPr>
            <w:r>
              <w:rPr>
                <w:sz w:val="18"/>
                <w:szCs w:val="18"/>
              </w:rPr>
              <w:t xml:space="preserve">Two or more sources whose inputs are combined or whose divergence is studied: annotators, raters, voters, stakeholders, experts, forecasters, federated clients, trained models, agents, retrieval sources, negotiating parties.</w:t>
            </w:r>
          </w:p>
        </w:tc>
      </w:tr>
      <w:tr>
        <w:tblPrEx>
          <w:tblCellMar>
            <w:top w:w="0" w:type="dxa"/>
            <w:bottom w:w="0" w:type="dxa"/>
          </w:tblCellMar>
        </w:tblPrEx>
        <w:tc>
          <w:tcPr>
            <w:tcW w:w="1800" w:type="dxa"/>
            <w:tcMar>
              <w:top w:w="60" w:type="dxa"/>
              <w:left w:w="100" w:type="dxa"/>
              <w:bottom w:w="60" w:type="dxa"/>
              <w:right w:w="100" w:type="dxa"/>
            </w:tcMar>
          </w:tcPr>
          <w:p>
            <w:pPr>
              <w:spacing w:after="20"/>
            </w:pPr>
            <w:r>
              <w:rPr>
                <w:sz w:val="18"/>
                <w:szCs w:val="18"/>
              </w:rPr>
              <w:t xml:space="preserve">Intervention</w:t>
            </w:r>
          </w:p>
        </w:tc>
        <w:tc>
          <w:tcPr>
            <w:tcW w:w="7560" w:type="dxa"/>
            <w:tcMar>
              <w:top w:w="60" w:type="dxa"/>
              <w:left w:w="100" w:type="dxa"/>
              <w:bottom w:w="60" w:type="dxa"/>
              <w:right w:w="100" w:type="dxa"/>
            </w:tcMar>
          </w:tcPr>
          <w:p>
            <w:pPr>
              <w:spacing w:after="20"/>
            </w:pPr>
            <w:r>
              <w:rPr>
                <w:sz w:val="18"/>
                <w:szCs w:val="18"/>
              </w:rPr>
              <w:t xml:space="preserve">A procedure that takes plural inputs and produces a collective output, including procedures that decline to collapse: rules, estimators, objectives, architectures, routers, mergers, mediators, and elicitation procedures that determine what the aggregation can produce.</w:t>
            </w:r>
          </w:p>
        </w:tc>
      </w:tr>
      <w:tr>
        <w:tblPrEx>
          <w:tblCellMar>
            <w:top w:w="0" w:type="dxa"/>
            <w:bottom w:w="0" w:type="dxa"/>
          </w:tblCellMar>
        </w:tblPrEx>
        <w:tc>
          <w:tcPr>
            <w:tcW w:w="1800" w:type="dxa"/>
            <w:tcMar>
              <w:top w:w="60" w:type="dxa"/>
              <w:left w:w="100" w:type="dxa"/>
              <w:bottom w:w="60" w:type="dxa"/>
              <w:right w:w="100" w:type="dxa"/>
            </w:tcMar>
          </w:tcPr>
          <w:p>
            <w:pPr>
              <w:spacing w:after="20"/>
            </w:pPr>
            <w:r>
              <w:rPr>
                <w:sz w:val="18"/>
                <w:szCs w:val="18"/>
              </w:rPr>
              <w:t xml:space="preserve">Comparator</w:t>
            </w:r>
          </w:p>
        </w:tc>
        <w:tc>
          <w:tcPr>
            <w:tcW w:w="7560" w:type="dxa"/>
            <w:tcMar>
              <w:top w:w="60" w:type="dxa"/>
              <w:left w:w="100" w:type="dxa"/>
              <w:bottom w:w="60" w:type="dxa"/>
              <w:right w:w="100" w:type="dxa"/>
            </w:tcMar>
          </w:tcPr>
          <w:p>
            <w:pPr>
              <w:spacing w:after="20"/>
            </w:pPr>
            <w:r>
              <w:rPr>
                <w:sz w:val="18"/>
                <w:szCs w:val="18"/>
              </w:rPr>
              <w:t xml:space="preserve">Another procedure, or a normative benchmark: an axiom, a social welfare function, a representation guarantee, a ground truth, a human baseline, or disaggregated reporting.</w:t>
            </w:r>
          </w:p>
        </w:tc>
      </w:tr>
      <w:tr>
        <w:tblPrEx>
          <w:tblCellMar>
            <w:top w:w="0" w:type="dxa"/>
            <w:bottom w:w="0" w:type="dxa"/>
          </w:tblCellMar>
        </w:tblPrEx>
        <w:tc>
          <w:tcPr>
            <w:tcW w:w="1800" w:type="dxa"/>
            <w:tcMar>
              <w:top w:w="60" w:type="dxa"/>
              <w:left w:w="100" w:type="dxa"/>
              <w:bottom w:w="60" w:type="dxa"/>
              <w:right w:w="100" w:type="dxa"/>
            </w:tcMar>
          </w:tcPr>
          <w:p>
            <w:pPr>
              <w:spacing w:after="20"/>
            </w:pPr>
            <w:r>
              <w:rPr>
                <w:sz w:val="18"/>
                <w:szCs w:val="18"/>
              </w:rPr>
              <w:t xml:space="preserve">Outcomes</w:t>
            </w:r>
          </w:p>
        </w:tc>
        <w:tc>
          <w:tcPr>
            <w:tcW w:w="7560" w:type="dxa"/>
            <w:tcMar>
              <w:top w:w="60" w:type="dxa"/>
              <w:left w:w="100" w:type="dxa"/>
              <w:bottom w:w="60" w:type="dxa"/>
              <w:right w:w="100" w:type="dxa"/>
            </w:tcMar>
          </w:tcPr>
          <w:p>
            <w:pPr>
              <w:spacing w:after="20"/>
            </w:pPr>
            <w:r>
              <w:rPr>
                <w:sz w:val="18"/>
                <w:szCs w:val="18"/>
              </w:rPr>
              <w:t xml:space="preserve">Axiom satisfaction; welfare, distortion, or proportionality guarantees; accuracy, calibration, or distributional fidelity; fidelity of disagreement representation; manipulability; privacy guarantees; stability under exit; effects on sources, subgroups, or decision-makers.</w:t>
            </w:r>
          </w:p>
        </w:tc>
      </w:tr>
      <w:tr>
        <w:tblPrEx>
          <w:tblCellMar>
            <w:top w:w="0" w:type="dxa"/>
            <w:bottom w:w="0" w:type="dxa"/>
          </w:tblCellMar>
        </w:tblPrEx>
        <w:tc>
          <w:tcPr>
            <w:tcW w:w="1800" w:type="dxa"/>
            <w:tcMar>
              <w:top w:w="60" w:type="dxa"/>
              <w:left w:w="100" w:type="dxa"/>
              <w:bottom w:w="60" w:type="dxa"/>
              <w:right w:w="100" w:type="dxa"/>
            </w:tcMar>
          </w:tcPr>
          <w:p>
            <w:pPr>
              <w:spacing w:after="20"/>
            </w:pPr>
            <w:r>
              <w:rPr>
                <w:sz w:val="18"/>
                <w:szCs w:val="18"/>
              </w:rPr>
              <w:t xml:space="preserve">Context</w:t>
            </w:r>
          </w:p>
        </w:tc>
        <w:tc>
          <w:tcPr>
            <w:tcW w:w="7560" w:type="dxa"/>
            <w:tcMar>
              <w:top w:w="60" w:type="dxa"/>
              <w:left w:w="100" w:type="dxa"/>
              <w:bottom w:w="60" w:type="dxa"/>
              <w:right w:w="100" w:type="dxa"/>
            </w:tcMar>
          </w:tcPr>
          <w:p>
            <w:pPr>
              <w:spacing w:after="20"/>
            </w:pPr>
            <w:r>
              <w:rPr>
                <w:sz w:val="18"/>
                <w:szCs w:val="18"/>
              </w:rPr>
              <w:t xml:space="preserve">Peer-reviewed work in the selected venues (§8) within the window. Normative work without a technical contribution is included when it analyses what an aggregation procedure does to disagreement.</w:t>
            </w:r>
          </w:p>
        </w:tc>
      </w:tr>
    </w:tbl>
    <w:p>
      <w:pPr>
        <w:spacing w:before="60" w:after="200"/>
      </w:pPr>
      <w:r>
        <w:rPr>
          <w:i/>
          <w:iCs/>
          <w:sz w:val="19"/>
          <w:szCs w:val="19"/>
        </w:rPr>
        <w:t xml:space="preserve">Table 6. PICOC.</w:t>
      </w:r>
    </w:p>
    <w:p>
      <w:pPr>
        <w:pStyle w:val="Heading1"/>
      </w:pPr>
      <w:r>
        <w:t xml:space="preserve">7. Inclusion and exclusion</w:t>
      </w:r>
    </w:p>
    <w:p>
      <w:pPr>
        <w:pStyle w:val="Heading2"/>
      </w:pPr>
      <w:r>
        <w:t xml:space="preserve">7.1 Include if the paper</w:t>
      </w:r>
    </w:p>
    <w:p>
      <w:pPr>
        <w:pStyle w:val="ListParagraph"/>
        <w:numPr>
          <w:ilvl w:val="0"/>
          <w:numId w:val="1"/>
        </w:numPr>
        <w:spacing w:after="70" w:line="276" w:lineRule="auto"/>
      </w:pPr>
      <w:r>
        <w:t xml:space="preserve">defines, analyses, compares, critiques, or deploys a procedure that combines plural inputs, including procedures that keep disagreement;</w:t>
      </w:r>
    </w:p>
    <w:p>
      <w:pPr>
        <w:pStyle w:val="ListParagraph"/>
        <w:numPr>
          <w:ilvl w:val="0"/>
          <w:numId w:val="1"/>
        </w:numPr>
        <w:spacing w:after="70" w:line="276" w:lineRule="auto"/>
      </w:pPr>
      <w:r>
        <w:t xml:space="preserve">proves an impossibility, characterization, or trade-off for a class of such procedures, including results on social welfare functions;</w:t>
      </w:r>
    </w:p>
    <w:p>
      <w:pPr>
        <w:pStyle w:val="ListParagraph"/>
        <w:numPr>
          <w:ilvl w:val="0"/>
          <w:numId w:val="1"/>
        </w:numPr>
        <w:spacing w:after="70" w:line="276" w:lineRule="auto"/>
      </w:pPr>
      <w:r>
        <w:t xml:space="preserve">measures what a procedure does to disagreement, or what representing disagreement does to a later decision;</w:t>
      </w:r>
    </w:p>
    <w:p>
      <w:pPr>
        <w:pStyle w:val="ListParagraph"/>
        <w:numPr>
          <w:ilvl w:val="0"/>
          <w:numId w:val="1"/>
        </w:numPr>
        <w:spacing w:after="70" w:line="276" w:lineRule="auto"/>
      </w:pPr>
      <w:r>
        <w:t xml:space="preserve">analyses, in normative or philosophical terms, the account of disagreement or welfare criterion a procedure implies; or</w:t>
      </w:r>
    </w:p>
    <w:p>
      <w:pPr>
        <w:pStyle w:val="ListParagraph"/>
        <w:numPr>
          <w:ilvl w:val="0"/>
          <w:numId w:val="1"/>
        </w:numPr>
        <w:spacing w:after="70" w:line="276" w:lineRule="auto"/>
      </w:pPr>
      <w:r>
        <w:t xml:space="preserve">specifies an aggregation or proposal step in a negotiation, mediation, or conflict-resolution procedure.</w:t>
      </w:r>
    </w:p>
    <w:p>
      <w:pPr>
        <w:pStyle w:val="Heading2"/>
      </w:pPr>
      <w:r>
        <w:t xml:space="preserve">7.2 Exclude if the paper</w:t>
      </w:r>
    </w:p>
    <w:p>
      <w:pPr>
        <w:pStyle w:val="ListParagraph"/>
        <w:numPr>
          <w:ilvl w:val="0"/>
          <w:numId w:val="1"/>
        </w:numPr>
        <w:spacing w:after="70" w:line="276" w:lineRule="auto"/>
      </w:pPr>
      <w:r>
        <w:t xml:space="preserve">has no aggregation step, or mentions one only in passing;</w:t>
      </w:r>
    </w:p>
    <w:p>
      <w:pPr>
        <w:pStyle w:val="ListParagraph"/>
        <w:numPr>
          <w:ilvl w:val="0"/>
          <w:numId w:val="1"/>
        </w:numPr>
        <w:spacing w:after="70" w:line="276" w:lineRule="auto"/>
      </w:pPr>
      <w:r>
        <w:t xml:space="preserve">pools measurements with no notion of sources holding positions, such as sensor fusion without source models;</w:t>
      </w:r>
    </w:p>
    <w:p>
      <w:pPr>
        <w:pStyle w:val="ListParagraph"/>
        <w:numPr>
          <w:ilvl w:val="0"/>
          <w:numId w:val="1"/>
        </w:numPr>
        <w:spacing w:after="70" w:line="276" w:lineRule="auto"/>
      </w:pPr>
      <w:r>
        <w:t xml:space="preserve">concerns distributed-systems consensus on a single replicated value;</w:t>
      </w:r>
    </w:p>
    <w:p>
      <w:pPr>
        <w:pStyle w:val="ListParagraph"/>
        <w:numPr>
          <w:ilvl w:val="0"/>
          <w:numId w:val="1"/>
        </w:numPr>
        <w:spacing w:after="70" w:line="276" w:lineRule="auto"/>
      </w:pPr>
      <w:r>
        <w:t xml:space="preserve">studies negotiation agents' capability, dialogue, or persuasion with no aggregation or proposal step;</w:t>
      </w:r>
    </w:p>
    <w:p>
      <w:pPr>
        <w:pStyle w:val="ListParagraph"/>
        <w:numPr>
          <w:ilvl w:val="0"/>
          <w:numId w:val="1"/>
        </w:numPr>
        <w:spacing w:after="70" w:line="276" w:lineRule="auto"/>
      </w:pPr>
      <w:r>
        <w:t xml:space="preserve">uses sparse gating inside one model. A gate choosing among independently trained models or agents is included;</w:t>
      </w:r>
    </w:p>
    <w:p>
      <w:pPr>
        <w:pStyle w:val="ListParagraph"/>
        <w:numPr>
          <w:ilvl w:val="0"/>
          <w:numId w:val="1"/>
        </w:numPr>
        <w:spacing w:after="70" w:line="276" w:lineRule="auto"/>
      </w:pPr>
      <w:r>
        <w:t xml:space="preserve">imposes group-fairness constraints on a single model with no aggregation across sources; or</w:t>
      </w:r>
    </w:p>
    <w:p>
      <w:pPr>
        <w:pStyle w:val="ListParagraph"/>
        <w:numPr>
          <w:ilvl w:val="0"/>
          <w:numId w:val="1"/>
        </w:numPr>
        <w:spacing w:after="70" w:line="276" w:lineRule="auto"/>
      </w:pPr>
      <w:r>
        <w:t xml:space="preserve">is a secondary review (used for §2, not coded), a non-archival abstract, a thesis, or a preprint.</w:t>
      </w:r>
    </w:p>
    <w:p>
      <w:pPr>
        <w:pStyle w:val="Heading2"/>
      </w:pPr>
      <w:r>
        <w:t xml:space="preserve">7.3 Borderline rules</w:t>
      </w:r>
    </w:p>
    <w:p>
      <w:pPr>
        <w:pStyle w:val="ListParagraph"/>
        <w:numPr>
          <w:ilvl w:val="0"/>
          <w:numId w:val="1"/>
        </w:numPr>
        <w:spacing w:after="70" w:line="276" w:lineRule="auto"/>
      </w:pPr>
      <w:r>
        <w:t xml:space="preserve">Model merging and weight averaging: include.</w:t>
      </w:r>
    </w:p>
    <w:p>
      <w:pPr>
        <w:pStyle w:val="ListParagraph"/>
        <w:numPr>
          <w:ilvl w:val="0"/>
          <w:numId w:val="1"/>
        </w:numPr>
        <w:spacing w:after="70" w:line="276" w:lineRule="auto"/>
      </w:pPr>
      <w:r>
        <w:t xml:space="preserve">Routing, cascades, and deferral: include; selection is aggregation with weights of zero or one.</w:t>
      </w:r>
    </w:p>
    <w:p>
      <w:pPr>
        <w:pStyle w:val="ListParagraph"/>
        <w:numPr>
          <w:ilvl w:val="0"/>
          <w:numId w:val="1"/>
        </w:numPr>
        <w:spacing w:after="70" w:line="276" w:lineRule="auto"/>
      </w:pPr>
      <w:r>
        <w:t xml:space="preserve">Personalization and mixture-of-reward methods: include; code D1 or D2 by what the deployed output exposes.</w:t>
      </w:r>
    </w:p>
    <w:p>
      <w:pPr>
        <w:pStyle w:val="ListParagraph"/>
        <w:numPr>
          <w:ilvl w:val="0"/>
          <w:numId w:val="1"/>
        </w:numPr>
        <w:spacing w:after="70" w:line="276" w:lineRule="auto"/>
      </w:pPr>
      <w:r>
        <w:t xml:space="preserve">Worst-group, minimax, and group-robust objectives: include when groups are sources whose losses are aggregated; code W with an egalitarian or maximin criterion.</w:t>
      </w:r>
    </w:p>
    <w:p>
      <w:pPr>
        <w:pStyle w:val="Heading1"/>
      </w:pPr>
      <w:r>
        <w:t xml:space="preserve">8. Venue selection and corpus</w:t>
      </w:r>
    </w:p>
    <w:p>
      <w:pPr>
        <w:pStyle w:val="Heading2"/>
      </w:pPr>
      <w:r>
        <w:t xml:space="preserve">8.1 Candidate pool</w:t>
      </w:r>
    </w:p>
    <w:p>
      <w:pPr>
        <w:spacing w:after="120" w:line="276" w:lineRule="auto"/>
      </w:pPr>
      <w:r>
        <w:t xml:space="preserve">22 candidate venues in five strata. Conferences are covered from 2021 to 2026 and journals from 2020 to 2026, each ending at its last complete proceedings or issue; NeurIPS ends at 2025. Most work on learning from disagreement, alignment as preference aggregation, and model merging appeared after 2021, and EAAMO began in 2021. Journals start a year earlier because economics and philosophy papers take longer to publish.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00"/>
        <w:gridCol w:w="3200"/>
        <w:gridCol w:w="1960"/>
      </w:tblGrid>
      <w:tr>
        <w:tblPrEx>
          <w:tblCellMar>
            <w:top w:w="0" w:type="dxa"/>
            <w:bottom w:w="0" w:type="dxa"/>
          </w:tblCellMar>
        </w:tblPrEx>
        <w:trPr>
          <w:tblHeader/>
        </w:trPr>
        <w:tc>
          <w:tcPr>
            <w:tcW w:w="1900" w:type="dxa"/>
            <w:shd w:val="clear" w:color="auto" w:fill="E8EAED"/>
            <w:tcMar>
              <w:top w:w="60" w:type="dxa"/>
              <w:left w:w="100" w:type="dxa"/>
              <w:bottom w:w="60" w:type="dxa"/>
              <w:right w:w="100" w:type="dxa"/>
            </w:tcMar>
          </w:tcPr>
          <w:p>
            <w:pPr>
              <w:spacing w:after="20"/>
            </w:pPr>
            <w:r>
              <w:rPr>
                <w:b/>
                <w:bCs/>
                <w:sz w:val="18"/>
                <w:szCs w:val="18"/>
              </w:rPr>
              <w:t xml:space="preserve">Stratum</w:t>
            </w:r>
          </w:p>
        </w:tc>
        <w:tc>
          <w:tcPr>
            <w:tcW w:w="2300" w:type="dxa"/>
            <w:shd w:val="clear" w:color="auto" w:fill="E8EAED"/>
            <w:tcMar>
              <w:top w:w="60" w:type="dxa"/>
              <w:left w:w="100" w:type="dxa"/>
              <w:bottom w:w="60" w:type="dxa"/>
              <w:right w:w="100" w:type="dxa"/>
            </w:tcMar>
          </w:tcPr>
          <w:p>
            <w:pPr>
              <w:spacing w:after="20"/>
            </w:pPr>
            <w:r>
              <w:rPr>
                <w:b/>
                <w:bCs/>
                <w:sz w:val="18"/>
                <w:szCs w:val="18"/>
              </w:rPr>
              <w:t xml:space="preserve">Venue</w:t>
            </w:r>
          </w:p>
        </w:tc>
        <w:tc>
          <w:tcPr>
            <w:tcW w:w="3200" w:type="dxa"/>
            <w:shd w:val="clear" w:color="auto" w:fill="E8EAED"/>
            <w:tcMar>
              <w:top w:w="60" w:type="dxa"/>
              <w:left w:w="100" w:type="dxa"/>
              <w:bottom w:w="60" w:type="dxa"/>
              <w:right w:w="100" w:type="dxa"/>
            </w:tcMar>
          </w:tcPr>
          <w:p>
            <w:pPr>
              <w:spacing w:after="20"/>
            </w:pPr>
            <w:r>
              <w:rPr>
                <w:b/>
                <w:bCs/>
                <w:sz w:val="18"/>
                <w:szCs w:val="18"/>
              </w:rPr>
              <w:t xml:space="preserve">Abstract source</w:t>
            </w:r>
          </w:p>
        </w:tc>
        <w:tc>
          <w:tcPr>
            <w:tcW w:w="1960" w:type="dxa"/>
            <w:shd w:val="clear" w:color="auto" w:fill="E8EAED"/>
            <w:tcMar>
              <w:top w:w="60" w:type="dxa"/>
              <w:left w:w="100" w:type="dxa"/>
              <w:bottom w:w="60" w:type="dxa"/>
              <w:right w:w="100" w:type="dxa"/>
            </w:tcMar>
          </w:tcPr>
          <w:p>
            <w:pPr>
              <w:spacing w:after="20"/>
            </w:pPr>
            <w:r>
              <w:rPr>
                <w:b/>
                <w:bCs/>
                <w:sz w:val="18"/>
                <w:szCs w:val="18"/>
              </w:rPr>
              <w:t xml:space="preserve">Full text</w:t>
            </w:r>
          </w:p>
        </w:tc>
      </w:tr>
      <w:tr>
        <w:tblPrEx>
          <w:tblCellMar>
            <w:top w:w="0" w:type="dxa"/>
            <w:bottom w:w="0" w:type="dxa"/>
          </w:tblCellMar>
        </w:tblPrEx>
        <w:tc>
          <w:tcPr>
            <w:tcW w:w="1900" w:type="dxa"/>
            <w:tcMar>
              <w:top w:w="60" w:type="dxa"/>
              <w:left w:w="100" w:type="dxa"/>
              <w:bottom w:w="60" w:type="dxa"/>
              <w:right w:w="100" w:type="dxa"/>
            </w:tcMar>
          </w:tcPr>
          <w:p>
            <w:pPr>
              <w:spacing w:after="20"/>
            </w:pPr>
            <w:r>
              <w:rPr>
                <w:sz w:val="18"/>
                <w:szCs w:val="18"/>
              </w:rPr>
              <w:t xml:space="preserve">ML and NLP</w:t>
            </w:r>
          </w:p>
        </w:tc>
        <w:tc>
          <w:tcPr>
            <w:tcW w:w="2300" w:type="dxa"/>
            <w:tcMar>
              <w:top w:w="60" w:type="dxa"/>
              <w:left w:w="100" w:type="dxa"/>
              <w:bottom w:w="60" w:type="dxa"/>
              <w:right w:w="100" w:type="dxa"/>
            </w:tcMar>
          </w:tcPr>
          <w:p>
            <w:pPr>
              <w:spacing w:after="20"/>
            </w:pPr>
            <w:r>
              <w:rPr>
                <w:sz w:val="18"/>
                <w:szCs w:val="18"/>
              </w:rPr>
              <w:t xml:space="preserve">NeurIPS</w:t>
            </w:r>
          </w:p>
        </w:tc>
        <w:tc>
          <w:tcPr>
            <w:tcW w:w="3200" w:type="dxa"/>
            <w:tcMar>
              <w:top w:w="60" w:type="dxa"/>
              <w:left w:w="100" w:type="dxa"/>
              <w:bottom w:w="60" w:type="dxa"/>
              <w:right w:w="100" w:type="dxa"/>
            </w:tcMar>
          </w:tcPr>
          <w:p>
            <w:pPr>
              <w:spacing w:after="20"/>
            </w:pPr>
            <w:r>
              <w:rPr>
                <w:sz w:val="18"/>
                <w:szCs w:val="18"/>
              </w:rPr>
              <w:t xml:space="preserve">OpenReview; NeurIPS proceedings site</w:t>
            </w:r>
          </w:p>
        </w:tc>
        <w:tc>
          <w:tcPr>
            <w:tcW w:w="1960" w:type="dxa"/>
            <w:tcMar>
              <w:top w:w="60" w:type="dxa"/>
              <w:left w:w="100" w:type="dxa"/>
              <w:bottom w:w="60" w:type="dxa"/>
              <w:right w:w="100" w:type="dxa"/>
            </w:tcMar>
          </w:tcPr>
          <w:p>
            <w:pPr>
              <w:spacing w:after="20"/>
            </w:pPr>
            <w:r>
              <w:rPr>
                <w:sz w:val="18"/>
                <w:szCs w:val="18"/>
              </w:rPr>
              <w:t xml:space="preserve">Open</w:t>
            </w:r>
          </w:p>
        </w:tc>
      </w:tr>
      <w:tr>
        <w:tblPrEx>
          <w:tblCellMar>
            <w:top w:w="0" w:type="dxa"/>
            <w:bottom w:w="0" w:type="dxa"/>
          </w:tblCellMar>
        </w:tblPrEx>
        <w:tc>
          <w:tcPr>
            <w:tcW w:w="1900" w:type="dxa"/>
            <w:tcMar>
              <w:top w:w="60" w:type="dxa"/>
              <w:left w:w="100" w:type="dxa"/>
              <w:bottom w:w="60" w:type="dxa"/>
              <w:right w:w="100" w:type="dxa"/>
            </w:tcMar>
          </w:tcPr>
          <w:p>
            <w:pPr>
              <w:spacing w:after="20"/>
            </w:pPr>
            <w:r>
              <w:rPr>
                <w:sz w:val="18"/>
                <w:szCs w:val="18"/>
              </w:rPr>
              <w:t xml:space="preserve">ML and NLP</w:t>
            </w:r>
          </w:p>
        </w:tc>
        <w:tc>
          <w:tcPr>
            <w:tcW w:w="2300" w:type="dxa"/>
            <w:tcMar>
              <w:top w:w="60" w:type="dxa"/>
              <w:left w:w="100" w:type="dxa"/>
              <w:bottom w:w="60" w:type="dxa"/>
              <w:right w:w="100" w:type="dxa"/>
            </w:tcMar>
          </w:tcPr>
          <w:p>
            <w:pPr>
              <w:spacing w:after="20"/>
            </w:pPr>
            <w:r>
              <w:rPr>
                <w:sz w:val="18"/>
                <w:szCs w:val="18"/>
              </w:rPr>
              <w:t xml:space="preserve">ICML</w:t>
            </w:r>
          </w:p>
        </w:tc>
        <w:tc>
          <w:tcPr>
            <w:tcW w:w="3200" w:type="dxa"/>
            <w:tcMar>
              <w:top w:w="60" w:type="dxa"/>
              <w:left w:w="100" w:type="dxa"/>
              <w:bottom w:w="60" w:type="dxa"/>
              <w:right w:w="100" w:type="dxa"/>
            </w:tcMar>
          </w:tcPr>
          <w:p>
            <w:pPr>
              <w:spacing w:after="20"/>
            </w:pPr>
            <w:r>
              <w:rPr>
                <w:sz w:val="18"/>
                <w:szCs w:val="18"/>
              </w:rPr>
              <w:t xml:space="preserve">PMLR; OpenReview</w:t>
            </w:r>
          </w:p>
        </w:tc>
        <w:tc>
          <w:tcPr>
            <w:tcW w:w="1960" w:type="dxa"/>
            <w:tcMar>
              <w:top w:w="60" w:type="dxa"/>
              <w:left w:w="100" w:type="dxa"/>
              <w:bottom w:w="60" w:type="dxa"/>
              <w:right w:w="100" w:type="dxa"/>
            </w:tcMar>
          </w:tcPr>
          <w:p>
            <w:pPr>
              <w:spacing w:after="20"/>
            </w:pPr>
            <w:r>
              <w:rPr>
                <w:sz w:val="18"/>
                <w:szCs w:val="18"/>
              </w:rPr>
              <w:t xml:space="preserve">Open</w:t>
            </w:r>
          </w:p>
        </w:tc>
      </w:tr>
      <w:tr>
        <w:tblPrEx>
          <w:tblCellMar>
            <w:top w:w="0" w:type="dxa"/>
            <w:bottom w:w="0" w:type="dxa"/>
          </w:tblCellMar>
        </w:tblPrEx>
        <w:tc>
          <w:tcPr>
            <w:tcW w:w="1900" w:type="dxa"/>
            <w:tcMar>
              <w:top w:w="60" w:type="dxa"/>
              <w:left w:w="100" w:type="dxa"/>
              <w:bottom w:w="60" w:type="dxa"/>
              <w:right w:w="100" w:type="dxa"/>
            </w:tcMar>
          </w:tcPr>
          <w:p>
            <w:pPr>
              <w:spacing w:after="20"/>
            </w:pPr>
            <w:r>
              <w:rPr>
                <w:sz w:val="18"/>
                <w:szCs w:val="18"/>
              </w:rPr>
              <w:t xml:space="preserve">ML and NLP</w:t>
            </w:r>
          </w:p>
        </w:tc>
        <w:tc>
          <w:tcPr>
            <w:tcW w:w="2300" w:type="dxa"/>
            <w:tcMar>
              <w:top w:w="60" w:type="dxa"/>
              <w:left w:w="100" w:type="dxa"/>
              <w:bottom w:w="60" w:type="dxa"/>
              <w:right w:w="100" w:type="dxa"/>
            </w:tcMar>
          </w:tcPr>
          <w:p>
            <w:pPr>
              <w:spacing w:after="20"/>
            </w:pPr>
            <w:r>
              <w:rPr>
                <w:sz w:val="18"/>
                <w:szCs w:val="18"/>
              </w:rPr>
              <w:t xml:space="preserve">ICLR</w:t>
            </w:r>
          </w:p>
        </w:tc>
        <w:tc>
          <w:tcPr>
            <w:tcW w:w="3200" w:type="dxa"/>
            <w:tcMar>
              <w:top w:w="60" w:type="dxa"/>
              <w:left w:w="100" w:type="dxa"/>
              <w:bottom w:w="60" w:type="dxa"/>
              <w:right w:w="100" w:type="dxa"/>
            </w:tcMar>
          </w:tcPr>
          <w:p>
            <w:pPr>
              <w:spacing w:after="20"/>
            </w:pPr>
            <w:r>
              <w:rPr>
                <w:sz w:val="18"/>
                <w:szCs w:val="18"/>
              </w:rPr>
              <w:t xml:space="preserve">OpenReview</w:t>
            </w:r>
          </w:p>
        </w:tc>
        <w:tc>
          <w:tcPr>
            <w:tcW w:w="1960" w:type="dxa"/>
            <w:tcMar>
              <w:top w:w="60" w:type="dxa"/>
              <w:left w:w="100" w:type="dxa"/>
              <w:bottom w:w="60" w:type="dxa"/>
              <w:right w:w="100" w:type="dxa"/>
            </w:tcMar>
          </w:tcPr>
          <w:p>
            <w:pPr>
              <w:spacing w:after="20"/>
            </w:pPr>
            <w:r>
              <w:rPr>
                <w:sz w:val="18"/>
                <w:szCs w:val="18"/>
              </w:rPr>
              <w:t xml:space="preserve">Open</w:t>
            </w:r>
          </w:p>
        </w:tc>
      </w:tr>
      <w:tr>
        <w:tblPrEx>
          <w:tblCellMar>
            <w:top w:w="0" w:type="dxa"/>
            <w:bottom w:w="0" w:type="dxa"/>
          </w:tblCellMar>
        </w:tblPrEx>
        <w:tc>
          <w:tcPr>
            <w:tcW w:w="1900" w:type="dxa"/>
            <w:tcMar>
              <w:top w:w="60" w:type="dxa"/>
              <w:left w:w="100" w:type="dxa"/>
              <w:bottom w:w="60" w:type="dxa"/>
              <w:right w:w="100" w:type="dxa"/>
            </w:tcMar>
          </w:tcPr>
          <w:p>
            <w:pPr>
              <w:spacing w:after="20"/>
            </w:pPr>
            <w:r>
              <w:rPr>
                <w:sz w:val="18"/>
                <w:szCs w:val="18"/>
              </w:rPr>
              <w:t xml:space="preserve">ML and NLP</w:t>
            </w:r>
          </w:p>
        </w:tc>
        <w:tc>
          <w:tcPr>
            <w:tcW w:w="2300" w:type="dxa"/>
            <w:tcMar>
              <w:top w:w="60" w:type="dxa"/>
              <w:left w:w="100" w:type="dxa"/>
              <w:bottom w:w="60" w:type="dxa"/>
              <w:right w:w="100" w:type="dxa"/>
            </w:tcMar>
          </w:tcPr>
          <w:p>
            <w:pPr>
              <w:spacing w:after="20"/>
            </w:pPr>
            <w:r>
              <w:rPr>
                <w:sz w:val="18"/>
                <w:szCs w:val="18"/>
              </w:rPr>
              <w:t xml:space="preserve">TMLR</w:t>
            </w:r>
          </w:p>
        </w:tc>
        <w:tc>
          <w:tcPr>
            <w:tcW w:w="3200" w:type="dxa"/>
            <w:tcMar>
              <w:top w:w="60" w:type="dxa"/>
              <w:left w:w="100" w:type="dxa"/>
              <w:bottom w:w="60" w:type="dxa"/>
              <w:right w:w="100" w:type="dxa"/>
            </w:tcMar>
          </w:tcPr>
          <w:p>
            <w:pPr>
              <w:spacing w:after="20"/>
            </w:pPr>
            <w:r>
              <w:rPr>
                <w:sz w:val="18"/>
                <w:szCs w:val="18"/>
              </w:rPr>
              <w:t xml:space="preserve">OpenReview</w:t>
            </w:r>
          </w:p>
        </w:tc>
        <w:tc>
          <w:tcPr>
            <w:tcW w:w="1960" w:type="dxa"/>
            <w:tcMar>
              <w:top w:w="60" w:type="dxa"/>
              <w:left w:w="100" w:type="dxa"/>
              <w:bottom w:w="60" w:type="dxa"/>
              <w:right w:w="100" w:type="dxa"/>
            </w:tcMar>
          </w:tcPr>
          <w:p>
            <w:pPr>
              <w:spacing w:after="20"/>
            </w:pPr>
            <w:r>
              <w:rPr>
                <w:sz w:val="18"/>
                <w:szCs w:val="18"/>
              </w:rPr>
              <w:t xml:space="preserve">Open</w:t>
            </w:r>
          </w:p>
        </w:tc>
      </w:tr>
      <w:tr>
        <w:tblPrEx>
          <w:tblCellMar>
            <w:top w:w="0" w:type="dxa"/>
            <w:bottom w:w="0" w:type="dxa"/>
          </w:tblCellMar>
        </w:tblPrEx>
        <w:tc>
          <w:tcPr>
            <w:tcW w:w="1900" w:type="dxa"/>
            <w:tcMar>
              <w:top w:w="60" w:type="dxa"/>
              <w:left w:w="100" w:type="dxa"/>
              <w:bottom w:w="60" w:type="dxa"/>
              <w:right w:w="100" w:type="dxa"/>
            </w:tcMar>
          </w:tcPr>
          <w:p>
            <w:pPr>
              <w:spacing w:after="20"/>
            </w:pPr>
            <w:r>
              <w:rPr>
                <w:sz w:val="18"/>
                <w:szCs w:val="18"/>
              </w:rPr>
              <w:t xml:space="preserve">ML and NLP</w:t>
            </w:r>
          </w:p>
        </w:tc>
        <w:tc>
          <w:tcPr>
            <w:tcW w:w="2300" w:type="dxa"/>
            <w:tcMar>
              <w:top w:w="60" w:type="dxa"/>
              <w:left w:w="100" w:type="dxa"/>
              <w:bottom w:w="60" w:type="dxa"/>
              <w:right w:w="100" w:type="dxa"/>
            </w:tcMar>
          </w:tcPr>
          <w:p>
            <w:pPr>
              <w:spacing w:after="20"/>
            </w:pPr>
            <w:r>
              <w:rPr>
                <w:sz w:val="18"/>
                <w:szCs w:val="18"/>
              </w:rPr>
              <w:t xml:space="preserve">ACL</w:t>
            </w:r>
          </w:p>
        </w:tc>
        <w:tc>
          <w:tcPr>
            <w:tcW w:w="3200" w:type="dxa"/>
            <w:tcMar>
              <w:top w:w="60" w:type="dxa"/>
              <w:left w:w="100" w:type="dxa"/>
              <w:bottom w:w="60" w:type="dxa"/>
              <w:right w:w="100" w:type="dxa"/>
            </w:tcMar>
          </w:tcPr>
          <w:p>
            <w:pPr>
              <w:spacing w:after="20"/>
            </w:pPr>
            <w:r>
              <w:rPr>
                <w:sz w:val="18"/>
                <w:szCs w:val="18"/>
              </w:rPr>
              <w:t xml:space="preserve">ACL Anthology bulk BibTeX</w:t>
            </w:r>
          </w:p>
        </w:tc>
        <w:tc>
          <w:tcPr>
            <w:tcW w:w="1960" w:type="dxa"/>
            <w:tcMar>
              <w:top w:w="60" w:type="dxa"/>
              <w:left w:w="100" w:type="dxa"/>
              <w:bottom w:w="60" w:type="dxa"/>
              <w:right w:w="100" w:type="dxa"/>
            </w:tcMar>
          </w:tcPr>
          <w:p>
            <w:pPr>
              <w:spacing w:after="20"/>
            </w:pPr>
            <w:r>
              <w:rPr>
                <w:sz w:val="18"/>
                <w:szCs w:val="18"/>
              </w:rPr>
              <w:t xml:space="preserve">Open</w:t>
            </w:r>
          </w:p>
        </w:tc>
      </w:tr>
      <w:tr>
        <w:tblPrEx>
          <w:tblCellMar>
            <w:top w:w="0" w:type="dxa"/>
            <w:bottom w:w="0" w:type="dxa"/>
          </w:tblCellMar>
        </w:tblPrEx>
        <w:tc>
          <w:tcPr>
            <w:tcW w:w="1900" w:type="dxa"/>
            <w:tcMar>
              <w:top w:w="60" w:type="dxa"/>
              <w:left w:w="100" w:type="dxa"/>
              <w:bottom w:w="60" w:type="dxa"/>
              <w:right w:w="100" w:type="dxa"/>
            </w:tcMar>
          </w:tcPr>
          <w:p>
            <w:pPr>
              <w:spacing w:after="20"/>
            </w:pPr>
            <w:r>
              <w:rPr>
                <w:sz w:val="18"/>
                <w:szCs w:val="18"/>
              </w:rPr>
              <w:t xml:space="preserve">ML and NLP</w:t>
            </w:r>
          </w:p>
        </w:tc>
        <w:tc>
          <w:tcPr>
            <w:tcW w:w="2300" w:type="dxa"/>
            <w:tcMar>
              <w:top w:w="60" w:type="dxa"/>
              <w:left w:w="100" w:type="dxa"/>
              <w:bottom w:w="60" w:type="dxa"/>
              <w:right w:w="100" w:type="dxa"/>
            </w:tcMar>
          </w:tcPr>
          <w:p>
            <w:pPr>
              <w:spacing w:after="20"/>
            </w:pPr>
            <w:r>
              <w:rPr>
                <w:sz w:val="18"/>
                <w:szCs w:val="18"/>
              </w:rPr>
              <w:t xml:space="preserve">EMNLP</w:t>
            </w:r>
          </w:p>
        </w:tc>
        <w:tc>
          <w:tcPr>
            <w:tcW w:w="3200" w:type="dxa"/>
            <w:tcMar>
              <w:top w:w="60" w:type="dxa"/>
              <w:left w:w="100" w:type="dxa"/>
              <w:bottom w:w="60" w:type="dxa"/>
              <w:right w:w="100" w:type="dxa"/>
            </w:tcMar>
          </w:tcPr>
          <w:p>
            <w:pPr>
              <w:spacing w:after="20"/>
            </w:pPr>
            <w:r>
              <w:rPr>
                <w:sz w:val="18"/>
                <w:szCs w:val="18"/>
              </w:rPr>
              <w:t xml:space="preserve">ACL Anthology bulk BibTeX</w:t>
            </w:r>
          </w:p>
        </w:tc>
        <w:tc>
          <w:tcPr>
            <w:tcW w:w="1960" w:type="dxa"/>
            <w:tcMar>
              <w:top w:w="60" w:type="dxa"/>
              <w:left w:w="100" w:type="dxa"/>
              <w:bottom w:w="60" w:type="dxa"/>
              <w:right w:w="100" w:type="dxa"/>
            </w:tcMar>
          </w:tcPr>
          <w:p>
            <w:pPr>
              <w:spacing w:after="20"/>
            </w:pPr>
            <w:r>
              <w:rPr>
                <w:sz w:val="18"/>
                <w:szCs w:val="18"/>
              </w:rPr>
              <w:t xml:space="preserve">Open</w:t>
            </w:r>
          </w:p>
        </w:tc>
      </w:tr>
      <w:tr>
        <w:tblPrEx>
          <w:tblCellMar>
            <w:top w:w="0" w:type="dxa"/>
            <w:bottom w:w="0" w:type="dxa"/>
          </w:tblCellMar>
        </w:tblPrEx>
        <w:tc>
          <w:tcPr>
            <w:tcW w:w="1900" w:type="dxa"/>
            <w:tcMar>
              <w:top w:w="60" w:type="dxa"/>
              <w:left w:w="100" w:type="dxa"/>
              <w:bottom w:w="60" w:type="dxa"/>
              <w:right w:w="100" w:type="dxa"/>
            </w:tcMar>
          </w:tcPr>
          <w:p>
            <w:pPr>
              <w:spacing w:after="20"/>
            </w:pPr>
            <w:r>
              <w:rPr>
                <w:sz w:val="18"/>
                <w:szCs w:val="18"/>
              </w:rPr>
              <w:t xml:space="preserve">AI and multiagent</w:t>
            </w:r>
          </w:p>
        </w:tc>
        <w:tc>
          <w:tcPr>
            <w:tcW w:w="2300" w:type="dxa"/>
            <w:tcMar>
              <w:top w:w="60" w:type="dxa"/>
              <w:left w:w="100" w:type="dxa"/>
              <w:bottom w:w="60" w:type="dxa"/>
              <w:right w:w="100" w:type="dxa"/>
            </w:tcMar>
          </w:tcPr>
          <w:p>
            <w:pPr>
              <w:spacing w:after="20"/>
            </w:pPr>
            <w:r>
              <w:rPr>
                <w:sz w:val="18"/>
                <w:szCs w:val="18"/>
              </w:rPr>
              <w:t xml:space="preserve">AAAI</w:t>
            </w:r>
          </w:p>
        </w:tc>
        <w:tc>
          <w:tcPr>
            <w:tcW w:w="3200" w:type="dxa"/>
            <w:tcMar>
              <w:top w:w="60" w:type="dxa"/>
              <w:left w:w="100" w:type="dxa"/>
              <w:bottom w:w="60" w:type="dxa"/>
              <w:right w:w="100" w:type="dxa"/>
            </w:tcMar>
          </w:tcPr>
          <w:p>
            <w:pPr>
              <w:spacing w:after="20"/>
            </w:pPr>
            <w:r>
              <w:rPr>
                <w:sz w:val="18"/>
                <w:szCs w:val="18"/>
              </w:rPr>
              <w:t xml:space="preserve">AAAI OJS</w:t>
            </w:r>
          </w:p>
        </w:tc>
        <w:tc>
          <w:tcPr>
            <w:tcW w:w="1960" w:type="dxa"/>
            <w:tcMar>
              <w:top w:w="60" w:type="dxa"/>
              <w:left w:w="100" w:type="dxa"/>
              <w:bottom w:w="60" w:type="dxa"/>
              <w:right w:w="100" w:type="dxa"/>
            </w:tcMar>
          </w:tcPr>
          <w:p>
            <w:pPr>
              <w:spacing w:after="20"/>
            </w:pPr>
            <w:r>
              <w:rPr>
                <w:sz w:val="18"/>
                <w:szCs w:val="18"/>
              </w:rPr>
              <w:t xml:space="preserve">Open</w:t>
            </w:r>
          </w:p>
        </w:tc>
      </w:tr>
      <w:tr>
        <w:tblPrEx>
          <w:tblCellMar>
            <w:top w:w="0" w:type="dxa"/>
            <w:bottom w:w="0" w:type="dxa"/>
          </w:tblCellMar>
        </w:tblPrEx>
        <w:tc>
          <w:tcPr>
            <w:tcW w:w="1900" w:type="dxa"/>
            <w:tcMar>
              <w:top w:w="60" w:type="dxa"/>
              <w:left w:w="100" w:type="dxa"/>
              <w:bottom w:w="60" w:type="dxa"/>
              <w:right w:w="100" w:type="dxa"/>
            </w:tcMar>
          </w:tcPr>
          <w:p>
            <w:pPr>
              <w:spacing w:after="20"/>
            </w:pPr>
            <w:r>
              <w:rPr>
                <w:sz w:val="18"/>
                <w:szCs w:val="18"/>
              </w:rPr>
              <w:t xml:space="preserve">AI and multiagent</w:t>
            </w:r>
          </w:p>
        </w:tc>
        <w:tc>
          <w:tcPr>
            <w:tcW w:w="2300" w:type="dxa"/>
            <w:tcMar>
              <w:top w:w="60" w:type="dxa"/>
              <w:left w:w="100" w:type="dxa"/>
              <w:bottom w:w="60" w:type="dxa"/>
              <w:right w:w="100" w:type="dxa"/>
            </w:tcMar>
          </w:tcPr>
          <w:p>
            <w:pPr>
              <w:spacing w:after="20"/>
            </w:pPr>
            <w:r>
              <w:rPr>
                <w:sz w:val="18"/>
                <w:szCs w:val="18"/>
              </w:rPr>
              <w:t xml:space="preserve">IJCAI</w:t>
            </w:r>
          </w:p>
        </w:tc>
        <w:tc>
          <w:tcPr>
            <w:tcW w:w="3200" w:type="dxa"/>
            <w:tcMar>
              <w:top w:w="60" w:type="dxa"/>
              <w:left w:w="100" w:type="dxa"/>
              <w:bottom w:w="60" w:type="dxa"/>
              <w:right w:w="100" w:type="dxa"/>
            </w:tcMar>
          </w:tcPr>
          <w:p>
            <w:pPr>
              <w:spacing w:after="20"/>
            </w:pPr>
            <w:r>
              <w:rPr>
                <w:sz w:val="18"/>
                <w:szCs w:val="18"/>
              </w:rPr>
              <w:t xml:space="preserve">IJCAI proceedings pages</w:t>
            </w:r>
          </w:p>
        </w:tc>
        <w:tc>
          <w:tcPr>
            <w:tcW w:w="1960" w:type="dxa"/>
            <w:tcMar>
              <w:top w:w="60" w:type="dxa"/>
              <w:left w:w="100" w:type="dxa"/>
              <w:bottom w:w="60" w:type="dxa"/>
              <w:right w:w="100" w:type="dxa"/>
            </w:tcMar>
          </w:tcPr>
          <w:p>
            <w:pPr>
              <w:spacing w:after="20"/>
            </w:pPr>
            <w:r>
              <w:rPr>
                <w:sz w:val="18"/>
                <w:szCs w:val="18"/>
              </w:rPr>
              <w:t xml:space="preserve">Open</w:t>
            </w:r>
          </w:p>
        </w:tc>
      </w:tr>
      <w:tr>
        <w:tblPrEx>
          <w:tblCellMar>
            <w:top w:w="0" w:type="dxa"/>
            <w:bottom w:w="0" w:type="dxa"/>
          </w:tblCellMar>
        </w:tblPrEx>
        <w:tc>
          <w:tcPr>
            <w:tcW w:w="1900" w:type="dxa"/>
            <w:tcMar>
              <w:top w:w="60" w:type="dxa"/>
              <w:left w:w="100" w:type="dxa"/>
              <w:bottom w:w="60" w:type="dxa"/>
              <w:right w:w="100" w:type="dxa"/>
            </w:tcMar>
          </w:tcPr>
          <w:p>
            <w:pPr>
              <w:spacing w:after="20"/>
            </w:pPr>
            <w:r>
              <w:rPr>
                <w:sz w:val="18"/>
                <w:szCs w:val="18"/>
              </w:rPr>
              <w:t xml:space="preserve">AI and multiagent</w:t>
            </w:r>
          </w:p>
        </w:tc>
        <w:tc>
          <w:tcPr>
            <w:tcW w:w="2300" w:type="dxa"/>
            <w:tcMar>
              <w:top w:w="60" w:type="dxa"/>
              <w:left w:w="100" w:type="dxa"/>
              <w:bottom w:w="60" w:type="dxa"/>
              <w:right w:w="100" w:type="dxa"/>
            </w:tcMar>
          </w:tcPr>
          <w:p>
            <w:pPr>
              <w:spacing w:after="20"/>
            </w:pPr>
            <w:r>
              <w:rPr>
                <w:sz w:val="18"/>
                <w:szCs w:val="18"/>
              </w:rPr>
              <w:t xml:space="preserve">AAMAS</w:t>
            </w:r>
          </w:p>
        </w:tc>
        <w:tc>
          <w:tcPr>
            <w:tcW w:w="3200" w:type="dxa"/>
            <w:tcMar>
              <w:top w:w="60" w:type="dxa"/>
              <w:left w:w="100" w:type="dxa"/>
              <w:bottom w:w="60" w:type="dxa"/>
              <w:right w:w="100" w:type="dxa"/>
            </w:tcMar>
          </w:tcPr>
          <w:p>
            <w:pPr>
              <w:spacing w:after="20"/>
            </w:pPr>
            <w:r>
              <w:rPr>
                <w:sz w:val="18"/>
                <w:szCs w:val="18"/>
              </w:rPr>
              <w:t xml:space="preserve">IFAAMAS proceedings; ACM DL</w:t>
            </w:r>
          </w:p>
        </w:tc>
        <w:tc>
          <w:tcPr>
            <w:tcW w:w="1960" w:type="dxa"/>
            <w:tcMar>
              <w:top w:w="60" w:type="dxa"/>
              <w:left w:w="100" w:type="dxa"/>
              <w:bottom w:w="60" w:type="dxa"/>
              <w:right w:w="100" w:type="dxa"/>
            </w:tcMar>
          </w:tcPr>
          <w:p>
            <w:pPr>
              <w:spacing w:after="20"/>
            </w:pPr>
            <w:r>
              <w:rPr>
                <w:sz w:val="18"/>
                <w:szCs w:val="18"/>
              </w:rPr>
              <w:t xml:space="preserve">Open</w:t>
            </w:r>
          </w:p>
        </w:tc>
      </w:tr>
      <w:tr>
        <w:tblPrEx>
          <w:tblCellMar>
            <w:top w:w="0" w:type="dxa"/>
            <w:bottom w:w="0" w:type="dxa"/>
          </w:tblCellMar>
        </w:tblPrEx>
        <w:tc>
          <w:tcPr>
            <w:tcW w:w="1900" w:type="dxa"/>
            <w:tcMar>
              <w:top w:w="60" w:type="dxa"/>
              <w:left w:w="100" w:type="dxa"/>
              <w:bottom w:w="60" w:type="dxa"/>
              <w:right w:w="100" w:type="dxa"/>
            </w:tcMar>
          </w:tcPr>
          <w:p>
            <w:pPr>
              <w:spacing w:after="20"/>
            </w:pPr>
            <w:r>
              <w:rPr>
                <w:sz w:val="18"/>
                <w:szCs w:val="18"/>
              </w:rPr>
              <w:t xml:space="preserve">AI and multiagent</w:t>
            </w:r>
          </w:p>
        </w:tc>
        <w:tc>
          <w:tcPr>
            <w:tcW w:w="2300" w:type="dxa"/>
            <w:tcMar>
              <w:top w:w="60" w:type="dxa"/>
              <w:left w:w="100" w:type="dxa"/>
              <w:bottom w:w="60" w:type="dxa"/>
              <w:right w:w="100" w:type="dxa"/>
            </w:tcMar>
          </w:tcPr>
          <w:p>
            <w:pPr>
              <w:spacing w:after="20"/>
            </w:pPr>
            <w:r>
              <w:rPr>
                <w:sz w:val="18"/>
                <w:szCs w:val="18"/>
              </w:rPr>
              <w:t xml:space="preserve">JAIR</w:t>
            </w:r>
          </w:p>
        </w:tc>
        <w:tc>
          <w:tcPr>
            <w:tcW w:w="3200" w:type="dxa"/>
            <w:tcMar>
              <w:top w:w="60" w:type="dxa"/>
              <w:left w:w="100" w:type="dxa"/>
              <w:bottom w:w="60" w:type="dxa"/>
              <w:right w:w="100" w:type="dxa"/>
            </w:tcMar>
          </w:tcPr>
          <w:p>
            <w:pPr>
              <w:spacing w:after="20"/>
            </w:pPr>
            <w:r>
              <w:rPr>
                <w:sz w:val="18"/>
                <w:szCs w:val="18"/>
              </w:rPr>
              <w:t xml:space="preserve">JAIR site</w:t>
            </w:r>
          </w:p>
        </w:tc>
        <w:tc>
          <w:tcPr>
            <w:tcW w:w="1960" w:type="dxa"/>
            <w:tcMar>
              <w:top w:w="60" w:type="dxa"/>
              <w:left w:w="100" w:type="dxa"/>
              <w:bottom w:w="60" w:type="dxa"/>
              <w:right w:w="100" w:type="dxa"/>
            </w:tcMar>
          </w:tcPr>
          <w:p>
            <w:pPr>
              <w:spacing w:after="20"/>
            </w:pPr>
            <w:r>
              <w:rPr>
                <w:sz w:val="18"/>
                <w:szCs w:val="18"/>
              </w:rPr>
              <w:t xml:space="preserve">Open</w:t>
            </w:r>
          </w:p>
        </w:tc>
      </w:tr>
      <w:tr>
        <w:tblPrEx>
          <w:tblCellMar>
            <w:top w:w="0" w:type="dxa"/>
            <w:bottom w:w="0" w:type="dxa"/>
          </w:tblCellMar>
        </w:tblPrEx>
        <w:tc>
          <w:tcPr>
            <w:tcW w:w="1900" w:type="dxa"/>
            <w:tcMar>
              <w:top w:w="60" w:type="dxa"/>
              <w:left w:w="100" w:type="dxa"/>
              <w:bottom w:w="60" w:type="dxa"/>
              <w:right w:w="100" w:type="dxa"/>
            </w:tcMar>
          </w:tcPr>
          <w:p>
            <w:pPr>
              <w:spacing w:after="20"/>
            </w:pPr>
            <w:r>
              <w:rPr>
                <w:sz w:val="18"/>
                <w:szCs w:val="18"/>
              </w:rPr>
              <w:t xml:space="preserve">FAccT-adjacent</w:t>
            </w:r>
          </w:p>
        </w:tc>
        <w:tc>
          <w:tcPr>
            <w:tcW w:w="2300" w:type="dxa"/>
            <w:tcMar>
              <w:top w:w="60" w:type="dxa"/>
              <w:left w:w="100" w:type="dxa"/>
              <w:bottom w:w="60" w:type="dxa"/>
              <w:right w:w="100" w:type="dxa"/>
            </w:tcMar>
          </w:tcPr>
          <w:p>
            <w:pPr>
              <w:spacing w:after="20"/>
            </w:pPr>
            <w:r>
              <w:rPr>
                <w:sz w:val="18"/>
                <w:szCs w:val="18"/>
              </w:rPr>
              <w:t xml:space="preserve">FAccT</w:t>
            </w:r>
          </w:p>
        </w:tc>
        <w:tc>
          <w:tcPr>
            <w:tcW w:w="3200" w:type="dxa"/>
            <w:tcMar>
              <w:top w:w="60" w:type="dxa"/>
              <w:left w:w="100" w:type="dxa"/>
              <w:bottom w:w="60" w:type="dxa"/>
              <w:right w:w="100" w:type="dxa"/>
            </w:tcMar>
          </w:tcPr>
          <w:p>
            <w:pPr>
              <w:spacing w:after="20"/>
            </w:pPr>
            <w:r>
              <w:rPr>
                <w:sz w:val="18"/>
                <w:szCs w:val="18"/>
              </w:rPr>
              <w:t xml:space="preserve">ACM DL</w:t>
            </w:r>
          </w:p>
        </w:tc>
        <w:tc>
          <w:tcPr>
            <w:tcW w:w="1960" w:type="dxa"/>
            <w:tcMar>
              <w:top w:w="60" w:type="dxa"/>
              <w:left w:w="100" w:type="dxa"/>
              <w:bottom w:w="60" w:type="dxa"/>
              <w:right w:w="100" w:type="dxa"/>
            </w:tcMar>
          </w:tcPr>
          <w:p>
            <w:pPr>
              <w:spacing w:after="20"/>
            </w:pPr>
            <w:r>
              <w:rPr>
                <w:sz w:val="18"/>
                <w:szCs w:val="18"/>
              </w:rPr>
              <w:t xml:space="preserve">Open</w:t>
            </w:r>
          </w:p>
        </w:tc>
      </w:tr>
      <w:tr>
        <w:tblPrEx>
          <w:tblCellMar>
            <w:top w:w="0" w:type="dxa"/>
            <w:bottom w:w="0" w:type="dxa"/>
          </w:tblCellMar>
        </w:tblPrEx>
        <w:tc>
          <w:tcPr>
            <w:tcW w:w="1900" w:type="dxa"/>
            <w:tcMar>
              <w:top w:w="60" w:type="dxa"/>
              <w:left w:w="100" w:type="dxa"/>
              <w:bottom w:w="60" w:type="dxa"/>
              <w:right w:w="100" w:type="dxa"/>
            </w:tcMar>
          </w:tcPr>
          <w:p>
            <w:pPr>
              <w:spacing w:after="20"/>
            </w:pPr>
            <w:r>
              <w:rPr>
                <w:sz w:val="18"/>
                <w:szCs w:val="18"/>
              </w:rPr>
              <w:t xml:space="preserve">FAccT-adjacent</w:t>
            </w:r>
          </w:p>
        </w:tc>
        <w:tc>
          <w:tcPr>
            <w:tcW w:w="2300" w:type="dxa"/>
            <w:tcMar>
              <w:top w:w="60" w:type="dxa"/>
              <w:left w:w="100" w:type="dxa"/>
              <w:bottom w:w="60" w:type="dxa"/>
              <w:right w:w="100" w:type="dxa"/>
            </w:tcMar>
          </w:tcPr>
          <w:p>
            <w:pPr>
              <w:spacing w:after="20"/>
            </w:pPr>
            <w:r>
              <w:rPr>
                <w:sz w:val="18"/>
                <w:szCs w:val="18"/>
              </w:rPr>
              <w:t xml:space="preserve">AIES</w:t>
            </w:r>
          </w:p>
        </w:tc>
        <w:tc>
          <w:tcPr>
            <w:tcW w:w="3200" w:type="dxa"/>
            <w:tcMar>
              <w:top w:w="60" w:type="dxa"/>
              <w:left w:w="100" w:type="dxa"/>
              <w:bottom w:w="60" w:type="dxa"/>
              <w:right w:w="100" w:type="dxa"/>
            </w:tcMar>
          </w:tcPr>
          <w:p>
            <w:pPr>
              <w:spacing w:after="20"/>
            </w:pPr>
            <w:r>
              <w:rPr>
                <w:sz w:val="18"/>
                <w:szCs w:val="18"/>
              </w:rPr>
              <w:t xml:space="preserve">ACM DL to 2023; AAAI OJS from 2024</w:t>
            </w:r>
          </w:p>
        </w:tc>
        <w:tc>
          <w:tcPr>
            <w:tcW w:w="1960" w:type="dxa"/>
            <w:tcMar>
              <w:top w:w="60" w:type="dxa"/>
              <w:left w:w="100" w:type="dxa"/>
              <w:bottom w:w="60" w:type="dxa"/>
              <w:right w:w="100" w:type="dxa"/>
            </w:tcMar>
          </w:tcPr>
          <w:p>
            <w:pPr>
              <w:spacing w:after="20"/>
            </w:pPr>
            <w:r>
              <w:rPr>
                <w:sz w:val="18"/>
                <w:szCs w:val="18"/>
              </w:rPr>
              <w:t xml:space="preserve">Open</w:t>
            </w:r>
          </w:p>
        </w:tc>
      </w:tr>
      <w:tr>
        <w:tblPrEx>
          <w:tblCellMar>
            <w:top w:w="0" w:type="dxa"/>
            <w:bottom w:w="0" w:type="dxa"/>
          </w:tblCellMar>
        </w:tblPrEx>
        <w:tc>
          <w:tcPr>
            <w:tcW w:w="1900" w:type="dxa"/>
            <w:tcMar>
              <w:top w:w="60" w:type="dxa"/>
              <w:left w:w="100" w:type="dxa"/>
              <w:bottom w:w="60" w:type="dxa"/>
              <w:right w:w="100" w:type="dxa"/>
            </w:tcMar>
          </w:tcPr>
          <w:p>
            <w:pPr>
              <w:spacing w:after="20"/>
            </w:pPr>
            <w:r>
              <w:rPr>
                <w:sz w:val="18"/>
                <w:szCs w:val="18"/>
              </w:rPr>
              <w:t xml:space="preserve">FAccT-adjacent</w:t>
            </w:r>
          </w:p>
        </w:tc>
        <w:tc>
          <w:tcPr>
            <w:tcW w:w="2300" w:type="dxa"/>
            <w:tcMar>
              <w:top w:w="60" w:type="dxa"/>
              <w:left w:w="100" w:type="dxa"/>
              <w:bottom w:w="60" w:type="dxa"/>
              <w:right w:w="100" w:type="dxa"/>
            </w:tcMar>
          </w:tcPr>
          <w:p>
            <w:pPr>
              <w:spacing w:after="20"/>
            </w:pPr>
            <w:r>
              <w:rPr>
                <w:sz w:val="18"/>
                <w:szCs w:val="18"/>
              </w:rPr>
              <w:t xml:space="preserve">EAAMO</w:t>
            </w:r>
          </w:p>
        </w:tc>
        <w:tc>
          <w:tcPr>
            <w:tcW w:w="3200" w:type="dxa"/>
            <w:tcMar>
              <w:top w:w="60" w:type="dxa"/>
              <w:left w:w="100" w:type="dxa"/>
              <w:bottom w:w="60" w:type="dxa"/>
              <w:right w:w="100" w:type="dxa"/>
            </w:tcMar>
          </w:tcPr>
          <w:p>
            <w:pPr>
              <w:spacing w:after="20"/>
            </w:pPr>
            <w:r>
              <w:rPr>
                <w:sz w:val="18"/>
                <w:szCs w:val="18"/>
              </w:rPr>
              <w:t xml:space="preserve">ACM DL</w:t>
            </w:r>
          </w:p>
        </w:tc>
        <w:tc>
          <w:tcPr>
            <w:tcW w:w="1960" w:type="dxa"/>
            <w:tcMar>
              <w:top w:w="60" w:type="dxa"/>
              <w:left w:w="100" w:type="dxa"/>
              <w:bottom w:w="60" w:type="dxa"/>
              <w:right w:w="100" w:type="dxa"/>
            </w:tcMar>
          </w:tcPr>
          <w:p>
            <w:pPr>
              <w:spacing w:after="20"/>
            </w:pPr>
            <w:r>
              <w:rPr>
                <w:sz w:val="18"/>
                <w:szCs w:val="18"/>
              </w:rPr>
              <w:t xml:space="preserve">Open</w:t>
            </w:r>
          </w:p>
        </w:tc>
      </w:tr>
      <w:tr>
        <w:tblPrEx>
          <w:tblCellMar>
            <w:top w:w="0" w:type="dxa"/>
            <w:bottom w:w="0" w:type="dxa"/>
          </w:tblCellMar>
        </w:tblPrEx>
        <w:tc>
          <w:tcPr>
            <w:tcW w:w="1900" w:type="dxa"/>
            <w:tcMar>
              <w:top w:w="60" w:type="dxa"/>
              <w:left w:w="100" w:type="dxa"/>
              <w:bottom w:w="60" w:type="dxa"/>
              <w:right w:w="100" w:type="dxa"/>
            </w:tcMar>
          </w:tcPr>
          <w:p>
            <w:pPr>
              <w:spacing w:after="20"/>
            </w:pPr>
            <w:r>
              <w:rPr>
                <w:sz w:val="18"/>
                <w:szCs w:val="18"/>
              </w:rPr>
              <w:t xml:space="preserve">Social choice and economics</w:t>
            </w:r>
          </w:p>
        </w:tc>
        <w:tc>
          <w:tcPr>
            <w:tcW w:w="2300" w:type="dxa"/>
            <w:tcMar>
              <w:top w:w="60" w:type="dxa"/>
              <w:left w:w="100" w:type="dxa"/>
              <w:bottom w:w="60" w:type="dxa"/>
              <w:right w:w="100" w:type="dxa"/>
            </w:tcMar>
          </w:tcPr>
          <w:p>
            <w:pPr>
              <w:spacing w:after="20"/>
            </w:pPr>
            <w:r>
              <w:rPr>
                <w:sz w:val="18"/>
                <w:szCs w:val="18"/>
              </w:rPr>
              <w:t xml:space="preserve">ACM EC</w:t>
            </w:r>
          </w:p>
        </w:tc>
        <w:tc>
          <w:tcPr>
            <w:tcW w:w="3200" w:type="dxa"/>
            <w:tcMar>
              <w:top w:w="60" w:type="dxa"/>
              <w:left w:w="100" w:type="dxa"/>
              <w:bottom w:w="60" w:type="dxa"/>
              <w:right w:w="100" w:type="dxa"/>
            </w:tcMar>
          </w:tcPr>
          <w:p>
            <w:pPr>
              <w:spacing w:after="20"/>
            </w:pPr>
            <w:r>
              <w:rPr>
                <w:sz w:val="18"/>
                <w:szCs w:val="18"/>
              </w:rPr>
              <w:t xml:space="preserve">ACM DL</w:t>
            </w:r>
          </w:p>
        </w:tc>
        <w:tc>
          <w:tcPr>
            <w:tcW w:w="1960" w:type="dxa"/>
            <w:tcMar>
              <w:top w:w="60" w:type="dxa"/>
              <w:left w:w="100" w:type="dxa"/>
              <w:bottom w:w="60" w:type="dxa"/>
              <w:right w:w="100" w:type="dxa"/>
            </w:tcMar>
          </w:tcPr>
          <w:p>
            <w:pPr>
              <w:spacing w:after="20"/>
            </w:pPr>
            <w:r>
              <w:rPr>
                <w:sz w:val="18"/>
                <w:szCs w:val="18"/>
              </w:rPr>
              <w:t xml:space="preserve">Open; some papers abstract-only</w:t>
            </w:r>
          </w:p>
        </w:tc>
      </w:tr>
      <w:tr>
        <w:tblPrEx>
          <w:tblCellMar>
            <w:top w:w="0" w:type="dxa"/>
            <w:bottom w:w="0" w:type="dxa"/>
          </w:tblCellMar>
        </w:tblPrEx>
        <w:tc>
          <w:tcPr>
            <w:tcW w:w="1900" w:type="dxa"/>
            <w:tcMar>
              <w:top w:w="60" w:type="dxa"/>
              <w:left w:w="100" w:type="dxa"/>
              <w:bottom w:w="60" w:type="dxa"/>
              <w:right w:w="100" w:type="dxa"/>
            </w:tcMar>
          </w:tcPr>
          <w:p>
            <w:pPr>
              <w:spacing w:after="20"/>
            </w:pPr>
            <w:r>
              <w:rPr>
                <w:sz w:val="18"/>
                <w:szCs w:val="18"/>
              </w:rPr>
              <w:t xml:space="preserve">Social choice and economics</w:t>
            </w:r>
          </w:p>
        </w:tc>
        <w:tc>
          <w:tcPr>
            <w:tcW w:w="2300" w:type="dxa"/>
            <w:tcMar>
              <w:top w:w="60" w:type="dxa"/>
              <w:left w:w="100" w:type="dxa"/>
              <w:bottom w:w="60" w:type="dxa"/>
              <w:right w:w="100" w:type="dxa"/>
            </w:tcMar>
          </w:tcPr>
          <w:p>
            <w:pPr>
              <w:spacing w:after="20"/>
            </w:pPr>
            <w:r>
              <w:rPr>
                <w:sz w:val="18"/>
                <w:szCs w:val="18"/>
              </w:rPr>
              <w:t xml:space="preserve">Social Choice and Welfare</w:t>
            </w:r>
          </w:p>
        </w:tc>
        <w:tc>
          <w:tcPr>
            <w:tcW w:w="3200" w:type="dxa"/>
            <w:tcMar>
              <w:top w:w="60" w:type="dxa"/>
              <w:left w:w="100" w:type="dxa"/>
              <w:bottom w:w="60" w:type="dxa"/>
              <w:right w:w="100" w:type="dxa"/>
            </w:tcMar>
          </w:tcPr>
          <w:p>
            <w:pPr>
              <w:spacing w:after="20"/>
            </w:pPr>
            <w:r>
              <w:rPr>
                <w:sz w:val="18"/>
                <w:szCs w:val="18"/>
              </w:rPr>
              <w:t xml:space="preserve">SpringerLink or Springer Nature API</w:t>
            </w:r>
          </w:p>
        </w:tc>
        <w:tc>
          <w:tcPr>
            <w:tcW w:w="1960" w:type="dxa"/>
            <w:tcMar>
              <w:top w:w="60" w:type="dxa"/>
              <w:left w:w="100" w:type="dxa"/>
              <w:bottom w:w="60" w:type="dxa"/>
              <w:right w:w="100" w:type="dxa"/>
            </w:tcMar>
          </w:tcPr>
          <w:p>
            <w:pPr>
              <w:spacing w:after="20"/>
            </w:pPr>
            <w:r>
              <w:rPr>
                <w:sz w:val="18"/>
                <w:szCs w:val="18"/>
              </w:rPr>
              <w:t xml:space="preserve">Subscription</w:t>
            </w:r>
          </w:p>
        </w:tc>
      </w:tr>
      <w:tr>
        <w:tblPrEx>
          <w:tblCellMar>
            <w:top w:w="0" w:type="dxa"/>
            <w:bottom w:w="0" w:type="dxa"/>
          </w:tblCellMar>
        </w:tblPrEx>
        <w:tc>
          <w:tcPr>
            <w:tcW w:w="1900" w:type="dxa"/>
            <w:tcMar>
              <w:top w:w="60" w:type="dxa"/>
              <w:left w:w="100" w:type="dxa"/>
              <w:bottom w:w="60" w:type="dxa"/>
              <w:right w:w="100" w:type="dxa"/>
            </w:tcMar>
          </w:tcPr>
          <w:p>
            <w:pPr>
              <w:spacing w:after="20"/>
            </w:pPr>
            <w:r>
              <w:rPr>
                <w:sz w:val="18"/>
                <w:szCs w:val="18"/>
              </w:rPr>
              <w:t xml:space="preserve">Social choice and economics</w:t>
            </w:r>
          </w:p>
        </w:tc>
        <w:tc>
          <w:tcPr>
            <w:tcW w:w="2300" w:type="dxa"/>
            <w:tcMar>
              <w:top w:w="60" w:type="dxa"/>
              <w:left w:w="100" w:type="dxa"/>
              <w:bottom w:w="60" w:type="dxa"/>
              <w:right w:w="100" w:type="dxa"/>
            </w:tcMar>
          </w:tcPr>
          <w:p>
            <w:pPr>
              <w:spacing w:after="20"/>
            </w:pPr>
            <w:r>
              <w:rPr>
                <w:sz w:val="18"/>
                <w:szCs w:val="18"/>
              </w:rPr>
              <w:t xml:space="preserve">Theory and Decision</w:t>
            </w:r>
          </w:p>
        </w:tc>
        <w:tc>
          <w:tcPr>
            <w:tcW w:w="3200" w:type="dxa"/>
            <w:tcMar>
              <w:top w:w="60" w:type="dxa"/>
              <w:left w:w="100" w:type="dxa"/>
              <w:bottom w:w="60" w:type="dxa"/>
              <w:right w:w="100" w:type="dxa"/>
            </w:tcMar>
          </w:tcPr>
          <w:p>
            <w:pPr>
              <w:spacing w:after="20"/>
            </w:pPr>
            <w:r>
              <w:rPr>
                <w:sz w:val="18"/>
                <w:szCs w:val="18"/>
              </w:rPr>
              <w:t xml:space="preserve">SpringerLink or Springer Nature API</w:t>
            </w:r>
          </w:p>
        </w:tc>
        <w:tc>
          <w:tcPr>
            <w:tcW w:w="1960" w:type="dxa"/>
            <w:tcMar>
              <w:top w:w="60" w:type="dxa"/>
              <w:left w:w="100" w:type="dxa"/>
              <w:bottom w:w="60" w:type="dxa"/>
              <w:right w:w="100" w:type="dxa"/>
            </w:tcMar>
          </w:tcPr>
          <w:p>
            <w:pPr>
              <w:spacing w:after="20"/>
            </w:pPr>
            <w:r>
              <w:rPr>
                <w:sz w:val="18"/>
                <w:szCs w:val="18"/>
              </w:rPr>
              <w:t xml:space="preserve">Subscription</w:t>
            </w:r>
          </w:p>
        </w:tc>
      </w:tr>
      <w:tr>
        <w:tblPrEx>
          <w:tblCellMar>
            <w:top w:w="0" w:type="dxa"/>
            <w:bottom w:w="0" w:type="dxa"/>
          </w:tblCellMar>
        </w:tblPrEx>
        <w:tc>
          <w:tcPr>
            <w:tcW w:w="1900" w:type="dxa"/>
            <w:tcMar>
              <w:top w:w="60" w:type="dxa"/>
              <w:left w:w="100" w:type="dxa"/>
              <w:bottom w:w="60" w:type="dxa"/>
              <w:right w:w="100" w:type="dxa"/>
            </w:tcMar>
          </w:tcPr>
          <w:p>
            <w:pPr>
              <w:spacing w:after="20"/>
            </w:pPr>
            <w:r>
              <w:rPr>
                <w:sz w:val="18"/>
                <w:szCs w:val="18"/>
              </w:rPr>
              <w:t xml:space="preserve">Humanities and social science</w:t>
            </w:r>
          </w:p>
        </w:tc>
        <w:tc>
          <w:tcPr>
            <w:tcW w:w="2300" w:type="dxa"/>
            <w:tcMar>
              <w:top w:w="60" w:type="dxa"/>
              <w:left w:w="100" w:type="dxa"/>
              <w:bottom w:w="60" w:type="dxa"/>
              <w:right w:w="100" w:type="dxa"/>
            </w:tcMar>
          </w:tcPr>
          <w:p>
            <w:pPr>
              <w:spacing w:after="20"/>
            </w:pPr>
            <w:r>
              <w:rPr>
                <w:sz w:val="18"/>
                <w:szCs w:val="18"/>
              </w:rPr>
              <w:t xml:space="preserve">Economics and Philosophy</w:t>
            </w:r>
          </w:p>
        </w:tc>
        <w:tc>
          <w:tcPr>
            <w:tcW w:w="3200" w:type="dxa"/>
            <w:tcMar>
              <w:top w:w="60" w:type="dxa"/>
              <w:left w:w="100" w:type="dxa"/>
              <w:bottom w:w="60" w:type="dxa"/>
              <w:right w:w="100" w:type="dxa"/>
            </w:tcMar>
          </w:tcPr>
          <w:p>
            <w:pPr>
              <w:spacing w:after="20"/>
            </w:pPr>
            <w:r>
              <w:rPr>
                <w:sz w:val="18"/>
                <w:szCs w:val="18"/>
              </w:rPr>
              <w:t xml:space="preserve">Crossref (Cambridge UP)</w:t>
            </w:r>
          </w:p>
        </w:tc>
        <w:tc>
          <w:tcPr>
            <w:tcW w:w="1960" w:type="dxa"/>
            <w:tcMar>
              <w:top w:w="60" w:type="dxa"/>
              <w:left w:w="100" w:type="dxa"/>
              <w:bottom w:w="60" w:type="dxa"/>
              <w:right w:w="100" w:type="dxa"/>
            </w:tcMar>
          </w:tcPr>
          <w:p>
            <w:pPr>
              <w:spacing w:after="20"/>
            </w:pPr>
            <w:r>
              <w:rPr>
                <w:sz w:val="18"/>
                <w:szCs w:val="18"/>
              </w:rPr>
              <w:t xml:space="preserve">Subscription</w:t>
            </w:r>
          </w:p>
        </w:tc>
      </w:tr>
      <w:tr>
        <w:tblPrEx>
          <w:tblCellMar>
            <w:top w:w="0" w:type="dxa"/>
            <w:bottom w:w="0" w:type="dxa"/>
          </w:tblCellMar>
        </w:tblPrEx>
        <w:tc>
          <w:tcPr>
            <w:tcW w:w="1900" w:type="dxa"/>
            <w:tcMar>
              <w:top w:w="60" w:type="dxa"/>
              <w:left w:w="100" w:type="dxa"/>
              <w:bottom w:w="60" w:type="dxa"/>
              <w:right w:w="100" w:type="dxa"/>
            </w:tcMar>
          </w:tcPr>
          <w:p>
            <w:pPr>
              <w:spacing w:after="20"/>
            </w:pPr>
            <w:r>
              <w:rPr>
                <w:sz w:val="18"/>
                <w:szCs w:val="18"/>
              </w:rPr>
              <w:t xml:space="preserve">Humanities and social science</w:t>
            </w:r>
          </w:p>
        </w:tc>
        <w:tc>
          <w:tcPr>
            <w:tcW w:w="2300" w:type="dxa"/>
            <w:tcMar>
              <w:top w:w="60" w:type="dxa"/>
              <w:left w:w="100" w:type="dxa"/>
              <w:bottom w:w="60" w:type="dxa"/>
              <w:right w:w="100" w:type="dxa"/>
            </w:tcMar>
          </w:tcPr>
          <w:p>
            <w:pPr>
              <w:spacing w:after="20"/>
            </w:pPr>
            <w:r>
              <w:rPr>
                <w:sz w:val="18"/>
                <w:szCs w:val="18"/>
              </w:rPr>
              <w:t xml:space="preserve">Episteme</w:t>
            </w:r>
          </w:p>
        </w:tc>
        <w:tc>
          <w:tcPr>
            <w:tcW w:w="3200" w:type="dxa"/>
            <w:tcMar>
              <w:top w:w="60" w:type="dxa"/>
              <w:left w:w="100" w:type="dxa"/>
              <w:bottom w:w="60" w:type="dxa"/>
              <w:right w:w="100" w:type="dxa"/>
            </w:tcMar>
          </w:tcPr>
          <w:p>
            <w:pPr>
              <w:spacing w:after="20"/>
            </w:pPr>
            <w:r>
              <w:rPr>
                <w:sz w:val="18"/>
                <w:szCs w:val="18"/>
              </w:rPr>
              <w:t xml:space="preserve">Crossref (Cambridge UP)</w:t>
            </w:r>
          </w:p>
        </w:tc>
        <w:tc>
          <w:tcPr>
            <w:tcW w:w="1960" w:type="dxa"/>
            <w:tcMar>
              <w:top w:w="60" w:type="dxa"/>
              <w:left w:w="100" w:type="dxa"/>
              <w:bottom w:w="60" w:type="dxa"/>
              <w:right w:w="100" w:type="dxa"/>
            </w:tcMar>
          </w:tcPr>
          <w:p>
            <w:pPr>
              <w:spacing w:after="20"/>
            </w:pPr>
            <w:r>
              <w:rPr>
                <w:sz w:val="18"/>
                <w:szCs w:val="18"/>
              </w:rPr>
              <w:t xml:space="preserve">Subscription</w:t>
            </w:r>
          </w:p>
        </w:tc>
      </w:tr>
      <w:tr>
        <w:tblPrEx>
          <w:tblCellMar>
            <w:top w:w="0" w:type="dxa"/>
            <w:bottom w:w="0" w:type="dxa"/>
          </w:tblCellMar>
        </w:tblPrEx>
        <w:tc>
          <w:tcPr>
            <w:tcW w:w="1900" w:type="dxa"/>
            <w:tcMar>
              <w:top w:w="60" w:type="dxa"/>
              <w:left w:w="100" w:type="dxa"/>
              <w:bottom w:w="60" w:type="dxa"/>
              <w:right w:w="100" w:type="dxa"/>
            </w:tcMar>
          </w:tcPr>
          <w:p>
            <w:pPr>
              <w:spacing w:after="20"/>
            </w:pPr>
            <w:r>
              <w:rPr>
                <w:sz w:val="18"/>
                <w:szCs w:val="18"/>
              </w:rPr>
              <w:t xml:space="preserve">Humanities and social science</w:t>
            </w:r>
          </w:p>
        </w:tc>
        <w:tc>
          <w:tcPr>
            <w:tcW w:w="2300" w:type="dxa"/>
            <w:tcMar>
              <w:top w:w="60" w:type="dxa"/>
              <w:left w:w="100" w:type="dxa"/>
              <w:bottom w:w="60" w:type="dxa"/>
              <w:right w:w="100" w:type="dxa"/>
            </w:tcMar>
          </w:tcPr>
          <w:p>
            <w:pPr>
              <w:spacing w:after="20"/>
            </w:pPr>
            <w:r>
              <w:rPr>
                <w:sz w:val="18"/>
                <w:szCs w:val="18"/>
              </w:rPr>
              <w:t xml:space="preserve">Philosophy &amp; Technology</w:t>
            </w:r>
          </w:p>
        </w:tc>
        <w:tc>
          <w:tcPr>
            <w:tcW w:w="3200" w:type="dxa"/>
            <w:tcMar>
              <w:top w:w="60" w:type="dxa"/>
              <w:left w:w="100" w:type="dxa"/>
              <w:bottom w:w="60" w:type="dxa"/>
              <w:right w:w="100" w:type="dxa"/>
            </w:tcMar>
          </w:tcPr>
          <w:p>
            <w:pPr>
              <w:spacing w:after="20"/>
            </w:pPr>
            <w:r>
              <w:rPr>
                <w:sz w:val="18"/>
                <w:szCs w:val="18"/>
              </w:rPr>
              <w:t xml:space="preserve">SpringerLink or Springer Nature API</w:t>
            </w:r>
          </w:p>
        </w:tc>
        <w:tc>
          <w:tcPr>
            <w:tcW w:w="1960" w:type="dxa"/>
            <w:tcMar>
              <w:top w:w="60" w:type="dxa"/>
              <w:left w:w="100" w:type="dxa"/>
              <w:bottom w:w="60" w:type="dxa"/>
              <w:right w:w="100" w:type="dxa"/>
            </w:tcMar>
          </w:tcPr>
          <w:p>
            <w:pPr>
              <w:spacing w:after="20"/>
            </w:pPr>
            <w:r>
              <w:rPr>
                <w:sz w:val="18"/>
                <w:szCs w:val="18"/>
              </w:rPr>
              <w:t xml:space="preserve">Mostly subscription</w:t>
            </w:r>
          </w:p>
        </w:tc>
      </w:tr>
      <w:tr>
        <w:tblPrEx>
          <w:tblCellMar>
            <w:top w:w="0" w:type="dxa"/>
            <w:bottom w:w="0" w:type="dxa"/>
          </w:tblCellMar>
        </w:tblPrEx>
        <w:tc>
          <w:tcPr>
            <w:tcW w:w="1900" w:type="dxa"/>
            <w:tcMar>
              <w:top w:w="60" w:type="dxa"/>
              <w:left w:w="100" w:type="dxa"/>
              <w:bottom w:w="60" w:type="dxa"/>
              <w:right w:w="100" w:type="dxa"/>
            </w:tcMar>
          </w:tcPr>
          <w:p>
            <w:pPr>
              <w:spacing w:after="20"/>
            </w:pPr>
            <w:r>
              <w:rPr>
                <w:sz w:val="18"/>
                <w:szCs w:val="18"/>
              </w:rPr>
              <w:t xml:space="preserve">Humanities and social science</w:t>
            </w:r>
          </w:p>
        </w:tc>
        <w:tc>
          <w:tcPr>
            <w:tcW w:w="2300" w:type="dxa"/>
            <w:tcMar>
              <w:top w:w="60" w:type="dxa"/>
              <w:left w:w="100" w:type="dxa"/>
              <w:bottom w:w="60" w:type="dxa"/>
              <w:right w:w="100" w:type="dxa"/>
            </w:tcMar>
          </w:tcPr>
          <w:p>
            <w:pPr>
              <w:spacing w:after="20"/>
            </w:pPr>
            <w:r>
              <w:rPr>
                <w:sz w:val="18"/>
                <w:szCs w:val="18"/>
              </w:rPr>
              <w:t xml:space="preserve">Journal of Political Philosophy</w:t>
            </w:r>
          </w:p>
        </w:tc>
        <w:tc>
          <w:tcPr>
            <w:tcW w:w="3200" w:type="dxa"/>
            <w:tcMar>
              <w:top w:w="60" w:type="dxa"/>
              <w:left w:w="100" w:type="dxa"/>
              <w:bottom w:w="60" w:type="dxa"/>
              <w:right w:w="100" w:type="dxa"/>
            </w:tcMar>
          </w:tcPr>
          <w:p>
            <w:pPr>
              <w:spacing w:after="20"/>
            </w:pPr>
            <w:r>
              <w:rPr>
                <w:sz w:val="18"/>
                <w:szCs w:val="18"/>
              </w:rPr>
              <w:t xml:space="preserve">Crossref (Wiley)</w:t>
            </w:r>
          </w:p>
        </w:tc>
        <w:tc>
          <w:tcPr>
            <w:tcW w:w="1960" w:type="dxa"/>
            <w:tcMar>
              <w:top w:w="60" w:type="dxa"/>
              <w:left w:w="100" w:type="dxa"/>
              <w:bottom w:w="60" w:type="dxa"/>
              <w:right w:w="100" w:type="dxa"/>
            </w:tcMar>
          </w:tcPr>
          <w:p>
            <w:pPr>
              <w:spacing w:after="20"/>
            </w:pPr>
            <w:r>
              <w:rPr>
                <w:sz w:val="18"/>
                <w:szCs w:val="18"/>
              </w:rPr>
              <w:t xml:space="preserve">Subscription</w:t>
            </w:r>
          </w:p>
        </w:tc>
      </w:tr>
      <w:tr>
        <w:tblPrEx>
          <w:tblCellMar>
            <w:top w:w="0" w:type="dxa"/>
            <w:bottom w:w="0" w:type="dxa"/>
          </w:tblCellMar>
        </w:tblPrEx>
        <w:tc>
          <w:tcPr>
            <w:tcW w:w="1900" w:type="dxa"/>
            <w:tcMar>
              <w:top w:w="60" w:type="dxa"/>
              <w:left w:w="100" w:type="dxa"/>
              <w:bottom w:w="60" w:type="dxa"/>
              <w:right w:w="100" w:type="dxa"/>
            </w:tcMar>
          </w:tcPr>
          <w:p>
            <w:pPr>
              <w:spacing w:after="20"/>
            </w:pPr>
            <w:r>
              <w:rPr>
                <w:sz w:val="18"/>
                <w:szCs w:val="18"/>
              </w:rPr>
              <w:t xml:space="preserve">Humanities and social science</w:t>
            </w:r>
          </w:p>
        </w:tc>
        <w:tc>
          <w:tcPr>
            <w:tcW w:w="2300" w:type="dxa"/>
            <w:tcMar>
              <w:top w:w="60" w:type="dxa"/>
              <w:left w:w="100" w:type="dxa"/>
              <w:bottom w:w="60" w:type="dxa"/>
              <w:right w:w="100" w:type="dxa"/>
            </w:tcMar>
          </w:tcPr>
          <w:p>
            <w:pPr>
              <w:spacing w:after="20"/>
            </w:pPr>
            <w:r>
              <w:rPr>
                <w:sz w:val="18"/>
                <w:szCs w:val="18"/>
              </w:rPr>
              <w:t xml:space="preserve">Big Data &amp; Society</w:t>
            </w:r>
          </w:p>
        </w:tc>
        <w:tc>
          <w:tcPr>
            <w:tcW w:w="3200" w:type="dxa"/>
            <w:tcMar>
              <w:top w:w="60" w:type="dxa"/>
              <w:left w:w="100" w:type="dxa"/>
              <w:bottom w:w="60" w:type="dxa"/>
              <w:right w:w="100" w:type="dxa"/>
            </w:tcMar>
          </w:tcPr>
          <w:p>
            <w:pPr>
              <w:spacing w:after="20"/>
            </w:pPr>
            <w:r>
              <w:rPr>
                <w:sz w:val="18"/>
                <w:szCs w:val="18"/>
              </w:rPr>
              <w:t xml:space="preserve">Crossref (SAGE)</w:t>
            </w:r>
          </w:p>
        </w:tc>
        <w:tc>
          <w:tcPr>
            <w:tcW w:w="1960" w:type="dxa"/>
            <w:tcMar>
              <w:top w:w="60" w:type="dxa"/>
              <w:left w:w="100" w:type="dxa"/>
              <w:bottom w:w="60" w:type="dxa"/>
              <w:right w:w="100" w:type="dxa"/>
            </w:tcMar>
          </w:tcPr>
          <w:p>
            <w:pPr>
              <w:spacing w:after="20"/>
            </w:pPr>
            <w:r>
              <w:rPr>
                <w:sz w:val="18"/>
                <w:szCs w:val="18"/>
              </w:rPr>
              <w:t xml:space="preserve">Open</w:t>
            </w:r>
          </w:p>
        </w:tc>
      </w:tr>
      <w:tr>
        <w:tblPrEx>
          <w:tblCellMar>
            <w:top w:w="0" w:type="dxa"/>
            <w:bottom w:w="0" w:type="dxa"/>
          </w:tblCellMar>
        </w:tblPrEx>
        <w:tc>
          <w:tcPr>
            <w:tcW w:w="1900" w:type="dxa"/>
            <w:tcMar>
              <w:top w:w="60" w:type="dxa"/>
              <w:left w:w="100" w:type="dxa"/>
              <w:bottom w:w="60" w:type="dxa"/>
              <w:right w:w="100" w:type="dxa"/>
            </w:tcMar>
          </w:tcPr>
          <w:p>
            <w:pPr>
              <w:spacing w:after="20"/>
            </w:pPr>
            <w:r>
              <w:rPr>
                <w:sz w:val="18"/>
                <w:szCs w:val="18"/>
              </w:rPr>
              <w:t xml:space="preserve">Humanities and social science</w:t>
            </w:r>
          </w:p>
        </w:tc>
        <w:tc>
          <w:tcPr>
            <w:tcW w:w="2300" w:type="dxa"/>
            <w:tcMar>
              <w:top w:w="60" w:type="dxa"/>
              <w:left w:w="100" w:type="dxa"/>
              <w:bottom w:w="60" w:type="dxa"/>
              <w:right w:w="100" w:type="dxa"/>
            </w:tcMar>
          </w:tcPr>
          <w:p>
            <w:pPr>
              <w:spacing w:after="20"/>
            </w:pPr>
            <w:r>
              <w:rPr>
                <w:sz w:val="18"/>
                <w:szCs w:val="18"/>
              </w:rPr>
              <w:t xml:space="preserve">Synthese</w:t>
            </w:r>
          </w:p>
        </w:tc>
        <w:tc>
          <w:tcPr>
            <w:tcW w:w="3200" w:type="dxa"/>
            <w:tcMar>
              <w:top w:w="60" w:type="dxa"/>
              <w:left w:w="100" w:type="dxa"/>
              <w:bottom w:w="60" w:type="dxa"/>
              <w:right w:w="100" w:type="dxa"/>
            </w:tcMar>
          </w:tcPr>
          <w:p>
            <w:pPr>
              <w:spacing w:after="20"/>
            </w:pPr>
            <w:r>
              <w:rPr>
                <w:sz w:val="18"/>
                <w:szCs w:val="18"/>
              </w:rPr>
              <w:t xml:space="preserve">SpringerLink or Springer Nature API</w:t>
            </w:r>
          </w:p>
        </w:tc>
        <w:tc>
          <w:tcPr>
            <w:tcW w:w="1960" w:type="dxa"/>
            <w:tcMar>
              <w:top w:w="60" w:type="dxa"/>
              <w:left w:w="100" w:type="dxa"/>
              <w:bottom w:w="60" w:type="dxa"/>
              <w:right w:w="100" w:type="dxa"/>
            </w:tcMar>
          </w:tcPr>
          <w:p>
            <w:pPr>
              <w:spacing w:after="20"/>
            </w:pPr>
            <w:r>
              <w:rPr>
                <w:sz w:val="18"/>
                <w:szCs w:val="18"/>
              </w:rPr>
              <w:t xml:space="preserve">Mostly subscription</w:t>
            </w:r>
          </w:p>
        </w:tc>
      </w:tr>
    </w:tbl>
    <w:p>
      <w:pPr>
        <w:spacing w:before="60" w:after="200"/>
      </w:pPr>
      <w:r>
        <w:rPr>
          <w:i/>
          <w:iCs/>
          <w:sz w:val="19"/>
          <w:szCs w:val="19"/>
        </w:rPr>
        <w:t xml:space="preserve">Table 7. Candidate venues. Title and author metadata are open for all 22. Springer closed-access abstracts are not in OpenAlex and mostly not in Crossref. ACM DL has been fully open access since January 2026. AAMAS, Theory and Decision, and Synthese are added to the v7.1 list to balance the strata.</w:t>
      </w:r>
    </w:p>
    <w:p>
      <w:pPr>
        <w:pStyle w:val="Heading2"/>
      </w:pPr>
      <w:r>
        <w:t xml:space="preserve">8.2 Selection rule</w:t>
      </w:r>
    </w:p>
    <w:p>
      <w:pPr>
        <w:spacing w:after="120" w:line="276" w:lineRule="auto"/>
      </w:pPr>
      <w:r>
        <w:t xml:space="preserve">Registered before any counts are seen.</w:t>
      </w:r>
    </w:p>
    <w:p>
      <w:pPr>
        <w:pStyle w:val="ListParagraph"/>
        <w:numPr>
          <w:ilvl w:val="0"/>
          <w:numId w:val="1"/>
        </w:numPr>
        <w:spacing w:after="70" w:line="276" w:lineRule="auto"/>
      </w:pPr>
      <w:r>
        <w:rPr>
          <w:b/>
          <w:bCs/>
        </w:rPr>
        <w:t xml:space="preserve">Step 1. </w:t>
      </w:r>
      <w:r>
        <w:t xml:space="preserve">Pilot the keyword schema on one EC year and one humanities journal-year and revise it. Selection uses the revised schema and the same anchor profiles as screening.</w:t>
      </w:r>
    </w:p>
    <w:p>
      <w:pPr>
        <w:pStyle w:val="ListParagraph"/>
        <w:numPr>
          <w:ilvl w:val="0"/>
          <w:numId w:val="1"/>
        </w:numPr>
        <w:spacing w:after="70" w:line="276" w:lineRule="auto"/>
      </w:pPr>
      <w:r>
        <w:rPr>
          <w:b/>
          <w:bCs/>
        </w:rPr>
        <w:t xml:space="preserve">Step 2. </w:t>
      </w:r>
      <w:r>
        <w:t xml:space="preserve">For each venue, count records in the window (R) and keyword hits (H).</w:t>
      </w:r>
    </w:p>
    <w:p>
      <w:pPr>
        <w:pStyle w:val="ListParagraph"/>
        <w:numPr>
          <w:ilvl w:val="0"/>
          <w:numId w:val="1"/>
        </w:numPr>
        <w:spacing w:after="70" w:line="276" w:lineRule="auto"/>
      </w:pPr>
      <w:r>
        <w:rPr>
          <w:b/>
          <w:bCs/>
        </w:rPr>
        <w:t xml:space="preserve">Step 3. </w:t>
      </w:r>
      <w:r>
        <w:t xml:space="preserve">Draw 20 random hits per venue, or all hits if fewer. One reviewer labels each against the PICOC criteria; a second labels 10 percent. Precision p is the share relevant. About 440 abstracts, eight hours.</w:t>
      </w:r>
    </w:p>
    <w:p>
      <w:pPr>
        <w:pStyle w:val="ListParagraph"/>
        <w:numPr>
          <w:ilvl w:val="0"/>
          <w:numId w:val="1"/>
        </w:numPr>
        <w:spacing w:after="70" w:line="276" w:lineRule="auto"/>
      </w:pPr>
      <w:r>
        <w:rPr>
          <w:b/>
          <w:bCs/>
        </w:rPr>
        <w:t xml:space="preserve">Step 4. </w:t>
      </w:r>
      <w:r>
        <w:t xml:space="preserve">Compute estimated relevant papers Y = H × p and relevant density ρ = Y / R.</w:t>
      </w:r>
    </w:p>
    <w:p>
      <w:pPr>
        <w:pStyle w:val="ListParagraph"/>
        <w:numPr>
          <w:ilvl w:val="0"/>
          <w:numId w:val="1"/>
        </w:numPr>
        <w:spacing w:after="70" w:line="276" w:lineRule="auto"/>
      </w:pPr>
      <w:r>
        <w:rPr>
          <w:b/>
          <w:bCs/>
        </w:rPr>
        <w:t xml:space="preserve">Step 5. </w:t>
      </w:r>
      <w:r>
        <w:t xml:space="preserve">Core tier, 10 venues: the highest-ρ venue in each of the five strata, then the five remaining venues with the highest ρ. A venue with Y above 150 is not eligible for the core, because it alone would take most of the core full-text budget of about 200 papers; it goes to the landscape tier. If no venue in a stratum is eligible, that slot goes to the overall ranking.</w:t>
      </w:r>
    </w:p>
    <w:p>
      <w:pPr>
        <w:pStyle w:val="ListParagraph"/>
        <w:numPr>
          <w:ilvl w:val="0"/>
          <w:numId w:val="1"/>
        </w:numPr>
        <w:spacing w:after="70" w:line="276" w:lineRule="auto"/>
      </w:pPr>
      <w:r>
        <w:rPr>
          <w:b/>
          <w:bCs/>
        </w:rPr>
        <w:t xml:space="preserve">Step 6. </w:t>
      </w:r>
      <w:r>
        <w:t xml:space="preserve">Landscape tier: every non-core venue with Y of 20 or more.</w:t>
      </w:r>
    </w:p>
    <w:p>
      <w:pPr>
        <w:pStyle w:val="ListParagraph"/>
        <w:numPr>
          <w:ilvl w:val="0"/>
          <w:numId w:val="1"/>
        </w:numPr>
        <w:spacing w:after="70" w:line="276" w:lineRule="auto"/>
      </w:pPr>
      <w:r>
        <w:rPr>
          <w:b/>
          <w:bCs/>
        </w:rPr>
        <w:t xml:space="preserve">Step 7. </w:t>
      </w:r>
      <w:r>
        <w:t xml:space="preserve">Dropped: venues with Y below 20, listed in the paper with their counts.</w:t>
      </w:r>
    </w:p>
    <w:p>
      <w:pPr>
        <w:spacing w:after="120" w:line="276" w:lineRule="auto"/>
      </w:pPr>
      <w:r>
        <w:rPr>
          <w:b/>
          <w:bCs/>
        </w:rPr>
        <w:t xml:space="preserve">Rationale. </w:t>
      </w:r>
      <w:r>
        <w:t xml:space="preserve">Raw hit counts favour large venues: NeurIPS publishes about 100 times as many papers a year as Episteme. Dividing by R removes the size effect. Multiplying by p corrects for the schema's vocabulary, which was built on CS papers and under-matches philosophy. The per-stratum slot keeps every literature in the core. The Y cap keeps the core within the full-text budget. Choosing sources by measured yield follows Bradford's law, which observes that relevant papers concentrate in a few core venues.</w:t>
      </w:r>
    </w:p>
    <w:p>
      <w:pPr>
        <w:spacing w:after="120" w:line="276" w:lineRule="auto"/>
      </w:pPr>
      <w:r>
        <w:rPr>
          <w:b/>
          <w:bCs/>
        </w:rPr>
        <w:t xml:space="preserve">Circularity. </w:t>
      </w:r>
      <w:r>
        <w:t xml:space="preserve">Venues are selected with the schema that later screens them, so the corpus partly reflects the schema. Three controls apply: the rule is registered before counts are seen, precision is measured by hand, and a 10 percent audit of keyword-excluded core records estimates what the schema misses (§9.2).</w:t>
      </w:r>
    </w:p>
    <w:p>
      <w:pPr>
        <w:spacing w:after="120" w:line="276" w:lineRule="auto"/>
      </w:pPr>
      <w:r>
        <w:rPr>
          <w:b/>
          <w:bCs/>
        </w:rPr>
        <w:t xml:space="preserve">Expected outcome. </w:t>
      </w:r>
      <w:r>
        <w:t xml:space="preserve">FAccT, AIES, EAAMO, EC, and several journals are expected in the core. NeurIPS, ICML, ICLR, ACL, EMNLP, and AAAI are expected to exceed the Y cap and fall in the landscape tier. The paper reports the full selection table: venue, stratum, R, H, p, Y, ρ, and tier.</w:t>
      </w:r>
    </w:p>
    <w:p>
      <w:pPr>
        <w:pStyle w:val="Heading2"/>
      </w:pPr>
      <w:r>
        <w:t xml:space="preserve">8.3 Depth by tier</w:t>
      </w:r>
    </w:p>
    <w:p>
      <w:pPr>
        <w:spacing w:after="120" w:line="276" w:lineRule="auto"/>
      </w:pPr>
      <w:r>
        <w:t xml:space="preserve">Core venues go through full PRISMA to full-text coding. Landscape venues are screened and coded at abstract level, and a stratified sample goes to full text (§9.3). Systematic mapping studies classify papers from abstracts (Petersen et al. 2008; Petersen, Vakkalanka and Kuzniarz 2015), but abstracts rarely state a welfare criterion, so welfare criteria are reported from full text only. Birhane et al. (FAccT 2022) coded a full-text sample of 100 NeurIPS and ICML papers, which is the closest FAccT precedent for the landscape sample.</w:t>
      </w:r>
    </w:p>
    <w:p>
      <w:pPr>
        <w:pStyle w:val="Heading2"/>
      </w:pPr>
      <w:r>
        <w:t xml:space="preserve">8.4 Foundational sources</w:t>
      </w:r>
    </w:p>
    <w:p>
      <w:pPr>
        <w:spacing w:after="120" w:line="276" w:lineRule="auto"/>
      </w:pPr>
      <w:r>
        <w:t xml:space="preserve">Sources outside the window are admitted if they are peer-reviewed or a chapter in a designated reference work, and either are cited by three or more included papers as the origin of a technique, or are the source of a technique name, axiom, welfare criterion, or impossibility result in the registry. Designated reference works: Handbook of Computational Social Choice; Handbook of Social Choice and Welfare; The Routledge Handbook of Social Epistemology; Negotiation Analysis. These sources are coded but excluded from PRISMA counts. Before the protocol is frozen, each family in Appendix A must have an originating source reachable by this route or inside the window.</w:t>
      </w:r>
    </w:p>
    <w:p>
      <w:pPr>
        <w:pStyle w:val="Heading2"/>
      </w:pPr>
      <w:r>
        <w:t xml:space="preserve">8.5 Snowballing</w:t>
      </w:r>
    </w:p>
    <w:p>
      <w:pPr>
        <w:spacing w:after="120" w:line="276" w:lineRule="auto"/>
      </w:pPr>
      <w:r>
        <w:t xml:space="preserve">One backward round on core inclusions and on the landscape full-text sample. Priority goes to references that define a technique not yet in the registry, sit at D2 or D3, or state a welfare criterion. Forward snowballing is not done.</w:t>
      </w:r>
    </w:p>
    <w:p>
      <w:pPr>
        <w:pStyle w:val="Heading1"/>
      </w:pPr>
      <w:r>
        <w:t xml:space="preserve">9. Screening</w:t>
      </w:r>
    </w:p>
    <w:p>
      <w:pPr>
        <w:pStyle w:val="Heading2"/>
      </w:pPr>
      <w:r>
        <w:t xml:space="preserve">9.1 Keyword schema</w:t>
      </w:r>
    </w:p>
    <w:p>
      <w:pPr>
        <w:spacing w:after="120" w:line="276" w:lineRule="auto"/>
      </w:pPr>
      <w:r>
        <w:t xml:space="preserve">Title, abstract, and author keywords are concatenated and screened with screening_keywords.yaml v1.3 (Appendix B), the same schema for both tiers. A record is retained on any Signal Tier 1 match, or on a Signal Tier 2 match plus an anchor. NeurIPS, ICML, and ICLR use a restricted anchor profile. The welfare-function set is Tier 1; generic "social welfare" is Tier 2 because auction papers use it without aggregating disagreement. The disagreement-preservation set runs without an anchor. Records with no retrievable abstract are screened on title and flagged, and abstract coverage is reported per venue.</w:t>
      </w:r>
    </w:p>
    <w:p>
      <w:pPr>
        <w:pStyle w:val="Heading2"/>
      </w:pPr>
      <w:r>
        <w:t xml:space="preserve">9.2 Core stream</w:t>
      </w:r>
    </w:p>
    <w:p>
      <w:pPr>
        <w:pStyle w:val="ListParagraph"/>
        <w:numPr>
          <w:ilvl w:val="0"/>
          <w:numId w:val="1"/>
        </w:numPr>
        <w:spacing w:after="70" w:line="276" w:lineRule="auto"/>
      </w:pPr>
      <w:r>
        <w:t xml:space="preserve">Title and abstract: single screener; 20 percent double-screened; agreement reported.</w:t>
      </w:r>
    </w:p>
    <w:p>
      <w:pPr>
        <w:pStyle w:val="ListParagraph"/>
        <w:numPr>
          <w:ilvl w:val="0"/>
          <w:numId w:val="1"/>
        </w:numPr>
        <w:spacing w:after="70" w:line="276" w:lineRule="auto"/>
      </w:pPr>
      <w:r>
        <w:t xml:space="preserve">Keyword-exclusion audit: 10 percent of keyword-excluded records screened by hand, giving a recall estimate for the schema.</w:t>
      </w:r>
    </w:p>
    <w:p>
      <w:pPr>
        <w:pStyle w:val="ListParagraph"/>
        <w:numPr>
          <w:ilvl w:val="0"/>
          <w:numId w:val="1"/>
        </w:numPr>
        <w:spacing w:after="70" w:line="276" w:lineRule="auto"/>
      </w:pPr>
      <w:r>
        <w:t xml:space="preserve">Full text: single screener; any uncertain record escalated to a second screener; exclusion reasons from a fixed list.</w:t>
      </w:r>
    </w:p>
    <w:p>
      <w:pPr>
        <w:pStyle w:val="ListParagraph"/>
        <w:numPr>
          <w:ilvl w:val="0"/>
          <w:numId w:val="1"/>
        </w:numPr>
        <w:spacing w:after="70" w:line="276" w:lineRule="auto"/>
      </w:pPr>
      <w:r>
        <w:t xml:space="preserve">Extraction: all fields for every included paper; 10 percent double-extracted; 100 percent of D2, D3, and derived welfare criteria double-coded.</w:t>
      </w:r>
    </w:p>
    <w:p>
      <w:pPr>
        <w:pStyle w:val="ListParagraph"/>
        <w:numPr>
          <w:ilvl w:val="0"/>
          <w:numId w:val="1"/>
        </w:numPr>
        <w:spacing w:after="70" w:line="276" w:lineRule="auto"/>
      </w:pPr>
      <w:r>
        <w:t xml:space="preserve">A language-model classifier is used only if keyword retention exceeds 2,000 records.</w:t>
      </w:r>
    </w:p>
    <w:p>
      <w:pPr>
        <w:pStyle w:val="Heading2"/>
      </w:pPr>
      <w:r>
        <w:t xml:space="preserve">9.3 Landscape stream</w:t>
      </w:r>
    </w:p>
    <w:p>
      <w:pPr>
        <w:pStyle w:val="ListParagraph"/>
        <w:numPr>
          <w:ilvl w:val="0"/>
          <w:numId w:val="1"/>
        </w:numPr>
        <w:spacing w:after="70" w:line="276" w:lineRule="auto"/>
      </w:pPr>
      <w:r>
        <w:t xml:space="preserve">Classifier screening: all keyword-retained records are scored by a language-model classifier prompted with the PICOC criteria and calibrated on 300 records labelled by all three reviewers, with the threshold set for recall of at least 0.95. Every inclusion is checked by a reviewer; 10 percent of exclusions are audited and the false-negative rate reported.</w:t>
      </w:r>
    </w:p>
    <w:p>
      <w:pPr>
        <w:pStyle w:val="ListParagraph"/>
        <w:numPr>
          <w:ilvl w:val="0"/>
          <w:numId w:val="1"/>
        </w:numPr>
        <w:spacing w:after="70" w:line="276" w:lineRule="auto"/>
      </w:pPr>
      <w:r>
        <w:t xml:space="preserve">Abstract coding: disposition, account, family, source literature, and whether a welfare criterion is stated in the abstract. "Indeterminate" is a valid value.</w:t>
      </w:r>
    </w:p>
    <w:p>
      <w:pPr>
        <w:pStyle w:val="ListParagraph"/>
        <w:numPr>
          <w:ilvl w:val="0"/>
          <w:numId w:val="1"/>
        </w:numPr>
        <w:spacing w:after="70" w:line="276" w:lineRule="auto"/>
      </w:pPr>
      <w:r>
        <w:t xml:space="preserve">Full-text sample: about 80 papers, comprising every abstract coded D2, D3, or W plus a random draw from the rest, coded with the full schema. Agreement between abstract and full-text codes is reported per cell.</w:t>
      </w:r>
    </w:p>
    <w:p>
      <w:pPr>
        <w:pStyle w:val="ListParagraph"/>
        <w:numPr>
          <w:ilvl w:val="0"/>
          <w:numId w:val="1"/>
        </w:numPr>
        <w:spacing w:after="70" w:line="276" w:lineRule="auto"/>
      </w:pPr>
      <w:r>
        <w:t xml:space="preserve">If recall of 0.95 cannot be reached, the landscape window starts at 2023, reported as a deviation.</w:t>
      </w:r>
    </w:p>
    <w:p>
      <w:pPr>
        <w:pStyle w:val="Heading2"/>
      </w:pPr>
      <w:r>
        <w:t xml:space="preserve">9.4 Pilot</w:t>
      </w:r>
    </w:p>
    <w:p>
      <w:pPr>
        <w:spacing w:after="120" w:line="276" w:lineRule="auto"/>
      </w:pPr>
      <w:r>
        <w:t xml:space="preserve">All three reviewers screen the same 50 records from both tiers. The manual is revised and Krippendorff's alpha reported; screening starts only at 0.70 or above.</w:t>
      </w:r>
    </w:p>
    <w:p>
      <w:pPr>
        <w:pStyle w:val="Heading2"/>
      </w:pPr>
      <w:r>
        <w:t xml:space="preserve">9.5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300"/>
        <w:gridCol w:w="1600"/>
        <w:gridCol w:w="3660"/>
      </w:tblGrid>
      <w:tr>
        <w:tblPrEx>
          <w:tblCellMar>
            <w:top w:w="0" w:type="dxa"/>
            <w:bottom w:w="0" w:type="dxa"/>
          </w:tblCellMar>
        </w:tblPrEx>
        <w:trPr>
          <w:tblHeader/>
        </w:trPr>
        <w:tc>
          <w:tcPr>
            <w:tcW w:w="2800" w:type="dxa"/>
            <w:shd w:val="clear" w:color="auto" w:fill="E8EAED"/>
            <w:tcMar>
              <w:top w:w="60" w:type="dxa"/>
              <w:left w:w="100" w:type="dxa"/>
              <w:bottom w:w="60" w:type="dxa"/>
              <w:right w:w="100" w:type="dxa"/>
            </w:tcMar>
          </w:tcPr>
          <w:p>
            <w:pPr>
              <w:spacing w:after="20"/>
            </w:pPr>
            <w:r>
              <w:rPr>
                <w:b/>
                <w:bCs/>
                <w:sz w:val="18"/>
                <w:szCs w:val="18"/>
              </w:rPr>
              <w:t xml:space="preserve">Activity</w:t>
            </w:r>
          </w:p>
        </w:tc>
        <w:tc>
          <w:tcPr>
            <w:tcW w:w="1300" w:type="dxa"/>
            <w:shd w:val="clear" w:color="auto" w:fill="E8EAED"/>
            <w:tcMar>
              <w:top w:w="60" w:type="dxa"/>
              <w:left w:w="100" w:type="dxa"/>
              <w:bottom w:w="60" w:type="dxa"/>
              <w:right w:w="100" w:type="dxa"/>
            </w:tcMar>
          </w:tcPr>
          <w:p>
            <w:pPr>
              <w:spacing w:after="20"/>
            </w:pPr>
            <w:r>
              <w:rPr>
                <w:b/>
                <w:bCs/>
                <w:sz w:val="18"/>
                <w:szCs w:val="18"/>
              </w:rPr>
              <w:t xml:space="preserve">Person-hours</w:t>
            </w:r>
          </w:p>
        </w:tc>
        <w:tc>
          <w:tcPr>
            <w:tcW w:w="1600" w:type="dxa"/>
            <w:shd w:val="clear" w:color="auto" w:fill="E8EAED"/>
            <w:tcMar>
              <w:top w:w="60" w:type="dxa"/>
              <w:left w:w="100" w:type="dxa"/>
              <w:bottom w:w="60" w:type="dxa"/>
              <w:right w:w="100" w:type="dxa"/>
            </w:tcMar>
          </w:tcPr>
          <w:p>
            <w:pPr>
              <w:spacing w:after="20"/>
            </w:pPr>
            <w:r>
              <w:rPr>
                <w:b/>
                <w:bCs/>
                <w:sz w:val="18"/>
                <w:szCs w:val="18"/>
              </w:rPr>
              <w:t xml:space="preserve">Throughput</w:t>
            </w:r>
          </w:p>
        </w:tc>
        <w:tc>
          <w:tcPr>
            <w:tcW w:w="3660" w:type="dxa"/>
            <w:shd w:val="clear" w:color="auto" w:fill="E8EAED"/>
            <w:tcMar>
              <w:top w:w="60" w:type="dxa"/>
              <w:left w:w="100" w:type="dxa"/>
              <w:bottom w:w="60" w:type="dxa"/>
              <w:right w:w="100" w:type="dxa"/>
            </w:tcMar>
          </w:tcPr>
          <w:p>
            <w:pPr>
              <w:spacing w:after="20"/>
            </w:pPr>
            <w:r>
              <w:rPr>
                <w:b/>
                <w:bCs/>
                <w:sz w:val="18"/>
                <w:szCs w:val="18"/>
              </w:rPr>
              <w:t xml:space="preserve">Volume</w:t>
            </w:r>
          </w:p>
        </w:tc>
      </w:tr>
      <w:tr>
        <w:tblPrEx>
          <w:tblCellMar>
            <w:top w:w="0" w:type="dxa"/>
            <w:bottom w:w="0" w:type="dxa"/>
          </w:tblCellMar>
        </w:tblPrEx>
        <w:tc>
          <w:tcPr>
            <w:tcW w:w="2800" w:type="dxa"/>
            <w:tcMar>
              <w:top w:w="60" w:type="dxa"/>
              <w:left w:w="100" w:type="dxa"/>
              <w:bottom w:w="60" w:type="dxa"/>
              <w:right w:w="100" w:type="dxa"/>
            </w:tcMar>
          </w:tcPr>
          <w:p>
            <w:pPr>
              <w:spacing w:after="20"/>
            </w:pPr>
            <w:r>
              <w:rPr>
                <w:sz w:val="18"/>
                <w:szCs w:val="18"/>
              </w:rPr>
              <w:t xml:space="preserve">Protocol, registration, pilots</w:t>
            </w:r>
          </w:p>
        </w:tc>
        <w:tc>
          <w:tcPr>
            <w:tcW w:w="1300" w:type="dxa"/>
            <w:tcMar>
              <w:top w:w="60" w:type="dxa"/>
              <w:left w:w="100" w:type="dxa"/>
              <w:bottom w:w="60" w:type="dxa"/>
              <w:right w:w="100" w:type="dxa"/>
            </w:tcMar>
          </w:tcPr>
          <w:p>
            <w:pPr>
              <w:spacing w:after="20"/>
            </w:pPr>
            <w:r>
              <w:rPr>
                <w:sz w:val="18"/>
                <w:szCs w:val="18"/>
              </w:rPr>
              <w:t xml:space="preserve">18</w:t>
            </w:r>
          </w:p>
        </w:tc>
        <w:tc>
          <w:tcPr>
            <w:tcW w:w="1600" w:type="dxa"/>
            <w:tcMar>
              <w:top w:w="60" w:type="dxa"/>
              <w:left w:w="100" w:type="dxa"/>
              <w:bottom w:w="60" w:type="dxa"/>
              <w:right w:w="100" w:type="dxa"/>
            </w:tcMar>
          </w:tcPr>
          <w:p>
            <w:pPr>
              <w:spacing w:after="20"/>
            </w:pPr>
            <w:r>
              <w:rPr>
                <w:sz w:val="18"/>
                <w:szCs w:val="18"/>
              </w:rPr>
              <w:t xml:space="preserve">—</w:t>
            </w:r>
          </w:p>
        </w:tc>
        <w:tc>
          <w:tcPr>
            <w:tcW w:w="3660" w:type="dxa"/>
            <w:tcMar>
              <w:top w:w="60" w:type="dxa"/>
              <w:left w:w="100" w:type="dxa"/>
              <w:bottom w:w="60" w:type="dxa"/>
              <w:right w:w="100" w:type="dxa"/>
            </w:tcMar>
          </w:tcPr>
          <w:p>
            <w:pPr>
              <w:spacing w:after="20"/>
            </w:pPr>
            <w:r>
              <w:rPr>
                <w:sz w:val="18"/>
                <w:szCs w:val="18"/>
              </w:rPr>
              <w:t xml:space="preserve">50 pilot records; EC and humanities keyword pilots</w:t>
            </w:r>
          </w:p>
        </w:tc>
      </w:tr>
      <w:tr>
        <w:tblPrEx>
          <w:tblCellMar>
            <w:top w:w="0" w:type="dxa"/>
            <w:bottom w:w="0" w:type="dxa"/>
          </w:tblCellMar>
        </w:tblPrEx>
        <w:tc>
          <w:tcPr>
            <w:tcW w:w="2800" w:type="dxa"/>
            <w:tcMar>
              <w:top w:w="60" w:type="dxa"/>
              <w:left w:w="100" w:type="dxa"/>
              <w:bottom w:w="60" w:type="dxa"/>
              <w:right w:w="100" w:type="dxa"/>
            </w:tcMar>
          </w:tcPr>
          <w:p>
            <w:pPr>
              <w:spacing w:after="20"/>
            </w:pPr>
            <w:r>
              <w:rPr>
                <w:sz w:val="18"/>
                <w:szCs w:val="18"/>
              </w:rPr>
              <w:t xml:space="preserve">Retrieval and keyword pass, 22 venues</w:t>
            </w:r>
          </w:p>
        </w:tc>
        <w:tc>
          <w:tcPr>
            <w:tcW w:w="1300" w:type="dxa"/>
            <w:tcMar>
              <w:top w:w="60" w:type="dxa"/>
              <w:left w:w="100" w:type="dxa"/>
              <w:bottom w:w="60" w:type="dxa"/>
              <w:right w:w="100" w:type="dxa"/>
            </w:tcMar>
          </w:tcPr>
          <w:p>
            <w:pPr>
              <w:spacing w:after="20"/>
            </w:pPr>
            <w:r>
              <w:rPr>
                <w:sz w:val="18"/>
                <w:szCs w:val="18"/>
              </w:rPr>
              <w:t xml:space="preserve">24</w:t>
            </w:r>
          </w:p>
        </w:tc>
        <w:tc>
          <w:tcPr>
            <w:tcW w:w="1600" w:type="dxa"/>
            <w:tcMar>
              <w:top w:w="60" w:type="dxa"/>
              <w:left w:w="100" w:type="dxa"/>
              <w:bottom w:w="60" w:type="dxa"/>
              <w:right w:w="100" w:type="dxa"/>
            </w:tcMar>
          </w:tcPr>
          <w:p>
            <w:pPr>
              <w:spacing w:after="20"/>
            </w:pPr>
            <w:r>
              <w:rPr>
                <w:sz w:val="18"/>
                <w:szCs w:val="18"/>
              </w:rPr>
              <w:t xml:space="preserve">—</w:t>
            </w:r>
          </w:p>
        </w:tc>
        <w:tc>
          <w:tcPr>
            <w:tcW w:w="3660" w:type="dxa"/>
            <w:tcMar>
              <w:top w:w="60" w:type="dxa"/>
              <w:left w:w="100" w:type="dxa"/>
              <w:bottom w:w="60" w:type="dxa"/>
              <w:right w:w="100" w:type="dxa"/>
            </w:tcMar>
          </w:tcPr>
          <w:p>
            <w:pPr>
              <w:spacing w:after="20"/>
            </w:pPr>
            <w:r>
              <w:rPr>
                <w:sz w:val="18"/>
                <w:szCs w:val="18"/>
              </w:rPr>
              <w:t xml:space="preserve">~100,000 records</w:t>
            </w:r>
          </w:p>
        </w:tc>
      </w:tr>
      <w:tr>
        <w:tblPrEx>
          <w:tblCellMar>
            <w:top w:w="0" w:type="dxa"/>
            <w:bottom w:w="0" w:type="dxa"/>
          </w:tblCellMar>
        </w:tblPrEx>
        <w:tc>
          <w:tcPr>
            <w:tcW w:w="2800" w:type="dxa"/>
            <w:tcMar>
              <w:top w:w="60" w:type="dxa"/>
              <w:left w:w="100" w:type="dxa"/>
              <w:bottom w:w="60" w:type="dxa"/>
              <w:right w:w="100" w:type="dxa"/>
            </w:tcMar>
          </w:tcPr>
          <w:p>
            <w:pPr>
              <w:spacing w:after="20"/>
            </w:pPr>
            <w:r>
              <w:rPr>
                <w:sz w:val="18"/>
                <w:szCs w:val="18"/>
              </w:rPr>
              <w:t xml:space="preserve">Venue selection: precision check</w:t>
            </w:r>
          </w:p>
        </w:tc>
        <w:tc>
          <w:tcPr>
            <w:tcW w:w="1300" w:type="dxa"/>
            <w:tcMar>
              <w:top w:w="60" w:type="dxa"/>
              <w:left w:w="100" w:type="dxa"/>
              <w:bottom w:w="60" w:type="dxa"/>
              <w:right w:w="100" w:type="dxa"/>
            </w:tcMar>
          </w:tcPr>
          <w:p>
            <w:pPr>
              <w:spacing w:after="20"/>
            </w:pPr>
            <w:r>
              <w:rPr>
                <w:sz w:val="18"/>
                <w:szCs w:val="18"/>
              </w:rPr>
              <w:t xml:space="preserve">8</w:t>
            </w:r>
          </w:p>
        </w:tc>
        <w:tc>
          <w:tcPr>
            <w:tcW w:w="1600" w:type="dxa"/>
            <w:tcMar>
              <w:top w:w="60" w:type="dxa"/>
              <w:left w:w="100" w:type="dxa"/>
              <w:bottom w:w="60" w:type="dxa"/>
              <w:right w:w="100" w:type="dxa"/>
            </w:tcMar>
          </w:tcPr>
          <w:p>
            <w:pPr>
              <w:spacing w:after="20"/>
            </w:pPr>
            <w:r>
              <w:rPr>
                <w:sz w:val="18"/>
                <w:szCs w:val="18"/>
              </w:rPr>
              <w:t xml:space="preserve">55 records/hour</w:t>
            </w:r>
          </w:p>
        </w:tc>
        <w:tc>
          <w:tcPr>
            <w:tcW w:w="3660" w:type="dxa"/>
            <w:tcMar>
              <w:top w:w="60" w:type="dxa"/>
              <w:left w:w="100" w:type="dxa"/>
              <w:bottom w:w="60" w:type="dxa"/>
              <w:right w:w="100" w:type="dxa"/>
            </w:tcMar>
          </w:tcPr>
          <w:p>
            <w:pPr>
              <w:spacing w:after="20"/>
            </w:pPr>
            <w:r>
              <w:rPr>
                <w:sz w:val="18"/>
                <w:szCs w:val="18"/>
              </w:rPr>
              <w:t xml:space="preserve">~440 abstracts</w:t>
            </w:r>
          </w:p>
        </w:tc>
      </w:tr>
      <w:tr>
        <w:tblPrEx>
          <w:tblCellMar>
            <w:top w:w="0" w:type="dxa"/>
            <w:bottom w:w="0" w:type="dxa"/>
          </w:tblCellMar>
        </w:tblPrEx>
        <w:tc>
          <w:tcPr>
            <w:tcW w:w="2800" w:type="dxa"/>
            <w:tcMar>
              <w:top w:w="60" w:type="dxa"/>
              <w:left w:w="100" w:type="dxa"/>
              <w:bottom w:w="60" w:type="dxa"/>
              <w:right w:w="100" w:type="dxa"/>
            </w:tcMar>
          </w:tcPr>
          <w:p>
            <w:pPr>
              <w:spacing w:after="20"/>
            </w:pPr>
            <w:r>
              <w:rPr>
                <w:sz w:val="18"/>
                <w:szCs w:val="18"/>
              </w:rPr>
              <w:t xml:space="preserve">Classifier calibration</w:t>
            </w:r>
          </w:p>
        </w:tc>
        <w:tc>
          <w:tcPr>
            <w:tcW w:w="1300" w:type="dxa"/>
            <w:tcMar>
              <w:top w:w="60" w:type="dxa"/>
              <w:left w:w="100" w:type="dxa"/>
              <w:bottom w:w="60" w:type="dxa"/>
              <w:right w:w="100" w:type="dxa"/>
            </w:tcMar>
          </w:tcPr>
          <w:p>
            <w:pPr>
              <w:spacing w:after="20"/>
            </w:pPr>
            <w:r>
              <w:rPr>
                <w:sz w:val="18"/>
                <w:szCs w:val="18"/>
              </w:rPr>
              <w:t xml:space="preserve">16</w:t>
            </w:r>
          </w:p>
        </w:tc>
        <w:tc>
          <w:tcPr>
            <w:tcW w:w="1600" w:type="dxa"/>
            <w:tcMar>
              <w:top w:w="60" w:type="dxa"/>
              <w:left w:w="100" w:type="dxa"/>
              <w:bottom w:w="60" w:type="dxa"/>
              <w:right w:w="100" w:type="dxa"/>
            </w:tcMar>
          </w:tcPr>
          <w:p>
            <w:pPr>
              <w:spacing w:after="20"/>
            </w:pPr>
            <w:r>
              <w:rPr>
                <w:sz w:val="18"/>
                <w:szCs w:val="18"/>
              </w:rPr>
              <w:t xml:space="preserve">—</w:t>
            </w:r>
          </w:p>
        </w:tc>
        <w:tc>
          <w:tcPr>
            <w:tcW w:w="3660" w:type="dxa"/>
            <w:tcMar>
              <w:top w:w="60" w:type="dxa"/>
              <w:left w:w="100" w:type="dxa"/>
              <w:bottom w:w="60" w:type="dxa"/>
              <w:right w:w="100" w:type="dxa"/>
            </w:tcMar>
          </w:tcPr>
          <w:p>
            <w:pPr>
              <w:spacing w:after="20"/>
            </w:pPr>
            <w:r>
              <w:rPr>
                <w:sz w:val="18"/>
                <w:szCs w:val="18"/>
              </w:rPr>
              <w:t xml:space="preserve">300 labelled landscape records</w:t>
            </w:r>
          </w:p>
        </w:tc>
      </w:tr>
      <w:tr>
        <w:tblPrEx>
          <w:tblCellMar>
            <w:top w:w="0" w:type="dxa"/>
            <w:bottom w:w="0" w:type="dxa"/>
          </w:tblCellMar>
        </w:tblPrEx>
        <w:tc>
          <w:tcPr>
            <w:tcW w:w="2800" w:type="dxa"/>
            <w:tcMar>
              <w:top w:w="60" w:type="dxa"/>
              <w:left w:w="100" w:type="dxa"/>
              <w:bottom w:w="60" w:type="dxa"/>
              <w:right w:w="100" w:type="dxa"/>
            </w:tcMar>
          </w:tcPr>
          <w:p>
            <w:pPr>
              <w:spacing w:after="20"/>
            </w:pPr>
            <w:r>
              <w:rPr>
                <w:sz w:val="18"/>
                <w:szCs w:val="18"/>
              </w:rPr>
              <w:t xml:space="preserve">Core title and abstract screening</w:t>
            </w:r>
          </w:p>
        </w:tc>
        <w:tc>
          <w:tcPr>
            <w:tcW w:w="1300" w:type="dxa"/>
            <w:tcMar>
              <w:top w:w="60" w:type="dxa"/>
              <w:left w:w="100" w:type="dxa"/>
              <w:bottom w:w="60" w:type="dxa"/>
              <w:right w:w="100" w:type="dxa"/>
            </w:tcMar>
          </w:tcPr>
          <w:p>
            <w:pPr>
              <w:spacing w:after="20"/>
            </w:pPr>
            <w:r>
              <w:rPr>
                <w:sz w:val="18"/>
                <w:szCs w:val="18"/>
              </w:rPr>
              <w:t xml:space="preserve">26</w:t>
            </w:r>
          </w:p>
        </w:tc>
        <w:tc>
          <w:tcPr>
            <w:tcW w:w="1600" w:type="dxa"/>
            <w:tcMar>
              <w:top w:w="60" w:type="dxa"/>
              <w:left w:w="100" w:type="dxa"/>
              <w:bottom w:w="60" w:type="dxa"/>
              <w:right w:w="100" w:type="dxa"/>
            </w:tcMar>
          </w:tcPr>
          <w:p>
            <w:pPr>
              <w:spacing w:after="20"/>
            </w:pPr>
            <w:r>
              <w:rPr>
                <w:sz w:val="18"/>
                <w:szCs w:val="18"/>
              </w:rPr>
              <w:t xml:space="preserve">55 records/hour</w:t>
            </w:r>
          </w:p>
        </w:tc>
        <w:tc>
          <w:tcPr>
            <w:tcW w:w="3660" w:type="dxa"/>
            <w:tcMar>
              <w:top w:w="60" w:type="dxa"/>
              <w:left w:w="100" w:type="dxa"/>
              <w:bottom w:w="60" w:type="dxa"/>
              <w:right w:w="100" w:type="dxa"/>
            </w:tcMar>
          </w:tcPr>
          <w:p>
            <w:pPr>
              <w:spacing w:after="20"/>
            </w:pPr>
            <w:r>
              <w:rPr>
                <w:sz w:val="18"/>
                <w:szCs w:val="18"/>
              </w:rPr>
              <w:t xml:space="preserve">~1,000 records plus audits</w:t>
            </w:r>
          </w:p>
        </w:tc>
      </w:tr>
      <w:tr>
        <w:tblPrEx>
          <w:tblCellMar>
            <w:top w:w="0" w:type="dxa"/>
            <w:bottom w:w="0" w:type="dxa"/>
          </w:tblCellMar>
        </w:tblPrEx>
        <w:tc>
          <w:tcPr>
            <w:tcW w:w="2800" w:type="dxa"/>
            <w:tcMar>
              <w:top w:w="60" w:type="dxa"/>
              <w:left w:w="100" w:type="dxa"/>
              <w:bottom w:w="60" w:type="dxa"/>
              <w:right w:w="100" w:type="dxa"/>
            </w:tcMar>
          </w:tcPr>
          <w:p>
            <w:pPr>
              <w:spacing w:after="20"/>
            </w:pPr>
            <w:r>
              <w:rPr>
                <w:sz w:val="18"/>
                <w:szCs w:val="18"/>
              </w:rPr>
              <w:t xml:space="preserve">Landscape abstract verification and audit</w:t>
            </w:r>
          </w:p>
        </w:tc>
        <w:tc>
          <w:tcPr>
            <w:tcW w:w="1300" w:type="dxa"/>
            <w:tcMar>
              <w:top w:w="60" w:type="dxa"/>
              <w:left w:w="100" w:type="dxa"/>
              <w:bottom w:w="60" w:type="dxa"/>
              <w:right w:w="100" w:type="dxa"/>
            </w:tcMar>
          </w:tcPr>
          <w:p>
            <w:pPr>
              <w:spacing w:after="20"/>
            </w:pPr>
            <w:r>
              <w:rPr>
                <w:sz w:val="18"/>
                <w:szCs w:val="18"/>
              </w:rPr>
              <w:t xml:space="preserve">25</w:t>
            </w:r>
          </w:p>
        </w:tc>
        <w:tc>
          <w:tcPr>
            <w:tcW w:w="1600" w:type="dxa"/>
            <w:tcMar>
              <w:top w:w="60" w:type="dxa"/>
              <w:left w:w="100" w:type="dxa"/>
              <w:bottom w:w="60" w:type="dxa"/>
              <w:right w:w="100" w:type="dxa"/>
            </w:tcMar>
          </w:tcPr>
          <w:p>
            <w:pPr>
              <w:spacing w:after="20"/>
            </w:pPr>
            <w:r>
              <w:rPr>
                <w:sz w:val="18"/>
                <w:szCs w:val="18"/>
              </w:rPr>
              <w:t xml:space="preserve">80 records/hour</w:t>
            </w:r>
          </w:p>
        </w:tc>
        <w:tc>
          <w:tcPr>
            <w:tcW w:w="3660" w:type="dxa"/>
            <w:tcMar>
              <w:top w:w="60" w:type="dxa"/>
              <w:left w:w="100" w:type="dxa"/>
              <w:bottom w:w="60" w:type="dxa"/>
              <w:right w:w="100" w:type="dxa"/>
            </w:tcMar>
          </w:tcPr>
          <w:p>
            <w:pPr>
              <w:spacing w:after="20"/>
            </w:pPr>
            <w:r>
              <w:rPr>
                <w:sz w:val="18"/>
                <w:szCs w:val="18"/>
              </w:rPr>
              <w:t xml:space="preserve">~1,300 inclusions; ~700 audited exclusions</w:t>
            </w:r>
          </w:p>
        </w:tc>
      </w:tr>
      <w:tr>
        <w:tblPrEx>
          <w:tblCellMar>
            <w:top w:w="0" w:type="dxa"/>
            <w:bottom w:w="0" w:type="dxa"/>
          </w:tblCellMar>
        </w:tblPrEx>
        <w:tc>
          <w:tcPr>
            <w:tcW w:w="2800" w:type="dxa"/>
            <w:tcMar>
              <w:top w:w="60" w:type="dxa"/>
              <w:left w:w="100" w:type="dxa"/>
              <w:bottom w:w="60" w:type="dxa"/>
              <w:right w:w="100" w:type="dxa"/>
            </w:tcMar>
          </w:tcPr>
          <w:p>
            <w:pPr>
              <w:spacing w:after="20"/>
            </w:pPr>
            <w:r>
              <w:rPr>
                <w:sz w:val="18"/>
                <w:szCs w:val="18"/>
              </w:rPr>
              <w:t xml:space="preserve">Landscape abstract coding</w:t>
            </w:r>
          </w:p>
        </w:tc>
        <w:tc>
          <w:tcPr>
            <w:tcW w:w="1300" w:type="dxa"/>
            <w:tcMar>
              <w:top w:w="60" w:type="dxa"/>
              <w:left w:w="100" w:type="dxa"/>
              <w:bottom w:w="60" w:type="dxa"/>
              <w:right w:w="100" w:type="dxa"/>
            </w:tcMar>
          </w:tcPr>
          <w:p>
            <w:pPr>
              <w:spacing w:after="20"/>
            </w:pPr>
            <w:r>
              <w:rPr>
                <w:sz w:val="18"/>
                <w:szCs w:val="18"/>
              </w:rPr>
              <w:t xml:space="preserve">30</w:t>
            </w:r>
          </w:p>
        </w:tc>
        <w:tc>
          <w:tcPr>
            <w:tcW w:w="1600" w:type="dxa"/>
            <w:tcMar>
              <w:top w:w="60" w:type="dxa"/>
              <w:left w:w="100" w:type="dxa"/>
              <w:bottom w:w="60" w:type="dxa"/>
              <w:right w:w="100" w:type="dxa"/>
            </w:tcMar>
          </w:tcPr>
          <w:p>
            <w:pPr>
              <w:spacing w:after="20"/>
            </w:pPr>
            <w:r>
              <w:rPr>
                <w:sz w:val="18"/>
                <w:szCs w:val="18"/>
              </w:rPr>
              <w:t xml:space="preserve">40 records/hour</w:t>
            </w:r>
          </w:p>
        </w:tc>
        <w:tc>
          <w:tcPr>
            <w:tcW w:w="3660" w:type="dxa"/>
            <w:tcMar>
              <w:top w:w="60" w:type="dxa"/>
              <w:left w:w="100" w:type="dxa"/>
              <w:bottom w:w="60" w:type="dxa"/>
              <w:right w:w="100" w:type="dxa"/>
            </w:tcMar>
          </w:tcPr>
          <w:p>
            <w:pPr>
              <w:spacing w:after="20"/>
            </w:pPr>
            <w:r>
              <w:rPr>
                <w:sz w:val="18"/>
                <w:szCs w:val="18"/>
              </w:rPr>
              <w:t xml:space="preserve">~1,200 abstracts</w:t>
            </w:r>
          </w:p>
        </w:tc>
      </w:tr>
      <w:tr>
        <w:tblPrEx>
          <w:tblCellMar>
            <w:top w:w="0" w:type="dxa"/>
            <w:bottom w:w="0" w:type="dxa"/>
          </w:tblCellMar>
        </w:tblPrEx>
        <w:tc>
          <w:tcPr>
            <w:tcW w:w="2800" w:type="dxa"/>
            <w:tcMar>
              <w:top w:w="60" w:type="dxa"/>
              <w:left w:w="100" w:type="dxa"/>
              <w:bottom w:w="60" w:type="dxa"/>
              <w:right w:w="100" w:type="dxa"/>
            </w:tcMar>
          </w:tcPr>
          <w:p>
            <w:pPr>
              <w:spacing w:after="20"/>
            </w:pPr>
            <w:r>
              <w:rPr>
                <w:sz w:val="18"/>
                <w:szCs w:val="18"/>
              </w:rPr>
              <w:t xml:space="preserve">Core full-text screening</w:t>
            </w:r>
          </w:p>
        </w:tc>
        <w:tc>
          <w:tcPr>
            <w:tcW w:w="1300" w:type="dxa"/>
            <w:tcMar>
              <w:top w:w="60" w:type="dxa"/>
              <w:left w:w="100" w:type="dxa"/>
              <w:bottom w:w="60" w:type="dxa"/>
              <w:right w:w="100" w:type="dxa"/>
            </w:tcMar>
          </w:tcPr>
          <w:p>
            <w:pPr>
              <w:spacing w:after="20"/>
            </w:pPr>
            <w:r>
              <w:rPr>
                <w:sz w:val="18"/>
                <w:szCs w:val="18"/>
              </w:rPr>
              <w:t xml:space="preserve">40</w:t>
            </w:r>
          </w:p>
        </w:tc>
        <w:tc>
          <w:tcPr>
            <w:tcW w:w="1600" w:type="dxa"/>
            <w:tcMar>
              <w:top w:w="60" w:type="dxa"/>
              <w:left w:w="100" w:type="dxa"/>
              <w:bottom w:w="60" w:type="dxa"/>
              <w:right w:w="100" w:type="dxa"/>
            </w:tcMar>
          </w:tcPr>
          <w:p>
            <w:pPr>
              <w:spacing w:after="20"/>
            </w:pPr>
            <w:r>
              <w:rPr>
                <w:sz w:val="18"/>
                <w:szCs w:val="18"/>
              </w:rPr>
              <w:t xml:space="preserve">5 papers/hour</w:t>
            </w:r>
          </w:p>
        </w:tc>
        <w:tc>
          <w:tcPr>
            <w:tcW w:w="3660" w:type="dxa"/>
            <w:tcMar>
              <w:top w:w="60" w:type="dxa"/>
              <w:left w:w="100" w:type="dxa"/>
              <w:bottom w:w="60" w:type="dxa"/>
              <w:right w:w="100" w:type="dxa"/>
            </w:tcMar>
          </w:tcPr>
          <w:p>
            <w:pPr>
              <w:spacing w:after="20"/>
            </w:pPr>
            <w:r>
              <w:rPr>
                <w:sz w:val="18"/>
                <w:szCs w:val="18"/>
              </w:rPr>
              <w:t xml:space="preserve">~200 papers</w:t>
            </w:r>
          </w:p>
        </w:tc>
      </w:tr>
      <w:tr>
        <w:tblPrEx>
          <w:tblCellMar>
            <w:top w:w="0" w:type="dxa"/>
            <w:bottom w:w="0" w:type="dxa"/>
          </w:tblCellMar>
        </w:tblPrEx>
        <w:tc>
          <w:tcPr>
            <w:tcW w:w="2800" w:type="dxa"/>
            <w:tcMar>
              <w:top w:w="60" w:type="dxa"/>
              <w:left w:w="100" w:type="dxa"/>
              <w:bottom w:w="60" w:type="dxa"/>
              <w:right w:w="100" w:type="dxa"/>
            </w:tcMar>
          </w:tcPr>
          <w:p>
            <w:pPr>
              <w:spacing w:after="20"/>
            </w:pPr>
            <w:r>
              <w:rPr>
                <w:sz w:val="18"/>
                <w:szCs w:val="18"/>
              </w:rPr>
              <w:t xml:space="preserve">Core extraction</w:t>
            </w:r>
          </w:p>
        </w:tc>
        <w:tc>
          <w:tcPr>
            <w:tcW w:w="1300" w:type="dxa"/>
            <w:tcMar>
              <w:top w:w="60" w:type="dxa"/>
              <w:left w:w="100" w:type="dxa"/>
              <w:bottom w:w="60" w:type="dxa"/>
              <w:right w:w="100" w:type="dxa"/>
            </w:tcMar>
          </w:tcPr>
          <w:p>
            <w:pPr>
              <w:spacing w:after="20"/>
            </w:pPr>
            <w:r>
              <w:rPr>
                <w:sz w:val="18"/>
                <w:szCs w:val="18"/>
              </w:rPr>
              <w:t xml:space="preserve">40</w:t>
            </w:r>
          </w:p>
        </w:tc>
        <w:tc>
          <w:tcPr>
            <w:tcW w:w="1600" w:type="dxa"/>
            <w:tcMar>
              <w:top w:w="60" w:type="dxa"/>
              <w:left w:w="100" w:type="dxa"/>
              <w:bottom w:w="60" w:type="dxa"/>
              <w:right w:w="100" w:type="dxa"/>
            </w:tcMar>
          </w:tcPr>
          <w:p>
            <w:pPr>
              <w:spacing w:after="20"/>
            </w:pPr>
            <w:r>
              <w:rPr>
                <w:sz w:val="18"/>
                <w:szCs w:val="18"/>
              </w:rPr>
              <w:t xml:space="preserve">3 papers/hour</w:t>
            </w:r>
          </w:p>
        </w:tc>
        <w:tc>
          <w:tcPr>
            <w:tcW w:w="3660" w:type="dxa"/>
            <w:tcMar>
              <w:top w:w="60" w:type="dxa"/>
              <w:left w:w="100" w:type="dxa"/>
              <w:bottom w:w="60" w:type="dxa"/>
              <w:right w:w="100" w:type="dxa"/>
            </w:tcMar>
          </w:tcPr>
          <w:p>
            <w:pPr>
              <w:spacing w:after="20"/>
            </w:pPr>
            <w:r>
              <w:rPr>
                <w:sz w:val="18"/>
                <w:szCs w:val="18"/>
              </w:rPr>
              <w:t xml:space="preserve">~120 papers</w:t>
            </w:r>
          </w:p>
        </w:tc>
      </w:tr>
      <w:tr>
        <w:tblPrEx>
          <w:tblCellMar>
            <w:top w:w="0" w:type="dxa"/>
            <w:bottom w:w="0" w:type="dxa"/>
          </w:tblCellMar>
        </w:tblPrEx>
        <w:tc>
          <w:tcPr>
            <w:tcW w:w="2800" w:type="dxa"/>
            <w:tcMar>
              <w:top w:w="60" w:type="dxa"/>
              <w:left w:w="100" w:type="dxa"/>
              <w:bottom w:w="60" w:type="dxa"/>
              <w:right w:w="100" w:type="dxa"/>
            </w:tcMar>
          </w:tcPr>
          <w:p>
            <w:pPr>
              <w:spacing w:after="20"/>
            </w:pPr>
            <w:r>
              <w:rPr>
                <w:sz w:val="18"/>
                <w:szCs w:val="18"/>
              </w:rPr>
              <w:t xml:space="preserve">Landscape full-text sample</w:t>
            </w:r>
          </w:p>
        </w:tc>
        <w:tc>
          <w:tcPr>
            <w:tcW w:w="1300" w:type="dxa"/>
            <w:tcMar>
              <w:top w:w="60" w:type="dxa"/>
              <w:left w:w="100" w:type="dxa"/>
              <w:bottom w:w="60" w:type="dxa"/>
              <w:right w:w="100" w:type="dxa"/>
            </w:tcMar>
          </w:tcPr>
          <w:p>
            <w:pPr>
              <w:spacing w:after="20"/>
            </w:pPr>
            <w:r>
              <w:rPr>
                <w:sz w:val="18"/>
                <w:szCs w:val="18"/>
              </w:rPr>
              <w:t xml:space="preserve">32</w:t>
            </w:r>
          </w:p>
        </w:tc>
        <w:tc>
          <w:tcPr>
            <w:tcW w:w="1600" w:type="dxa"/>
            <w:tcMar>
              <w:top w:w="60" w:type="dxa"/>
              <w:left w:w="100" w:type="dxa"/>
              <w:bottom w:w="60" w:type="dxa"/>
              <w:right w:w="100" w:type="dxa"/>
            </w:tcMar>
          </w:tcPr>
          <w:p>
            <w:pPr>
              <w:spacing w:after="20"/>
            </w:pPr>
            <w:r>
              <w:rPr>
                <w:sz w:val="18"/>
                <w:szCs w:val="18"/>
              </w:rPr>
              <w:t xml:space="preserve">2.5 papers/hour</w:t>
            </w:r>
          </w:p>
        </w:tc>
        <w:tc>
          <w:tcPr>
            <w:tcW w:w="3660" w:type="dxa"/>
            <w:tcMar>
              <w:top w:w="60" w:type="dxa"/>
              <w:left w:w="100" w:type="dxa"/>
              <w:bottom w:w="60" w:type="dxa"/>
              <w:right w:w="100" w:type="dxa"/>
            </w:tcMar>
          </w:tcPr>
          <w:p>
            <w:pPr>
              <w:spacing w:after="20"/>
            </w:pPr>
            <w:r>
              <w:rPr>
                <w:sz w:val="18"/>
                <w:szCs w:val="18"/>
              </w:rPr>
              <w:t xml:space="preserve">~80 papers</w:t>
            </w:r>
          </w:p>
        </w:tc>
      </w:tr>
      <w:tr>
        <w:tblPrEx>
          <w:tblCellMar>
            <w:top w:w="0" w:type="dxa"/>
            <w:bottom w:w="0" w:type="dxa"/>
          </w:tblCellMar>
        </w:tblPrEx>
        <w:tc>
          <w:tcPr>
            <w:tcW w:w="2800" w:type="dxa"/>
            <w:tcMar>
              <w:top w:w="60" w:type="dxa"/>
              <w:left w:w="100" w:type="dxa"/>
              <w:bottom w:w="60" w:type="dxa"/>
              <w:right w:w="100" w:type="dxa"/>
            </w:tcMar>
          </w:tcPr>
          <w:p>
            <w:pPr>
              <w:spacing w:after="20"/>
            </w:pPr>
            <w:r>
              <w:rPr>
                <w:sz w:val="18"/>
                <w:szCs w:val="18"/>
              </w:rPr>
              <w:t xml:space="preserve">Snowballing</w:t>
            </w:r>
          </w:p>
        </w:tc>
        <w:tc>
          <w:tcPr>
            <w:tcW w:w="1300" w:type="dxa"/>
            <w:tcMar>
              <w:top w:w="60" w:type="dxa"/>
              <w:left w:w="100" w:type="dxa"/>
              <w:bottom w:w="60" w:type="dxa"/>
              <w:right w:w="100" w:type="dxa"/>
            </w:tcMar>
          </w:tcPr>
          <w:p>
            <w:pPr>
              <w:spacing w:after="20"/>
            </w:pPr>
            <w:r>
              <w:rPr>
                <w:sz w:val="18"/>
                <w:szCs w:val="18"/>
              </w:rPr>
              <w:t xml:space="preserve">10</w:t>
            </w:r>
          </w:p>
        </w:tc>
        <w:tc>
          <w:tcPr>
            <w:tcW w:w="1600" w:type="dxa"/>
            <w:tcMar>
              <w:top w:w="60" w:type="dxa"/>
              <w:left w:w="100" w:type="dxa"/>
              <w:bottom w:w="60" w:type="dxa"/>
              <w:right w:w="100" w:type="dxa"/>
            </w:tcMar>
          </w:tcPr>
          <w:p>
            <w:pPr>
              <w:spacing w:after="20"/>
            </w:pPr>
            <w:r>
              <w:rPr>
                <w:sz w:val="18"/>
                <w:szCs w:val="18"/>
              </w:rPr>
              <w:t xml:space="preserve">—</w:t>
            </w:r>
          </w:p>
        </w:tc>
        <w:tc>
          <w:tcPr>
            <w:tcW w:w="3660" w:type="dxa"/>
            <w:tcMar>
              <w:top w:w="60" w:type="dxa"/>
              <w:left w:w="100" w:type="dxa"/>
              <w:bottom w:w="60" w:type="dxa"/>
              <w:right w:w="100" w:type="dxa"/>
            </w:tcMar>
          </w:tcPr>
          <w:p>
            <w:pPr>
              <w:spacing w:after="20"/>
            </w:pPr>
            <w:r>
              <w:rPr>
                <w:sz w:val="18"/>
                <w:szCs w:val="18"/>
              </w:rPr>
              <w:t xml:space="preserve">~250 references; ~40 screened in</w:t>
            </w:r>
          </w:p>
        </w:tc>
      </w:tr>
      <w:tr>
        <w:tblPrEx>
          <w:tblCellMar>
            <w:top w:w="0" w:type="dxa"/>
            <w:bottom w:w="0" w:type="dxa"/>
          </w:tblCellMar>
        </w:tblPrEx>
        <w:tc>
          <w:tcPr>
            <w:tcW w:w="2800" w:type="dxa"/>
            <w:tcMar>
              <w:top w:w="60" w:type="dxa"/>
              <w:left w:w="100" w:type="dxa"/>
              <w:bottom w:w="60" w:type="dxa"/>
              <w:right w:w="100" w:type="dxa"/>
            </w:tcMar>
          </w:tcPr>
          <w:p>
            <w:pPr>
              <w:spacing w:after="20"/>
            </w:pPr>
            <w:r>
              <w:rPr>
                <w:sz w:val="18"/>
                <w:szCs w:val="18"/>
              </w:rPr>
              <w:t xml:space="preserve">Synthesis and writing</w:t>
            </w:r>
          </w:p>
        </w:tc>
        <w:tc>
          <w:tcPr>
            <w:tcW w:w="1300" w:type="dxa"/>
            <w:tcMar>
              <w:top w:w="60" w:type="dxa"/>
              <w:left w:w="100" w:type="dxa"/>
              <w:bottom w:w="60" w:type="dxa"/>
              <w:right w:w="100" w:type="dxa"/>
            </w:tcMar>
          </w:tcPr>
          <w:p>
            <w:pPr>
              <w:spacing w:after="20"/>
            </w:pPr>
            <w:r>
              <w:rPr>
                <w:sz w:val="18"/>
                <w:szCs w:val="18"/>
              </w:rPr>
              <w:t xml:space="preserve">40</w:t>
            </w:r>
          </w:p>
        </w:tc>
        <w:tc>
          <w:tcPr>
            <w:tcW w:w="1600" w:type="dxa"/>
            <w:tcMar>
              <w:top w:w="60" w:type="dxa"/>
              <w:left w:w="100" w:type="dxa"/>
              <w:bottom w:w="60" w:type="dxa"/>
              <w:right w:w="100" w:type="dxa"/>
            </w:tcMar>
          </w:tcPr>
          <w:p>
            <w:pPr>
              <w:spacing w:after="20"/>
            </w:pPr>
            <w:r>
              <w:rPr>
                <w:sz w:val="18"/>
                <w:szCs w:val="18"/>
              </w:rPr>
              <w:t xml:space="preserve">—</w:t>
            </w:r>
          </w:p>
        </w:tc>
        <w:tc>
          <w:tcPr>
            <w:tcW w:w="3660" w:type="dxa"/>
            <w:tcMar>
              <w:top w:w="60" w:type="dxa"/>
              <w:left w:w="100" w:type="dxa"/>
              <w:bottom w:w="60" w:type="dxa"/>
              <w:right w:w="100" w:type="dxa"/>
            </w:tcMar>
          </w:tcPr>
          <w:p>
            <w:pPr>
              <w:spacing w:after="20"/>
            </w:pPr>
            <w:r>
              <w:rPr>
                <w:sz w:val="18"/>
                <w:szCs w:val="18"/>
              </w:rPr>
              <w:t xml:space="preserve">—</w:t>
            </w:r>
          </w:p>
        </w:tc>
      </w:tr>
      <w:tr>
        <w:tblPrEx>
          <w:tblCellMar>
            <w:top w:w="0" w:type="dxa"/>
            <w:bottom w:w="0" w:type="dxa"/>
          </w:tblCellMar>
        </w:tblPrEx>
        <w:tc>
          <w:tcPr>
            <w:tcW w:w="2800" w:type="dxa"/>
            <w:tcMar>
              <w:top w:w="60" w:type="dxa"/>
              <w:left w:w="100" w:type="dxa"/>
              <w:bottom w:w="60" w:type="dxa"/>
              <w:right w:w="100" w:type="dxa"/>
            </w:tcMar>
          </w:tcPr>
          <w:p>
            <w:pPr>
              <w:spacing w:after="20"/>
            </w:pPr>
            <w:r>
              <w:rPr>
                <w:sz w:val="18"/>
                <w:szCs w:val="18"/>
              </w:rPr>
              <w:t xml:space="preserve">Total</w:t>
            </w:r>
          </w:p>
        </w:tc>
        <w:tc>
          <w:tcPr>
            <w:tcW w:w="1300" w:type="dxa"/>
            <w:tcMar>
              <w:top w:w="60" w:type="dxa"/>
              <w:left w:w="100" w:type="dxa"/>
              <w:bottom w:w="60" w:type="dxa"/>
              <w:right w:w="100" w:type="dxa"/>
            </w:tcMar>
          </w:tcPr>
          <w:p>
            <w:pPr>
              <w:spacing w:after="20"/>
            </w:pPr>
            <w:r>
              <w:rPr>
                <w:sz w:val="18"/>
                <w:szCs w:val="18"/>
              </w:rPr>
              <w:t xml:space="preserve">309</w:t>
            </w:r>
          </w:p>
        </w:tc>
        <w:tc>
          <w:tcPr>
            <w:tcW w:w="1600" w:type="dxa"/>
            <w:tcMar>
              <w:top w:w="60" w:type="dxa"/>
              <w:left w:w="100" w:type="dxa"/>
              <w:bottom w:w="60" w:type="dxa"/>
              <w:right w:w="100" w:type="dxa"/>
            </w:tcMar>
          </w:tcPr>
          <w:p>
            <w:pPr>
              <w:spacing w:after="20"/>
            </w:pPr>
            <w:r>
              <w:rPr>
                <w:sz w:val="18"/>
                <w:szCs w:val="18"/>
              </w:rPr>
              <w:t xml:space="preserve">—</w:t>
            </w:r>
          </w:p>
        </w:tc>
        <w:tc>
          <w:tcPr>
            <w:tcW w:w="3660" w:type="dxa"/>
            <w:tcMar>
              <w:top w:w="60" w:type="dxa"/>
              <w:left w:w="100" w:type="dxa"/>
              <w:bottom w:w="60" w:type="dxa"/>
              <w:right w:w="100" w:type="dxa"/>
            </w:tcMar>
          </w:tcPr>
          <w:p>
            <w:pPr>
              <w:spacing w:after="20"/>
            </w:pPr>
            <w:r>
              <w:rPr>
                <w:sz w:val="18"/>
                <w:szCs w:val="18"/>
              </w:rPr>
              <w:t xml:space="preserve">About 103 hours per reviewer</w:t>
            </w:r>
          </w:p>
        </w:tc>
      </w:tr>
    </w:tbl>
    <w:p>
      <w:pPr>
        <w:spacing w:before="60" w:after="200"/>
      </w:pPr>
      <w:r>
        <w:rPr>
          <w:i/>
          <w:iCs/>
          <w:sz w:val="19"/>
          <w:szCs w:val="19"/>
        </w:rPr>
        <w:t xml:space="preserve">Table 8. Budget for three reviewers over four weeks. Volumes assume the expected outcome in §8.2 and are re-estimated after selection. If the budget overruns, the landscape sample is reduced first, then the landscape window.</w:t>
      </w:r>
    </w:p>
    <w:p>
      <w:pPr>
        <w:spacing w:after="120" w:line="276" w:lineRule="auto"/>
      </w:pPr>
      <w:r>
        <w:t xml:space="preserve">Expected yield: 110 to 150 core papers at full text, about 1,200 landscape abstracts, and about 80 landscape papers at full text, giving 150 to 200 technique records. The paper describes itself as a systematic mapping study, not an exhaustive systematic review.</w:t>
      </w:r>
    </w:p>
    <w:p>
      <w:pPr>
        <w:pStyle w:val="Heading1"/>
      </w:pPr>
      <w:r>
        <w:t xml:space="preserve">10. Extraction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400"/>
        <w:gridCol w:w="5860"/>
      </w:tblGrid>
      <w:tr>
        <w:tblPrEx>
          <w:tblCellMar>
            <w:top w:w="0" w:type="dxa"/>
            <w:bottom w:w="0" w:type="dxa"/>
          </w:tblCellMar>
        </w:tblPrEx>
        <w:trPr>
          <w:tblHeader/>
        </w:trPr>
        <w:tc>
          <w:tcPr>
            <w:tcW w:w="2100" w:type="dxa"/>
            <w:shd w:val="clear" w:color="auto" w:fill="E8EAED"/>
            <w:tcMar>
              <w:top w:w="60" w:type="dxa"/>
              <w:left w:w="100" w:type="dxa"/>
              <w:bottom w:w="60" w:type="dxa"/>
              <w:right w:w="100" w:type="dxa"/>
            </w:tcMar>
          </w:tcPr>
          <w:p>
            <w:pPr>
              <w:spacing w:after="20"/>
            </w:pPr>
            <w:r>
              <w:rPr>
                <w:b/>
                <w:bCs/>
                <w:sz w:val="18"/>
                <w:szCs w:val="18"/>
              </w:rPr>
              <w:t xml:space="preserve">Field</w:t>
            </w:r>
          </w:p>
        </w:tc>
        <w:tc>
          <w:tcPr>
            <w:tcW w:w="1400" w:type="dxa"/>
            <w:shd w:val="clear" w:color="auto" w:fill="E8EAED"/>
            <w:tcMar>
              <w:top w:w="60" w:type="dxa"/>
              <w:left w:w="100" w:type="dxa"/>
              <w:bottom w:w="60" w:type="dxa"/>
              <w:right w:w="100" w:type="dxa"/>
            </w:tcMar>
          </w:tcPr>
          <w:p>
            <w:pPr>
              <w:spacing w:after="20"/>
            </w:pPr>
            <w:r>
              <w:rPr>
                <w:b/>
                <w:bCs/>
                <w:sz w:val="18"/>
                <w:szCs w:val="18"/>
              </w:rPr>
              <w:t xml:space="preserve">Scope</w:t>
            </w:r>
          </w:p>
        </w:tc>
        <w:tc>
          <w:tcPr>
            <w:tcW w:w="5860" w:type="dxa"/>
            <w:shd w:val="clear" w:color="auto" w:fill="E8EAED"/>
            <w:tcMar>
              <w:top w:w="60" w:type="dxa"/>
              <w:left w:w="100" w:type="dxa"/>
              <w:bottom w:w="60" w:type="dxa"/>
              <w:right w:w="100" w:type="dxa"/>
            </w:tcMar>
          </w:tcPr>
          <w:p>
            <w:pPr>
              <w:spacing w:after="20"/>
            </w:pPr>
            <w:r>
              <w:rPr>
                <w:b/>
                <w:bCs/>
                <w:sz w:val="18"/>
                <w:szCs w:val="18"/>
              </w:rPr>
              <w:t xml:space="preserve">Coding</w:t>
            </w:r>
          </w:p>
        </w:tc>
      </w:tr>
      <w:tr>
        <w:tblPrEx>
          <w:tblCellMar>
            <w:top w:w="0" w:type="dxa"/>
            <w:bottom w:w="0" w:type="dxa"/>
          </w:tblCellMar>
        </w:tblPrEx>
        <w:tc>
          <w:tcPr>
            <w:tcW w:w="2100" w:type="dxa"/>
            <w:tcMar>
              <w:top w:w="60" w:type="dxa"/>
              <w:left w:w="100" w:type="dxa"/>
              <w:bottom w:w="60" w:type="dxa"/>
              <w:right w:w="100" w:type="dxa"/>
            </w:tcMar>
          </w:tcPr>
          <w:p>
            <w:pPr>
              <w:spacing w:after="20"/>
            </w:pPr>
            <w:r>
              <w:rPr>
                <w:sz w:val="18"/>
                <w:szCs w:val="18"/>
              </w:rPr>
              <w:t xml:space="preserve">disposition</w:t>
            </w:r>
          </w:p>
        </w:tc>
        <w:tc>
          <w:tcPr>
            <w:tcW w:w="1400" w:type="dxa"/>
            <w:tcMar>
              <w:top w:w="60" w:type="dxa"/>
              <w:left w:w="100" w:type="dxa"/>
              <w:bottom w:w="60" w:type="dxa"/>
              <w:right w:w="100" w:type="dxa"/>
            </w:tcMar>
          </w:tcPr>
          <w:p>
            <w:pPr>
              <w:spacing w:after="20"/>
            </w:pPr>
            <w:r>
              <w:rPr>
                <w:sz w:val="18"/>
                <w:szCs w:val="18"/>
              </w:rPr>
              <w:t xml:space="preserve">core</w:t>
            </w:r>
          </w:p>
        </w:tc>
        <w:tc>
          <w:tcPr>
            <w:tcW w:w="5860" w:type="dxa"/>
            <w:tcMar>
              <w:top w:w="60" w:type="dxa"/>
              <w:left w:w="100" w:type="dxa"/>
              <w:bottom w:w="60" w:type="dxa"/>
              <w:right w:w="100" w:type="dxa"/>
            </w:tcMar>
          </w:tcPr>
          <w:p>
            <w:pPr>
              <w:spacing w:after="20"/>
            </w:pPr>
            <w:r>
              <w:rPr>
                <w:sz w:val="18"/>
                <w:szCs w:val="18"/>
              </w:rPr>
              <w:t xml:space="preserve">D0 to D3 (§4.1), for the deployed output. Coders record the output object used</w:t>
            </w:r>
          </w:p>
        </w:tc>
      </w:tr>
      <w:tr>
        <w:tblPrEx>
          <w:tblCellMar>
            <w:top w:w="0" w:type="dxa"/>
            <w:bottom w:w="0" w:type="dxa"/>
          </w:tblCellMar>
        </w:tblPrEx>
        <w:tc>
          <w:tcPr>
            <w:tcW w:w="2100" w:type="dxa"/>
            <w:tcMar>
              <w:top w:w="60" w:type="dxa"/>
              <w:left w:w="100" w:type="dxa"/>
              <w:bottom w:w="60" w:type="dxa"/>
              <w:right w:w="100" w:type="dxa"/>
            </w:tcMar>
          </w:tcPr>
          <w:p>
            <w:pPr>
              <w:spacing w:after="20"/>
            </w:pPr>
            <w:r>
              <w:rPr>
                <w:sz w:val="18"/>
                <w:szCs w:val="18"/>
              </w:rPr>
              <w:t xml:space="preserve">disposition_stated</w:t>
            </w:r>
          </w:p>
        </w:tc>
        <w:tc>
          <w:tcPr>
            <w:tcW w:w="1400" w:type="dxa"/>
            <w:tcMar>
              <w:top w:w="60" w:type="dxa"/>
              <w:left w:w="100" w:type="dxa"/>
              <w:bottom w:w="60" w:type="dxa"/>
              <w:right w:w="100" w:type="dxa"/>
            </w:tcMar>
          </w:tcPr>
          <w:p>
            <w:pPr>
              <w:spacing w:after="20"/>
            </w:pPr>
            <w:r>
              <w:rPr>
                <w:sz w:val="18"/>
                <w:szCs w:val="18"/>
              </w:rPr>
              <w:t xml:space="preserve">core</w:t>
            </w:r>
          </w:p>
        </w:tc>
        <w:tc>
          <w:tcPr>
            <w:tcW w:w="5860" w:type="dxa"/>
            <w:tcMar>
              <w:top w:w="60" w:type="dxa"/>
              <w:left w:w="100" w:type="dxa"/>
              <w:bottom w:w="60" w:type="dxa"/>
              <w:right w:w="100" w:type="dxa"/>
            </w:tcMar>
          </w:tcPr>
          <w:p>
            <w:pPr>
              <w:spacing w:after="20"/>
            </w:pPr>
            <w:r>
              <w:rPr>
                <w:sz w:val="18"/>
                <w:szCs w:val="18"/>
              </w:rPr>
              <w:t xml:space="preserve">The disposition the paper claims, if any. Differences from the coded value answer RQ1b</w:t>
            </w:r>
          </w:p>
        </w:tc>
      </w:tr>
      <w:tr>
        <w:tblPrEx>
          <w:tblCellMar>
            <w:top w:w="0" w:type="dxa"/>
            <w:bottom w:w="0" w:type="dxa"/>
          </w:tblCellMar>
        </w:tblPrEx>
        <w:tc>
          <w:tcPr>
            <w:tcW w:w="2100" w:type="dxa"/>
            <w:tcMar>
              <w:top w:w="60" w:type="dxa"/>
              <w:left w:w="100" w:type="dxa"/>
              <w:bottom w:w="60" w:type="dxa"/>
              <w:right w:w="100" w:type="dxa"/>
            </w:tcMar>
          </w:tcPr>
          <w:p>
            <w:pPr>
              <w:spacing w:after="20"/>
            </w:pPr>
            <w:r>
              <w:rPr>
                <w:sz w:val="18"/>
                <w:szCs w:val="18"/>
              </w:rPr>
              <w:t xml:space="preserve">preserved_content</w:t>
            </w:r>
          </w:p>
        </w:tc>
        <w:tc>
          <w:tcPr>
            <w:tcW w:w="1400" w:type="dxa"/>
            <w:tcMar>
              <w:top w:w="60" w:type="dxa"/>
              <w:left w:w="100" w:type="dxa"/>
              <w:bottom w:w="60" w:type="dxa"/>
              <w:right w:w="100" w:type="dxa"/>
            </w:tcMar>
          </w:tcPr>
          <w:p>
            <w:pPr>
              <w:spacing w:after="20"/>
            </w:pPr>
            <w:r>
              <w:rPr>
                <w:sz w:val="18"/>
                <w:szCs w:val="18"/>
              </w:rPr>
              <w:t xml:space="preserve">D2 and D3</w:t>
            </w:r>
          </w:p>
        </w:tc>
        <w:tc>
          <w:tcPr>
            <w:tcW w:w="5860" w:type="dxa"/>
            <w:tcMar>
              <w:top w:w="60" w:type="dxa"/>
              <w:left w:w="100" w:type="dxa"/>
              <w:bottom w:w="60" w:type="dxa"/>
              <w:right w:w="100" w:type="dxa"/>
            </w:tcMar>
          </w:tcPr>
          <w:p>
            <w:pPr>
              <w:spacing w:after="20"/>
            </w:pPr>
            <w:r>
              <w:rPr>
                <w:sz w:val="18"/>
                <w:szCs w:val="18"/>
              </w:rPr>
              <w:t xml:space="preserve">Magnitude; source attribution; grounds; confidence; conflict structure. Multi-select</w:t>
            </w:r>
          </w:p>
        </w:tc>
      </w:tr>
      <w:tr>
        <w:tblPrEx>
          <w:tblCellMar>
            <w:top w:w="0" w:type="dxa"/>
            <w:bottom w:w="0" w:type="dxa"/>
          </w:tblCellMar>
        </w:tblPrEx>
        <w:tc>
          <w:tcPr>
            <w:tcW w:w="2100" w:type="dxa"/>
            <w:tcMar>
              <w:top w:w="60" w:type="dxa"/>
              <w:left w:w="100" w:type="dxa"/>
              <w:bottom w:w="60" w:type="dxa"/>
              <w:right w:w="100" w:type="dxa"/>
            </w:tcMar>
          </w:tcPr>
          <w:p>
            <w:pPr>
              <w:spacing w:after="20"/>
            </w:pPr>
            <w:r>
              <w:rPr>
                <w:sz w:val="18"/>
                <w:szCs w:val="18"/>
              </w:rPr>
              <w:t xml:space="preserve">account</w:t>
            </w:r>
          </w:p>
        </w:tc>
        <w:tc>
          <w:tcPr>
            <w:tcW w:w="1400" w:type="dxa"/>
            <w:tcMar>
              <w:top w:w="60" w:type="dxa"/>
              <w:left w:w="100" w:type="dxa"/>
              <w:bottom w:w="60" w:type="dxa"/>
              <w:right w:w="100" w:type="dxa"/>
            </w:tcMar>
          </w:tcPr>
          <w:p>
            <w:pPr>
              <w:spacing w:after="20"/>
            </w:pPr>
            <w:r>
              <w:rPr>
                <w:sz w:val="18"/>
                <w:szCs w:val="18"/>
              </w:rPr>
              <w:t xml:space="preserve">core</w:t>
            </w:r>
          </w:p>
        </w:tc>
        <w:tc>
          <w:tcPr>
            <w:tcW w:w="5860" w:type="dxa"/>
            <w:tcMar>
              <w:top w:w="60" w:type="dxa"/>
              <w:left w:w="100" w:type="dxa"/>
              <w:bottom w:w="60" w:type="dxa"/>
              <w:right w:w="100" w:type="dxa"/>
            </w:tcMar>
          </w:tcPr>
          <w:p>
            <w:pPr>
              <w:spacing w:after="20"/>
            </w:pPr>
            <w:r>
              <w:rPr>
                <w:sz w:val="18"/>
                <w:szCs w:val="18"/>
              </w:rPr>
              <w:t xml:space="preserve">E, W, R, or U (§4.2), primary and optional secondary</w:t>
            </w:r>
          </w:p>
        </w:tc>
      </w:tr>
      <w:tr>
        <w:tblPrEx>
          <w:tblCellMar>
            <w:top w:w="0" w:type="dxa"/>
            <w:bottom w:w="0" w:type="dxa"/>
          </w:tblCellMar>
        </w:tblPrEx>
        <w:tc>
          <w:tcPr>
            <w:tcW w:w="2100" w:type="dxa"/>
            <w:tcMar>
              <w:top w:w="60" w:type="dxa"/>
              <w:left w:w="100" w:type="dxa"/>
              <w:bottom w:w="60" w:type="dxa"/>
              <w:right w:w="100" w:type="dxa"/>
            </w:tcMar>
          </w:tcPr>
          <w:p>
            <w:pPr>
              <w:spacing w:after="20"/>
            </w:pPr>
            <w:r>
              <w:rPr>
                <w:sz w:val="18"/>
                <w:szCs w:val="18"/>
              </w:rPr>
              <w:t xml:space="preserve">welfare_criterion</w:t>
            </w:r>
          </w:p>
        </w:tc>
        <w:tc>
          <w:tcPr>
            <w:tcW w:w="1400" w:type="dxa"/>
            <w:tcMar>
              <w:top w:w="60" w:type="dxa"/>
              <w:left w:w="100" w:type="dxa"/>
              <w:bottom w:w="60" w:type="dxa"/>
              <w:right w:w="100" w:type="dxa"/>
            </w:tcMar>
          </w:tcPr>
          <w:p>
            <w:pPr>
              <w:spacing w:after="20"/>
            </w:pPr>
            <w:r>
              <w:rPr>
                <w:sz w:val="18"/>
                <w:szCs w:val="18"/>
              </w:rPr>
              <w:t xml:space="preserve">W or derivable</w:t>
            </w:r>
          </w:p>
        </w:tc>
        <w:tc>
          <w:tcPr>
            <w:tcW w:w="5860" w:type="dxa"/>
            <w:tcMar>
              <w:top w:w="60" w:type="dxa"/>
              <w:left w:w="100" w:type="dxa"/>
              <w:bottom w:w="60" w:type="dxa"/>
              <w:right w:w="100" w:type="dxa"/>
            </w:tcMar>
          </w:tcPr>
          <w:p>
            <w:pPr>
              <w:spacing w:after="20"/>
            </w:pPr>
            <w:r>
              <w:rPr>
                <w:sz w:val="18"/>
                <w:szCs w:val="18"/>
              </w:rPr>
              <w:t xml:space="preserve">From the list in §4.2, with status: stated, derived (reduction cited), or none</w:t>
            </w:r>
          </w:p>
        </w:tc>
      </w:tr>
      <w:tr>
        <w:tblPrEx>
          <w:tblCellMar>
            <w:top w:w="0" w:type="dxa"/>
            <w:bottom w:w="0" w:type="dxa"/>
          </w:tblCellMar>
        </w:tblPrEx>
        <w:tc>
          <w:tcPr>
            <w:tcW w:w="2100" w:type="dxa"/>
            <w:tcMar>
              <w:top w:w="60" w:type="dxa"/>
              <w:left w:w="100" w:type="dxa"/>
              <w:bottom w:w="60" w:type="dxa"/>
              <w:right w:w="100" w:type="dxa"/>
            </w:tcMar>
          </w:tcPr>
          <w:p>
            <w:pPr>
              <w:spacing w:after="20"/>
            </w:pPr>
            <w:r>
              <w:rPr>
                <w:sz w:val="18"/>
                <w:szCs w:val="18"/>
              </w:rPr>
              <w:t xml:space="preserve">comparability</w:t>
            </w:r>
          </w:p>
        </w:tc>
        <w:tc>
          <w:tcPr>
            <w:tcW w:w="1400" w:type="dxa"/>
            <w:tcMar>
              <w:top w:w="60" w:type="dxa"/>
              <w:left w:w="100" w:type="dxa"/>
              <w:bottom w:w="60" w:type="dxa"/>
              <w:right w:w="100" w:type="dxa"/>
            </w:tcMar>
          </w:tcPr>
          <w:p>
            <w:pPr>
              <w:spacing w:after="20"/>
            </w:pPr>
            <w:r>
              <w:rPr>
                <w:sz w:val="18"/>
                <w:szCs w:val="18"/>
              </w:rPr>
              <w:t xml:space="preserve">core</w:t>
            </w:r>
          </w:p>
        </w:tc>
        <w:tc>
          <w:tcPr>
            <w:tcW w:w="5860" w:type="dxa"/>
            <w:tcMar>
              <w:top w:w="60" w:type="dxa"/>
              <w:left w:w="100" w:type="dxa"/>
              <w:bottom w:w="60" w:type="dxa"/>
              <w:right w:w="100" w:type="dxa"/>
            </w:tcMar>
          </w:tcPr>
          <w:p>
            <w:pPr>
              <w:spacing w:after="20"/>
            </w:pPr>
            <w:r>
              <w:rPr>
                <w:sz w:val="18"/>
                <w:szCs w:val="18"/>
              </w:rPr>
              <w:t xml:space="preserve">Ordinal non-comparable; cardinal non-comparable; cardinal unit-comparable; ordinal level-comparable; fully comparable; imposed by normalization</w:t>
            </w:r>
          </w:p>
        </w:tc>
      </w:tr>
      <w:tr>
        <w:tblPrEx>
          <w:tblCellMar>
            <w:top w:w="0" w:type="dxa"/>
            <w:bottom w:w="0" w:type="dxa"/>
          </w:tblCellMar>
        </w:tblPrEx>
        <w:tc>
          <w:tcPr>
            <w:tcW w:w="2100" w:type="dxa"/>
            <w:tcMar>
              <w:top w:w="60" w:type="dxa"/>
              <w:left w:w="100" w:type="dxa"/>
              <w:bottom w:w="60" w:type="dxa"/>
              <w:right w:w="100" w:type="dxa"/>
            </w:tcMar>
          </w:tcPr>
          <w:p>
            <w:pPr>
              <w:spacing w:after="20"/>
            </w:pPr>
            <w:r>
              <w:rPr>
                <w:sz w:val="18"/>
                <w:szCs w:val="18"/>
              </w:rPr>
              <w:t xml:space="preserve">C1–C3</w:t>
            </w:r>
          </w:p>
        </w:tc>
        <w:tc>
          <w:tcPr>
            <w:tcW w:w="1400" w:type="dxa"/>
            <w:tcMar>
              <w:top w:w="60" w:type="dxa"/>
              <w:left w:w="100" w:type="dxa"/>
              <w:bottom w:w="60" w:type="dxa"/>
              <w:right w:w="100" w:type="dxa"/>
            </w:tcMar>
          </w:tcPr>
          <w:p>
            <w:pPr>
              <w:spacing w:after="20"/>
            </w:pPr>
            <w:r>
              <w:rPr>
                <w:sz w:val="18"/>
                <w:szCs w:val="18"/>
              </w:rPr>
              <w:t xml:space="preserve">core</w:t>
            </w:r>
          </w:p>
        </w:tc>
        <w:tc>
          <w:tcPr>
            <w:tcW w:w="5860" w:type="dxa"/>
            <w:tcMar>
              <w:top w:w="60" w:type="dxa"/>
              <w:left w:w="100" w:type="dxa"/>
              <w:bottom w:w="60" w:type="dxa"/>
              <w:right w:w="100" w:type="dxa"/>
            </w:tcMar>
          </w:tcPr>
          <w:p>
            <w:pPr>
              <w:spacing w:after="20"/>
            </w:pPr>
            <w:r>
              <w:rPr>
                <w:sz w:val="18"/>
                <w:szCs w:val="18"/>
              </w:rPr>
              <w:t xml:space="preserve">Satisfied with proof; satisfied empirically; partially addressed; not addressed; provably impossible (citation required)</w:t>
            </w:r>
          </w:p>
        </w:tc>
      </w:tr>
      <w:tr>
        <w:tblPrEx>
          <w:tblCellMar>
            <w:top w:w="0" w:type="dxa"/>
            <w:bottom w:w="0" w:type="dxa"/>
          </w:tblCellMar>
        </w:tblPrEx>
        <w:tc>
          <w:tcPr>
            <w:tcW w:w="2100" w:type="dxa"/>
            <w:tcMar>
              <w:top w:w="60" w:type="dxa"/>
              <w:left w:w="100" w:type="dxa"/>
              <w:bottom w:w="60" w:type="dxa"/>
              <w:right w:w="100" w:type="dxa"/>
            </w:tcMar>
          </w:tcPr>
          <w:p>
            <w:pPr>
              <w:spacing w:after="20"/>
            </w:pPr>
            <w:r>
              <w:rPr>
                <w:sz w:val="18"/>
                <w:szCs w:val="18"/>
              </w:rPr>
              <w:t xml:space="preserve">A1–A6</w:t>
            </w:r>
          </w:p>
        </w:tc>
        <w:tc>
          <w:tcPr>
            <w:tcW w:w="1400" w:type="dxa"/>
            <w:tcMar>
              <w:top w:w="60" w:type="dxa"/>
              <w:left w:w="100" w:type="dxa"/>
              <w:bottom w:w="60" w:type="dxa"/>
              <w:right w:w="100" w:type="dxa"/>
            </w:tcMar>
          </w:tcPr>
          <w:p>
            <w:pPr>
              <w:spacing w:after="20"/>
            </w:pPr>
            <w:r>
              <w:rPr>
                <w:sz w:val="18"/>
                <w:szCs w:val="18"/>
              </w:rPr>
              <w:t xml:space="preserve">core</w:t>
            </w:r>
          </w:p>
        </w:tc>
        <w:tc>
          <w:tcPr>
            <w:tcW w:w="5860" w:type="dxa"/>
            <w:tcMar>
              <w:top w:w="60" w:type="dxa"/>
              <w:left w:w="100" w:type="dxa"/>
              <w:bottom w:w="60" w:type="dxa"/>
              <w:right w:w="100" w:type="dxa"/>
            </w:tcMar>
          </w:tcPr>
          <w:p>
            <w:pPr>
              <w:spacing w:after="20"/>
            </w:pPr>
            <w:r>
              <w:rPr>
                <w:sz w:val="18"/>
                <w:szCs w:val="18"/>
              </w:rPr>
              <w:t xml:space="preserve">Per Table 5; inferred values flagged</w:t>
            </w:r>
          </w:p>
        </w:tc>
      </w:tr>
      <w:tr>
        <w:tblPrEx>
          <w:tblCellMar>
            <w:top w:w="0" w:type="dxa"/>
            <w:bottom w:w="0" w:type="dxa"/>
          </w:tblCellMar>
        </w:tblPrEx>
        <w:tc>
          <w:tcPr>
            <w:tcW w:w="2100" w:type="dxa"/>
            <w:tcMar>
              <w:top w:w="60" w:type="dxa"/>
              <w:left w:w="100" w:type="dxa"/>
              <w:bottom w:w="60" w:type="dxa"/>
              <w:right w:w="100" w:type="dxa"/>
            </w:tcMar>
          </w:tcPr>
          <w:p>
            <w:pPr>
              <w:spacing w:after="20"/>
            </w:pPr>
            <w:r>
              <w:rPr>
                <w:sz w:val="18"/>
                <w:szCs w:val="18"/>
              </w:rPr>
              <w:t xml:space="preserve">source_literature</w:t>
            </w:r>
          </w:p>
        </w:tc>
        <w:tc>
          <w:tcPr>
            <w:tcW w:w="1400" w:type="dxa"/>
            <w:tcMar>
              <w:top w:w="60" w:type="dxa"/>
              <w:left w:w="100" w:type="dxa"/>
              <w:bottom w:w="60" w:type="dxa"/>
              <w:right w:w="100" w:type="dxa"/>
            </w:tcMar>
          </w:tcPr>
          <w:p>
            <w:pPr>
              <w:spacing w:after="20"/>
            </w:pPr>
            <w:r>
              <w:rPr>
                <w:sz w:val="18"/>
                <w:szCs w:val="18"/>
              </w:rPr>
              <w:t xml:space="preserve">core</w:t>
            </w:r>
          </w:p>
        </w:tc>
        <w:tc>
          <w:tcPr>
            <w:tcW w:w="5860" w:type="dxa"/>
            <w:tcMar>
              <w:top w:w="60" w:type="dxa"/>
              <w:left w:w="100" w:type="dxa"/>
              <w:bottom w:w="60" w:type="dxa"/>
              <w:right w:w="100" w:type="dxa"/>
            </w:tcMar>
          </w:tcPr>
          <w:p>
            <w:pPr>
              <w:spacing w:after="20"/>
            </w:pPr>
            <w:r>
              <w:rPr>
                <w:sz w:val="18"/>
                <w:szCs w:val="18"/>
              </w:rPr>
              <w:t xml:space="preserve">Social choice and welfare economics; bargaining and fair division; crowd and annotation; alignment and preference learning; routing, merging, and federated; multi-agent and LLM; fairness in ML; philosophy and political theory</w:t>
            </w:r>
          </w:p>
        </w:tc>
      </w:tr>
      <w:tr>
        <w:tblPrEx>
          <w:tblCellMar>
            <w:top w:w="0" w:type="dxa"/>
            <w:bottom w:w="0" w:type="dxa"/>
          </w:tblCellMar>
        </w:tblPrEx>
        <w:tc>
          <w:tcPr>
            <w:tcW w:w="2100" w:type="dxa"/>
            <w:tcMar>
              <w:top w:w="60" w:type="dxa"/>
              <w:left w:w="100" w:type="dxa"/>
              <w:bottom w:w="60" w:type="dxa"/>
              <w:right w:w="100" w:type="dxa"/>
            </w:tcMar>
          </w:tcPr>
          <w:p>
            <w:pPr>
              <w:spacing w:after="20"/>
            </w:pPr>
            <w:r>
              <w:rPr>
                <w:sz w:val="18"/>
                <w:szCs w:val="18"/>
              </w:rPr>
              <w:t xml:space="preserve">evaluation_mode</w:t>
            </w:r>
          </w:p>
        </w:tc>
        <w:tc>
          <w:tcPr>
            <w:tcW w:w="1400" w:type="dxa"/>
            <w:tcMar>
              <w:top w:w="60" w:type="dxa"/>
              <w:left w:w="100" w:type="dxa"/>
              <w:bottom w:w="60" w:type="dxa"/>
              <w:right w:w="100" w:type="dxa"/>
            </w:tcMar>
          </w:tcPr>
          <w:p>
            <w:pPr>
              <w:spacing w:after="20"/>
            </w:pPr>
            <w:r>
              <w:rPr>
                <w:sz w:val="18"/>
                <w:szCs w:val="18"/>
              </w:rPr>
              <w:t xml:space="preserve">core</w:t>
            </w:r>
          </w:p>
        </w:tc>
        <w:tc>
          <w:tcPr>
            <w:tcW w:w="5860" w:type="dxa"/>
            <w:tcMar>
              <w:top w:w="60" w:type="dxa"/>
              <w:left w:w="100" w:type="dxa"/>
              <w:bottom w:w="60" w:type="dxa"/>
              <w:right w:w="100" w:type="dxa"/>
            </w:tcMar>
          </w:tcPr>
          <w:p>
            <w:pPr>
              <w:spacing w:after="20"/>
            </w:pPr>
            <w:r>
              <w:rPr>
                <w:sz w:val="18"/>
                <w:szCs w:val="18"/>
              </w:rPr>
              <w:t xml:space="preserve">Proof; welfare or distortion bound; statistical guarantee; simulation; real dataset; human subjects; normative argument; none</w:t>
            </w:r>
          </w:p>
        </w:tc>
      </w:tr>
      <w:tr>
        <w:tblPrEx>
          <w:tblCellMar>
            <w:top w:w="0" w:type="dxa"/>
            <w:bottom w:w="0" w:type="dxa"/>
          </w:tblCellMar>
        </w:tblPrEx>
        <w:tc>
          <w:tcPr>
            <w:tcW w:w="2100" w:type="dxa"/>
            <w:tcMar>
              <w:top w:w="60" w:type="dxa"/>
              <w:left w:w="100" w:type="dxa"/>
              <w:bottom w:w="60" w:type="dxa"/>
              <w:right w:w="100" w:type="dxa"/>
            </w:tcMar>
          </w:tcPr>
          <w:p>
            <w:pPr>
              <w:spacing w:after="20"/>
            </w:pPr>
            <w:r>
              <w:rPr>
                <w:sz w:val="18"/>
                <w:szCs w:val="18"/>
              </w:rPr>
              <w:t xml:space="preserve">human_effect_measured</w:t>
            </w:r>
          </w:p>
        </w:tc>
        <w:tc>
          <w:tcPr>
            <w:tcW w:w="1400" w:type="dxa"/>
            <w:tcMar>
              <w:top w:w="60" w:type="dxa"/>
              <w:left w:w="100" w:type="dxa"/>
              <w:bottom w:w="60" w:type="dxa"/>
              <w:right w:w="100" w:type="dxa"/>
            </w:tcMar>
          </w:tcPr>
          <w:p>
            <w:pPr>
              <w:spacing w:after="20"/>
            </w:pPr>
            <w:r>
              <w:rPr>
                <w:sz w:val="18"/>
                <w:szCs w:val="18"/>
              </w:rPr>
              <w:t xml:space="preserve">core</w:t>
            </w:r>
          </w:p>
        </w:tc>
        <w:tc>
          <w:tcPr>
            <w:tcW w:w="5860" w:type="dxa"/>
            <w:tcMar>
              <w:top w:w="60" w:type="dxa"/>
              <w:left w:w="100" w:type="dxa"/>
              <w:bottom w:w="60" w:type="dxa"/>
              <w:right w:w="100" w:type="dxa"/>
            </w:tcMar>
          </w:tcPr>
          <w:p>
            <w:pPr>
              <w:spacing w:after="20"/>
            </w:pPr>
            <w:r>
              <w:rPr>
                <w:sz w:val="18"/>
                <w:szCs w:val="18"/>
              </w:rPr>
              <w:t xml:space="preserve">Whether the paper measures how representing disagreement changes a human decision, with instrument and direction</w:t>
            </w:r>
          </w:p>
        </w:tc>
      </w:tr>
      <w:tr>
        <w:tblPrEx>
          <w:tblCellMar>
            <w:top w:w="0" w:type="dxa"/>
            <w:bottom w:w="0" w:type="dxa"/>
          </w:tblCellMar>
        </w:tblPrEx>
        <w:tc>
          <w:tcPr>
            <w:tcW w:w="2100" w:type="dxa"/>
            <w:tcMar>
              <w:top w:w="60" w:type="dxa"/>
              <w:left w:w="100" w:type="dxa"/>
              <w:bottom w:w="60" w:type="dxa"/>
              <w:right w:w="100" w:type="dxa"/>
            </w:tcMar>
          </w:tcPr>
          <w:p>
            <w:pPr>
              <w:spacing w:after="20"/>
            </w:pPr>
            <w:r>
              <w:rPr>
                <w:sz w:val="18"/>
                <w:szCs w:val="18"/>
              </w:rPr>
              <w:t xml:space="preserve">notes</w:t>
            </w:r>
          </w:p>
        </w:tc>
        <w:tc>
          <w:tcPr>
            <w:tcW w:w="1400" w:type="dxa"/>
            <w:tcMar>
              <w:top w:w="60" w:type="dxa"/>
              <w:left w:w="100" w:type="dxa"/>
              <w:bottom w:w="60" w:type="dxa"/>
              <w:right w:w="100" w:type="dxa"/>
            </w:tcMar>
          </w:tcPr>
          <w:p>
            <w:pPr>
              <w:spacing w:after="20"/>
            </w:pPr>
            <w:r>
              <w:rPr>
                <w:sz w:val="18"/>
                <w:szCs w:val="18"/>
              </w:rPr>
              <w:t xml:space="preserve">core</w:t>
            </w:r>
          </w:p>
        </w:tc>
        <w:tc>
          <w:tcPr>
            <w:tcW w:w="5860" w:type="dxa"/>
            <w:tcMar>
              <w:top w:w="60" w:type="dxa"/>
              <w:left w:w="100" w:type="dxa"/>
              <w:bottom w:w="60" w:type="dxa"/>
              <w:right w:w="100" w:type="dxa"/>
            </w:tcMar>
          </w:tcPr>
          <w:p>
            <w:pPr>
              <w:spacing w:after="20"/>
            </w:pPr>
            <w:r>
              <w:rPr>
                <w:sz w:val="18"/>
                <w:szCs w:val="18"/>
              </w:rPr>
              <w:t xml:space="preserve">Free text, separate from coded fields</w:t>
            </w:r>
          </w:p>
        </w:tc>
      </w:tr>
    </w:tbl>
    <w:p>
      <w:pPr>
        <w:spacing w:before="60" w:after="200"/>
      </w:pPr>
      <w:r>
        <w:rPr>
          <w:i/>
          <w:iCs/>
          <w:sz w:val="19"/>
          <w:szCs w:val="19"/>
        </w:rPr>
        <w:t xml:space="preserve">Table 9. Fields for core papers and the landscape full-text sample. Landscape abstracts use the reduced set in §9.3. The registry adds canonical name, aliases, formal definition, origin citation, parameters, and equivalence links.</w:t>
      </w:r>
    </w:p>
    <w:p>
      <w:pPr>
        <w:pStyle w:val="Heading1"/>
      </w:pPr>
      <w:r>
        <w:t xml:space="preserve">11. Synthesis</w:t>
      </w:r>
    </w:p>
    <w:p>
      <w:pPr>
        <w:spacing w:after="120" w:line="276" w:lineRule="auto"/>
      </w:pPr>
      <w:r>
        <w:t xml:space="preserve">Core and landscape results are reported in separate tables and never pooled. Landscape proportions are reported with the abstract-versus-full-text agreement from the sample.</w:t>
      </w:r>
    </w:p>
    <w:p>
      <w:pPr>
        <w:pStyle w:val="ListParagraph"/>
        <w:numPr>
          <w:ilvl w:val="0"/>
          <w:numId w:val="1"/>
        </w:numPr>
        <w:spacing w:after="70" w:line="276" w:lineRule="auto"/>
      </w:pPr>
      <w:r>
        <w:rPr>
          <w:b/>
          <w:bCs/>
        </w:rPr>
        <w:t xml:space="preserve">Pass 1 (RQ1). </w:t>
      </w:r>
      <w:r>
        <w:t xml:space="preserve">Techniques by disposition and source literature, with counts, proportions, and confidence intervals, per tier.</w:t>
      </w:r>
    </w:p>
    <w:p>
      <w:pPr>
        <w:pStyle w:val="ListParagraph"/>
        <w:numPr>
          <w:ilvl w:val="0"/>
          <w:numId w:val="1"/>
        </w:numPr>
        <w:spacing w:after="70" w:line="276" w:lineRule="auto"/>
      </w:pPr>
      <w:r>
        <w:rPr>
          <w:b/>
          <w:bCs/>
        </w:rPr>
        <w:t xml:space="preserve">Pass 2 (RQ1b). </w:t>
      </w:r>
      <w:r>
        <w:t xml:space="preserve">Techniques whose stated disposition differs from the coded one, from the core and the landscape sample, each listed with the evidence.</w:t>
      </w:r>
    </w:p>
    <w:p>
      <w:pPr>
        <w:pStyle w:val="ListParagraph"/>
        <w:numPr>
          <w:ilvl w:val="0"/>
          <w:numId w:val="1"/>
        </w:numPr>
        <w:spacing w:after="70" w:line="276" w:lineRule="auto"/>
      </w:pPr>
      <w:r>
        <w:rPr>
          <w:b/>
          <w:bCs/>
        </w:rPr>
        <w:t xml:space="preserve">Pass 3 (RQ2). </w:t>
      </w:r>
      <w:r>
        <w:t xml:space="preserve">Disposition against account, with empty cells named. Welfare criteria by source literature, stated against derived, with the comparability each assumes, from full text only. Tests P2.</w:t>
      </w:r>
    </w:p>
    <w:p>
      <w:pPr>
        <w:pStyle w:val="ListParagraph"/>
        <w:numPr>
          <w:ilvl w:val="0"/>
          <w:numId w:val="1"/>
        </w:numPr>
        <w:spacing w:after="70" w:line="276" w:lineRule="auto"/>
      </w:pPr>
      <w:r>
        <w:rPr>
          <w:b/>
          <w:bCs/>
        </w:rPr>
        <w:t xml:space="preserve">Pass 4 (RQ3). </w:t>
      </w:r>
      <w:r>
        <w:t xml:space="preserve">C1 to C3 satisfaction by cell of the Pass 3 table; for each condition, which techniques lose it and what property they give up.</w:t>
      </w:r>
    </w:p>
    <w:p>
      <w:pPr>
        <w:pStyle w:val="ListParagraph"/>
        <w:numPr>
          <w:ilvl w:val="0"/>
          <w:numId w:val="1"/>
        </w:numPr>
        <w:spacing w:after="70" w:line="276" w:lineRule="auto"/>
      </w:pPr>
      <w:r>
        <w:rPr>
          <w:b/>
          <w:bCs/>
        </w:rPr>
        <w:t xml:space="preserve">Pass 5. </w:t>
      </w:r>
      <w:r>
        <w:t xml:space="preserve">Registered equivalence propositions, each tested on the registry: distance-based robust aggregators are medoid rules; hard routing is weighted aggregation with weights of zero or one; maximum-likelihood pairwise preference learning reduces to a positional scoring rule under stated conditions; averaging per-source scores or models is weighted utilitarian under unit comparability, with federated averaging weighting by data volume; minimax and group-robust objectives are egalitarian under level comparability.</w:t>
      </w:r>
    </w:p>
    <w:p>
      <w:pPr>
        <w:pStyle w:val="Heading1"/>
      </w:pPr>
      <w:r>
        <w:t xml:space="preserve">12. Discussion sections</w:t>
      </w:r>
    </w:p>
    <w:p>
      <w:pPr>
        <w:pStyle w:val="Heading2"/>
      </w:pPr>
      <w:r>
        <w:t xml:space="preserve">12.1 Negotiation</w:t>
      </w:r>
    </w:p>
    <w:p>
      <w:pPr>
        <w:spacing w:after="120" w:line="276" w:lineRule="auto"/>
      </w:pPr>
      <w:r>
        <w:t xml:space="preserve">Negotiation has all three operating conditions at once and adds a fourth requirement: the outcome must leave each party at least as well off as its disagreement point and be Pareto-efficient over several issues. Gains in an integrative agreement come from parties valuing issues differently, so a method that averages positions removes them. A method suited to negotiation must therefore reach D3, collect issue-wise intensity and disagreement points, and satisfy C1 and C3.</w:t>
      </w:r>
    </w:p>
    <w:p>
      <w:pPr>
        <w:spacing w:after="120" w:line="276" w:lineRule="auto"/>
      </w:pPr>
      <w:r>
        <w:t xml:space="preserve">The section reports which techniques in the registry meet these requirements. It also tests one registered proposition: agreement-maximizing consensus rules coincide with integrative bargaining solutions only when the options form a fixed set with no issue structure. AI mediator systems that propose Pareto improvements are coded for the bargaining solution their proposal step implements. Coverage comes from bargaining papers in EC, AAMAS, AAAI, and IJCAI, from foundational sources, and from snowballing; negotiation journals are not searched.</w:t>
      </w:r>
    </w:p>
    <w:p>
      <w:pPr>
        <w:pStyle w:val="Heading2"/>
      </w:pPr>
      <w:r>
        <w:t xml:space="preserve">12.2 Evaluating preservation</w:t>
      </w:r>
    </w:p>
    <w:p>
      <w:pPr>
        <w:spacing w:after="120" w:line="276" w:lineRule="auto"/>
      </w:pPr>
      <w:r>
        <w:t xml:space="preserve">Current evaluations measure accuracy, fit to an annotator distribution, or, in negotiation, agreement rate and distance from the Pareto frontier. None measures whether a divergence was represented correctly. The section states requirements for such an evaluation: detection of divergence, attribution to the right sources, correct grounds, calibrated confidence, and no collapse in the final output. Separately, it requires comparison against a collapsing baseline on the same inputs to measure whether representing the disagreement improved the decision. No benchmark is built.</w:t>
      </w:r>
    </w:p>
    <w:p>
      <w:pPr>
        <w:pStyle w:val="Heading2"/>
      </w:pPr>
      <w:r>
        <w:t xml:space="preserve">12.3 Who is counted</w:t>
      </w:r>
    </w:p>
    <w:p>
      <w:pPr>
        <w:spacing w:after="120" w:line="276" w:lineRule="auto"/>
      </w:pPr>
      <w:r>
        <w:t xml:space="preserve">A welfare criterion or a D2 output is only as good as the set of sources it runs over. The section covers work on manufactured consensus, on how positions are elicited, and on who is admitted as a source, and states where these limit the coding scheme.</w:t>
      </w:r>
    </w:p>
    <w:p>
      <w:pPr>
        <w:pStyle w:val="Heading1"/>
      </w:pPr>
      <w:r>
        <w:t xml:space="preserve">13. Deliverables</w:t>
      </w:r>
    </w:p>
    <w:p>
      <w:pPr>
        <w:pStyle w:val="ListParagraph"/>
        <w:numPr>
          <w:ilvl w:val="0"/>
          <w:numId w:val="1"/>
        </w:numPr>
        <w:spacing w:after="70" w:line="276" w:lineRule="auto"/>
      </w:pPr>
      <w:r>
        <w:rPr>
          <w:b/>
          <w:bCs/>
        </w:rPr>
        <w:t xml:space="preserve">Paper: </w:t>
      </w:r>
      <w:r>
        <w:t xml:space="preserve">the classification scheme, both tier results, the stated-against-coded list, the disposition-by-account table with empty cells, and the discussion sections.</w:t>
      </w:r>
    </w:p>
    <w:p>
      <w:pPr>
        <w:pStyle w:val="ListParagraph"/>
        <w:numPr>
          <w:ilvl w:val="0"/>
          <w:numId w:val="1"/>
        </w:numPr>
        <w:spacing w:after="70" w:line="276" w:lineRule="auto"/>
      </w:pPr>
      <w:r>
        <w:rPr>
          <w:b/>
          <w:bCs/>
        </w:rPr>
        <w:t xml:space="preserve">Technique registry: </w:t>
      </w:r>
      <w:r>
        <w:t xml:space="preserve">machine-readable registry with all coded fields, provenance, aliases, and equivalence links.</w:t>
      </w:r>
    </w:p>
    <w:p>
      <w:pPr>
        <w:pStyle w:val="ListParagraph"/>
        <w:numPr>
          <w:ilvl w:val="0"/>
          <w:numId w:val="1"/>
        </w:numPr>
        <w:spacing w:after="70" w:line="276" w:lineRule="auto"/>
      </w:pPr>
      <w:r>
        <w:rPr>
          <w:b/>
          <w:bCs/>
        </w:rPr>
        <w:t xml:space="preserve">Replication package: </w:t>
      </w:r>
      <w:r>
        <w:t xml:space="preserve">retrieval scripts, keyword schema, venue selection table, classifier labels, screening decisions, extraction tables, PRISMA counts, and screening manual with version history.</w:t>
      </w:r>
    </w:p>
    <w:p>
      <w:pPr>
        <w:pStyle w:val="Heading1"/>
      </w:pPr>
      <w:r>
        <w:t xml:space="preserve">14. Timeline and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700"/>
        <w:gridCol w:w="1500"/>
        <w:gridCol w:w="2860"/>
      </w:tblGrid>
      <w:tr>
        <w:tblPrEx>
          <w:tblCellMar>
            <w:top w:w="0" w:type="dxa"/>
            <w:bottom w:w="0" w:type="dxa"/>
          </w:tblCellMar>
        </w:tblPrEx>
        <w:trPr>
          <w:tblHeader/>
        </w:trPr>
        <w:tc>
          <w:tcPr>
            <w:tcW w:w="1300" w:type="dxa"/>
            <w:shd w:val="clear" w:color="auto" w:fill="E8EAED"/>
            <w:tcMar>
              <w:top w:w="60" w:type="dxa"/>
              <w:left w:w="100" w:type="dxa"/>
              <w:bottom w:w="60" w:type="dxa"/>
              <w:right w:w="100" w:type="dxa"/>
            </w:tcMar>
          </w:tcPr>
          <w:p>
            <w:pPr>
              <w:spacing w:after="20"/>
            </w:pPr>
            <w:r>
              <w:rPr>
                <w:b/>
                <w:bCs/>
                <w:sz w:val="18"/>
                <w:szCs w:val="18"/>
              </w:rPr>
              <w:t xml:space="preserve">Week</w:t>
            </w:r>
          </w:p>
        </w:tc>
        <w:tc>
          <w:tcPr>
            <w:tcW w:w="3700" w:type="dxa"/>
            <w:shd w:val="clear" w:color="auto" w:fill="E8EAED"/>
            <w:tcMar>
              <w:top w:w="60" w:type="dxa"/>
              <w:left w:w="100" w:type="dxa"/>
              <w:bottom w:w="60" w:type="dxa"/>
              <w:right w:w="100" w:type="dxa"/>
            </w:tcMar>
          </w:tcPr>
          <w:p>
            <w:pPr>
              <w:spacing w:after="20"/>
            </w:pPr>
            <w:r>
              <w:rPr>
                <w:b/>
                <w:bCs/>
                <w:sz w:val="18"/>
                <w:szCs w:val="18"/>
              </w:rPr>
              <w:t xml:space="preserve">Activity</w:t>
            </w:r>
          </w:p>
        </w:tc>
        <w:tc>
          <w:tcPr>
            <w:tcW w:w="1500" w:type="dxa"/>
            <w:shd w:val="clear" w:color="auto" w:fill="E8EAED"/>
            <w:tcMar>
              <w:top w:w="60" w:type="dxa"/>
              <w:left w:w="100" w:type="dxa"/>
              <w:bottom w:w="60" w:type="dxa"/>
              <w:right w:w="100" w:type="dxa"/>
            </w:tcMar>
          </w:tcPr>
          <w:p>
            <w:pPr>
              <w:spacing w:after="20"/>
            </w:pPr>
            <w:r>
              <w:rPr>
                <w:b/>
                <w:bCs/>
                <w:sz w:val="18"/>
                <w:szCs w:val="18"/>
              </w:rPr>
              <w:t xml:space="preserve">Owner</w:t>
            </w:r>
          </w:p>
        </w:tc>
        <w:tc>
          <w:tcPr>
            <w:tcW w:w="2860" w:type="dxa"/>
            <w:shd w:val="clear" w:color="auto" w:fill="E8EAED"/>
            <w:tcMar>
              <w:top w:w="60" w:type="dxa"/>
              <w:left w:w="100" w:type="dxa"/>
              <w:bottom w:w="60" w:type="dxa"/>
              <w:right w:w="100" w:type="dxa"/>
            </w:tcMar>
          </w:tcPr>
          <w:p>
            <w:pPr>
              <w:spacing w:after="20"/>
            </w:pPr>
            <w:r>
              <w:rPr>
                <w:b/>
                <w:bCs/>
                <w:sz w:val="18"/>
                <w:szCs w:val="18"/>
              </w:rPr>
              <w:t xml:space="preserve">Exit criterion</w:t>
            </w:r>
          </w:p>
        </w:tc>
      </w:tr>
      <w:tr>
        <w:tblPrEx>
          <w:tblCellMar>
            <w:top w:w="0" w:type="dxa"/>
            <w:bottom w:w="0" w:type="dxa"/>
          </w:tblCellMar>
        </w:tblPrEx>
        <w:tc>
          <w:tcPr>
            <w:tcW w:w="1300" w:type="dxa"/>
            <w:tcMar>
              <w:top w:w="60" w:type="dxa"/>
              <w:left w:w="100" w:type="dxa"/>
              <w:bottom w:w="60" w:type="dxa"/>
              <w:right w:w="100" w:type="dxa"/>
            </w:tcMar>
          </w:tcPr>
          <w:p>
            <w:pPr>
              <w:spacing w:after="20"/>
            </w:pPr>
            <w:r>
              <w:rPr>
                <w:sz w:val="18"/>
                <w:szCs w:val="18"/>
              </w:rPr>
              <w:t xml:space="preserve">1 (d1–2)</w:t>
            </w:r>
          </w:p>
        </w:tc>
        <w:tc>
          <w:tcPr>
            <w:tcW w:w="3700" w:type="dxa"/>
            <w:tcMar>
              <w:top w:w="60" w:type="dxa"/>
              <w:left w:w="100" w:type="dxa"/>
              <w:bottom w:w="60" w:type="dxa"/>
              <w:right w:w="100" w:type="dxa"/>
            </w:tcMar>
          </w:tcPr>
          <w:p>
            <w:pPr>
              <w:spacing w:after="20"/>
            </w:pPr>
            <w:r>
              <w:rPr>
                <w:sz w:val="18"/>
                <w:szCs w:val="18"/>
              </w:rPr>
              <w:t xml:space="preserve">Freeze protocol and coding rules; register, including the selection rule; pilot on 50 records; EC and humanities keyword pilots</w:t>
            </w:r>
          </w:p>
        </w:tc>
        <w:tc>
          <w:tcPr>
            <w:tcW w:w="1500" w:type="dxa"/>
            <w:tcMar>
              <w:top w:w="60" w:type="dxa"/>
              <w:left w:w="100" w:type="dxa"/>
              <w:bottom w:w="60" w:type="dxa"/>
              <w:right w:w="100" w:type="dxa"/>
            </w:tcMar>
          </w:tcPr>
          <w:p>
            <w:pPr>
              <w:spacing w:after="20"/>
            </w:pPr>
            <w:r>
              <w:rPr>
                <w:sz w:val="18"/>
                <w:szCs w:val="18"/>
              </w:rPr>
              <w:t xml:space="preserve">Methods lead</w:t>
            </w:r>
          </w:p>
        </w:tc>
        <w:tc>
          <w:tcPr>
            <w:tcW w:w="2860" w:type="dxa"/>
            <w:tcMar>
              <w:top w:w="60" w:type="dxa"/>
              <w:left w:w="100" w:type="dxa"/>
              <w:bottom w:w="60" w:type="dxa"/>
              <w:right w:w="100" w:type="dxa"/>
            </w:tcMar>
          </w:tcPr>
          <w:p>
            <w:pPr>
              <w:spacing w:after="20"/>
            </w:pPr>
            <w:r>
              <w:rPr>
                <w:sz w:val="18"/>
                <w:szCs w:val="18"/>
              </w:rPr>
              <w:t xml:space="preserve">Alpha 0.70 or above; schema revised</w:t>
            </w:r>
          </w:p>
        </w:tc>
      </w:tr>
      <w:tr>
        <w:tblPrEx>
          <w:tblCellMar>
            <w:top w:w="0" w:type="dxa"/>
            <w:bottom w:w="0" w:type="dxa"/>
          </w:tblCellMar>
        </w:tblPrEx>
        <w:tc>
          <w:tcPr>
            <w:tcW w:w="1300" w:type="dxa"/>
            <w:tcMar>
              <w:top w:w="60" w:type="dxa"/>
              <w:left w:w="100" w:type="dxa"/>
              <w:bottom w:w="60" w:type="dxa"/>
              <w:right w:w="100" w:type="dxa"/>
            </w:tcMar>
          </w:tcPr>
          <w:p>
            <w:pPr>
              <w:spacing w:after="20"/>
            </w:pPr>
            <w:r>
              <w:rPr>
                <w:sz w:val="18"/>
                <w:szCs w:val="18"/>
              </w:rPr>
              <w:t xml:space="preserve">1 (d2–4)</w:t>
            </w:r>
          </w:p>
        </w:tc>
        <w:tc>
          <w:tcPr>
            <w:tcW w:w="3700" w:type="dxa"/>
            <w:tcMar>
              <w:top w:w="60" w:type="dxa"/>
              <w:left w:w="100" w:type="dxa"/>
              <w:bottom w:w="60" w:type="dxa"/>
              <w:right w:w="100" w:type="dxa"/>
            </w:tcMar>
          </w:tcPr>
          <w:p>
            <w:pPr>
              <w:spacing w:after="20"/>
            </w:pPr>
            <w:r>
              <w:rPr>
                <w:sz w:val="18"/>
                <w:szCs w:val="18"/>
              </w:rPr>
              <w:t xml:space="preserve">Retrieve all 22 venues; deduplicate; keyword pass</w:t>
            </w:r>
          </w:p>
        </w:tc>
        <w:tc>
          <w:tcPr>
            <w:tcW w:w="1500" w:type="dxa"/>
            <w:tcMar>
              <w:top w:w="60" w:type="dxa"/>
              <w:left w:w="100" w:type="dxa"/>
              <w:bottom w:w="60" w:type="dxa"/>
              <w:right w:w="100" w:type="dxa"/>
            </w:tcMar>
          </w:tcPr>
          <w:p>
            <w:pPr>
              <w:spacing w:after="20"/>
            </w:pPr>
            <w:r>
              <w:rPr>
                <w:sz w:val="18"/>
                <w:szCs w:val="18"/>
              </w:rPr>
              <w:t xml:space="preserve">Retrieval lead</w:t>
            </w:r>
          </w:p>
        </w:tc>
        <w:tc>
          <w:tcPr>
            <w:tcW w:w="2860" w:type="dxa"/>
            <w:tcMar>
              <w:top w:w="60" w:type="dxa"/>
              <w:left w:w="100" w:type="dxa"/>
              <w:bottom w:w="60" w:type="dxa"/>
              <w:right w:w="100" w:type="dxa"/>
            </w:tcMar>
          </w:tcPr>
          <w:p>
            <w:pPr>
              <w:spacing w:after="20"/>
            </w:pPr>
            <w:r>
              <w:rPr>
                <w:sz w:val="18"/>
                <w:szCs w:val="18"/>
              </w:rPr>
              <w:t xml:space="preserve">R, H, and abstract coverage per venue</w:t>
            </w:r>
          </w:p>
        </w:tc>
      </w:tr>
      <w:tr>
        <w:tblPrEx>
          <w:tblCellMar>
            <w:top w:w="0" w:type="dxa"/>
            <w:bottom w:w="0" w:type="dxa"/>
          </w:tblCellMar>
        </w:tblPrEx>
        <w:tc>
          <w:tcPr>
            <w:tcW w:w="1300" w:type="dxa"/>
            <w:tcMar>
              <w:top w:w="60" w:type="dxa"/>
              <w:left w:w="100" w:type="dxa"/>
              <w:bottom w:w="60" w:type="dxa"/>
              <w:right w:w="100" w:type="dxa"/>
            </w:tcMar>
          </w:tcPr>
          <w:p>
            <w:pPr>
              <w:spacing w:after="20"/>
            </w:pPr>
            <w:r>
              <w:rPr>
                <w:sz w:val="18"/>
                <w:szCs w:val="18"/>
              </w:rPr>
              <w:t xml:space="preserve">1 (d4–5)</w:t>
            </w:r>
          </w:p>
        </w:tc>
        <w:tc>
          <w:tcPr>
            <w:tcW w:w="3700" w:type="dxa"/>
            <w:tcMar>
              <w:top w:w="60" w:type="dxa"/>
              <w:left w:w="100" w:type="dxa"/>
              <w:bottom w:w="60" w:type="dxa"/>
              <w:right w:w="100" w:type="dxa"/>
            </w:tcMar>
          </w:tcPr>
          <w:p>
            <w:pPr>
              <w:spacing w:after="20"/>
            </w:pPr>
            <w:r>
              <w:rPr>
                <w:sz w:val="18"/>
                <w:szCs w:val="18"/>
              </w:rPr>
              <w:t xml:space="preserve">Precision check; tier assignment</w:t>
            </w:r>
          </w:p>
        </w:tc>
        <w:tc>
          <w:tcPr>
            <w:tcW w:w="1500" w:type="dxa"/>
            <w:tcMar>
              <w:top w:w="60" w:type="dxa"/>
              <w:left w:w="100" w:type="dxa"/>
              <w:bottom w:w="60" w:type="dxa"/>
              <w:right w:w="100" w:type="dxa"/>
            </w:tcMar>
          </w:tcPr>
          <w:p>
            <w:pPr>
              <w:spacing w:after="20"/>
            </w:pPr>
            <w:r>
              <w:rPr>
                <w:sz w:val="18"/>
                <w:szCs w:val="18"/>
              </w:rPr>
              <w:t xml:space="preserve">Methods lead and one reviewer</w:t>
            </w:r>
          </w:p>
        </w:tc>
        <w:tc>
          <w:tcPr>
            <w:tcW w:w="2860" w:type="dxa"/>
            <w:tcMar>
              <w:top w:w="60" w:type="dxa"/>
              <w:left w:w="100" w:type="dxa"/>
              <w:bottom w:w="60" w:type="dxa"/>
              <w:right w:w="100" w:type="dxa"/>
            </w:tcMar>
          </w:tcPr>
          <w:p>
            <w:pPr>
              <w:spacing w:after="20"/>
            </w:pPr>
            <w:r>
              <w:rPr>
                <w:sz w:val="18"/>
                <w:szCs w:val="18"/>
              </w:rPr>
              <w:t xml:space="preserve">Selection table complete</w:t>
            </w:r>
          </w:p>
        </w:tc>
      </w:tr>
      <w:tr>
        <w:tblPrEx>
          <w:tblCellMar>
            <w:top w:w="0" w:type="dxa"/>
            <w:bottom w:w="0" w:type="dxa"/>
          </w:tblCellMar>
        </w:tblPrEx>
        <w:tc>
          <w:tcPr>
            <w:tcW w:w="1300" w:type="dxa"/>
            <w:tcMar>
              <w:top w:w="60" w:type="dxa"/>
              <w:left w:w="100" w:type="dxa"/>
              <w:bottom w:w="60" w:type="dxa"/>
              <w:right w:w="100" w:type="dxa"/>
            </w:tcMar>
          </w:tcPr>
          <w:p>
            <w:pPr>
              <w:spacing w:after="20"/>
            </w:pPr>
            <w:r>
              <w:rPr>
                <w:sz w:val="18"/>
                <w:szCs w:val="18"/>
              </w:rPr>
              <w:t xml:space="preserve">2 (d1–2)</w:t>
            </w:r>
          </w:p>
        </w:tc>
        <w:tc>
          <w:tcPr>
            <w:tcW w:w="3700" w:type="dxa"/>
            <w:tcMar>
              <w:top w:w="60" w:type="dxa"/>
              <w:left w:w="100" w:type="dxa"/>
              <w:bottom w:w="60" w:type="dxa"/>
              <w:right w:w="100" w:type="dxa"/>
            </w:tcMar>
          </w:tcPr>
          <w:p>
            <w:pPr>
              <w:spacing w:after="20"/>
            </w:pPr>
            <w:r>
              <w:rPr>
                <w:sz w:val="18"/>
                <w:szCs w:val="18"/>
              </w:rPr>
              <w:t xml:space="preserve">Classifier calibration on 300 landscape records</w:t>
            </w:r>
          </w:p>
        </w:tc>
        <w:tc>
          <w:tcPr>
            <w:tcW w:w="1500" w:type="dxa"/>
            <w:tcMar>
              <w:top w:w="60" w:type="dxa"/>
              <w:left w:w="100" w:type="dxa"/>
              <w:bottom w:w="60" w:type="dxa"/>
              <w:right w:w="100" w:type="dxa"/>
            </w:tcMar>
          </w:tcPr>
          <w:p>
            <w:pPr>
              <w:spacing w:after="20"/>
            </w:pPr>
            <w:r>
              <w:rPr>
                <w:sz w:val="18"/>
                <w:szCs w:val="18"/>
              </w:rPr>
              <w:t xml:space="preserve">Methods lead</w:t>
            </w:r>
          </w:p>
        </w:tc>
        <w:tc>
          <w:tcPr>
            <w:tcW w:w="2860" w:type="dxa"/>
            <w:tcMar>
              <w:top w:w="60" w:type="dxa"/>
              <w:left w:w="100" w:type="dxa"/>
              <w:bottom w:w="60" w:type="dxa"/>
              <w:right w:w="100" w:type="dxa"/>
            </w:tcMar>
          </w:tcPr>
          <w:p>
            <w:pPr>
              <w:spacing w:after="20"/>
            </w:pPr>
            <w:r>
              <w:rPr>
                <w:sz w:val="18"/>
                <w:szCs w:val="18"/>
              </w:rPr>
              <w:t xml:space="preserve">Recall 0.95 or above, or fallback recorded</w:t>
            </w:r>
          </w:p>
        </w:tc>
      </w:tr>
      <w:tr>
        <w:tblPrEx>
          <w:tblCellMar>
            <w:top w:w="0" w:type="dxa"/>
            <w:bottom w:w="0" w:type="dxa"/>
          </w:tblCellMar>
        </w:tblPrEx>
        <w:tc>
          <w:tcPr>
            <w:tcW w:w="1300" w:type="dxa"/>
            <w:tcMar>
              <w:top w:w="60" w:type="dxa"/>
              <w:left w:w="100" w:type="dxa"/>
              <w:bottom w:w="60" w:type="dxa"/>
              <w:right w:w="100" w:type="dxa"/>
            </w:tcMar>
          </w:tcPr>
          <w:p>
            <w:pPr>
              <w:spacing w:after="20"/>
            </w:pPr>
            <w:r>
              <w:rPr>
                <w:sz w:val="18"/>
                <w:szCs w:val="18"/>
              </w:rPr>
              <w:t xml:space="preserve">2</w:t>
            </w:r>
          </w:p>
        </w:tc>
        <w:tc>
          <w:tcPr>
            <w:tcW w:w="3700" w:type="dxa"/>
            <w:tcMar>
              <w:top w:w="60" w:type="dxa"/>
              <w:left w:w="100" w:type="dxa"/>
              <w:bottom w:w="60" w:type="dxa"/>
              <w:right w:w="100" w:type="dxa"/>
            </w:tcMar>
          </w:tcPr>
          <w:p>
            <w:pPr>
              <w:spacing w:after="20"/>
            </w:pPr>
            <w:r>
              <w:rPr>
                <w:sz w:val="18"/>
                <w:szCs w:val="18"/>
              </w:rPr>
              <w:t xml:space="preserve">Core title and abstract screening with audits; landscape classifier run and verification</w:t>
            </w:r>
          </w:p>
        </w:tc>
        <w:tc>
          <w:tcPr>
            <w:tcW w:w="1500" w:type="dxa"/>
            <w:tcMar>
              <w:top w:w="60" w:type="dxa"/>
              <w:left w:w="100" w:type="dxa"/>
              <w:bottom w:w="60" w:type="dxa"/>
              <w:right w:w="100" w:type="dxa"/>
            </w:tcMar>
          </w:tcPr>
          <w:p>
            <w:pPr>
              <w:spacing w:after="20"/>
            </w:pPr>
            <w:r>
              <w:rPr>
                <w:sz w:val="18"/>
                <w:szCs w:val="18"/>
              </w:rPr>
              <w:t xml:space="preserve">All three</w:t>
            </w:r>
          </w:p>
        </w:tc>
        <w:tc>
          <w:tcPr>
            <w:tcW w:w="2860" w:type="dxa"/>
            <w:tcMar>
              <w:top w:w="60" w:type="dxa"/>
              <w:left w:w="100" w:type="dxa"/>
              <w:bottom w:w="60" w:type="dxa"/>
              <w:right w:w="100" w:type="dxa"/>
            </w:tcMar>
          </w:tcPr>
          <w:p>
            <w:pPr>
              <w:spacing w:after="20"/>
            </w:pPr>
            <w:r>
              <w:rPr>
                <w:sz w:val="18"/>
                <w:szCs w:val="18"/>
              </w:rPr>
              <w:t xml:space="preserve">Core full-text set and landscape inclusion set fixed</w:t>
            </w:r>
          </w:p>
        </w:tc>
      </w:tr>
      <w:tr>
        <w:tblPrEx>
          <w:tblCellMar>
            <w:top w:w="0" w:type="dxa"/>
            <w:bottom w:w="0" w:type="dxa"/>
          </w:tblCellMar>
        </w:tblPrEx>
        <w:tc>
          <w:tcPr>
            <w:tcW w:w="1300" w:type="dxa"/>
            <w:tcMar>
              <w:top w:w="60" w:type="dxa"/>
              <w:left w:w="100" w:type="dxa"/>
              <w:bottom w:w="60" w:type="dxa"/>
              <w:right w:w="100" w:type="dxa"/>
            </w:tcMar>
          </w:tcPr>
          <w:p>
            <w:pPr>
              <w:spacing w:after="20"/>
            </w:pPr>
            <w:r>
              <w:rPr>
                <w:sz w:val="18"/>
                <w:szCs w:val="18"/>
              </w:rPr>
              <w:t xml:space="preserve">3</w:t>
            </w:r>
          </w:p>
        </w:tc>
        <w:tc>
          <w:tcPr>
            <w:tcW w:w="3700" w:type="dxa"/>
            <w:tcMar>
              <w:top w:w="60" w:type="dxa"/>
              <w:left w:w="100" w:type="dxa"/>
              <w:bottom w:w="60" w:type="dxa"/>
              <w:right w:w="100" w:type="dxa"/>
            </w:tcMar>
          </w:tcPr>
          <w:p>
            <w:pPr>
              <w:spacing w:after="20"/>
            </w:pPr>
            <w:r>
              <w:rPr>
                <w:sz w:val="18"/>
                <w:szCs w:val="18"/>
              </w:rPr>
              <w:t xml:space="preserve">Core full-text screening; landscape abstract coding; sample drawn</w:t>
            </w:r>
          </w:p>
        </w:tc>
        <w:tc>
          <w:tcPr>
            <w:tcW w:w="1500" w:type="dxa"/>
            <w:tcMar>
              <w:top w:w="60" w:type="dxa"/>
              <w:left w:w="100" w:type="dxa"/>
              <w:bottom w:w="60" w:type="dxa"/>
              <w:right w:w="100" w:type="dxa"/>
            </w:tcMar>
          </w:tcPr>
          <w:p>
            <w:pPr>
              <w:spacing w:after="20"/>
            </w:pPr>
            <w:r>
              <w:rPr>
                <w:sz w:val="18"/>
                <w:szCs w:val="18"/>
              </w:rPr>
              <w:t xml:space="preserve">All three</w:t>
            </w:r>
          </w:p>
        </w:tc>
        <w:tc>
          <w:tcPr>
            <w:tcW w:w="2860" w:type="dxa"/>
            <w:tcMar>
              <w:top w:w="60" w:type="dxa"/>
              <w:left w:w="100" w:type="dxa"/>
              <w:bottom w:w="60" w:type="dxa"/>
              <w:right w:w="100" w:type="dxa"/>
            </w:tcMar>
          </w:tcPr>
          <w:p>
            <w:pPr>
              <w:spacing w:after="20"/>
            </w:pPr>
            <w:r>
              <w:rPr>
                <w:sz w:val="18"/>
                <w:szCs w:val="18"/>
              </w:rPr>
              <w:t xml:space="preserve">Core included set and sample list fixed</w:t>
            </w:r>
          </w:p>
        </w:tc>
      </w:tr>
      <w:tr>
        <w:tblPrEx>
          <w:tblCellMar>
            <w:top w:w="0" w:type="dxa"/>
            <w:bottom w:w="0" w:type="dxa"/>
          </w:tblCellMar>
        </w:tblPrEx>
        <w:tc>
          <w:tcPr>
            <w:tcW w:w="1300" w:type="dxa"/>
            <w:tcMar>
              <w:top w:w="60" w:type="dxa"/>
              <w:left w:w="100" w:type="dxa"/>
              <w:bottom w:w="60" w:type="dxa"/>
              <w:right w:w="100" w:type="dxa"/>
            </w:tcMar>
          </w:tcPr>
          <w:p>
            <w:pPr>
              <w:spacing w:after="20"/>
            </w:pPr>
            <w:r>
              <w:rPr>
                <w:sz w:val="18"/>
                <w:szCs w:val="18"/>
              </w:rPr>
              <w:t xml:space="preserve">3 (d4) – 4 (d2)</w:t>
            </w:r>
          </w:p>
        </w:tc>
        <w:tc>
          <w:tcPr>
            <w:tcW w:w="3700" w:type="dxa"/>
            <w:tcMar>
              <w:top w:w="60" w:type="dxa"/>
              <w:left w:w="100" w:type="dxa"/>
              <w:bottom w:w="60" w:type="dxa"/>
              <w:right w:w="100" w:type="dxa"/>
            </w:tcMar>
          </w:tcPr>
          <w:p>
            <w:pPr>
              <w:spacing w:after="20"/>
            </w:pPr>
            <w:r>
              <w:rPr>
                <w:sz w:val="18"/>
                <w:szCs w:val="18"/>
              </w:rPr>
              <w:t xml:space="preserve">Core extraction; landscape sample; double coding; snowballing; foundational sources</w:t>
            </w:r>
          </w:p>
        </w:tc>
        <w:tc>
          <w:tcPr>
            <w:tcW w:w="1500" w:type="dxa"/>
            <w:tcMar>
              <w:top w:w="60" w:type="dxa"/>
              <w:left w:w="100" w:type="dxa"/>
              <w:bottom w:w="60" w:type="dxa"/>
              <w:right w:w="100" w:type="dxa"/>
            </w:tcMar>
          </w:tcPr>
          <w:p>
            <w:pPr>
              <w:spacing w:after="20"/>
            </w:pPr>
            <w:r>
              <w:rPr>
                <w:sz w:val="18"/>
                <w:szCs w:val="18"/>
              </w:rPr>
              <w:t xml:space="preserve">All three</w:t>
            </w:r>
          </w:p>
        </w:tc>
        <w:tc>
          <w:tcPr>
            <w:tcW w:w="2860" w:type="dxa"/>
            <w:tcMar>
              <w:top w:w="60" w:type="dxa"/>
              <w:left w:w="100" w:type="dxa"/>
              <w:bottom w:w="60" w:type="dxa"/>
              <w:right w:w="100" w:type="dxa"/>
            </w:tcMar>
          </w:tcPr>
          <w:p>
            <w:pPr>
              <w:spacing w:after="20"/>
            </w:pPr>
            <w:r>
              <w:rPr>
                <w:sz w:val="18"/>
                <w:szCs w:val="18"/>
              </w:rPr>
              <w:t xml:space="preserve">Registry complete</w:t>
            </w:r>
          </w:p>
        </w:tc>
      </w:tr>
      <w:tr>
        <w:tblPrEx>
          <w:tblCellMar>
            <w:top w:w="0" w:type="dxa"/>
            <w:bottom w:w="0" w:type="dxa"/>
          </w:tblCellMar>
        </w:tblPrEx>
        <w:tc>
          <w:tcPr>
            <w:tcW w:w="1300" w:type="dxa"/>
            <w:tcMar>
              <w:top w:w="60" w:type="dxa"/>
              <w:left w:w="100" w:type="dxa"/>
              <w:bottom w:w="60" w:type="dxa"/>
              <w:right w:w="100" w:type="dxa"/>
            </w:tcMar>
          </w:tcPr>
          <w:p>
            <w:pPr>
              <w:spacing w:after="20"/>
            </w:pPr>
            <w:r>
              <w:rPr>
                <w:sz w:val="18"/>
                <w:szCs w:val="18"/>
              </w:rPr>
              <w:t xml:space="preserve">4 (d2–3)</w:t>
            </w:r>
          </w:p>
        </w:tc>
        <w:tc>
          <w:tcPr>
            <w:tcW w:w="3700" w:type="dxa"/>
            <w:tcMar>
              <w:top w:w="60" w:type="dxa"/>
              <w:left w:w="100" w:type="dxa"/>
              <w:bottom w:w="60" w:type="dxa"/>
              <w:right w:w="100" w:type="dxa"/>
            </w:tcMar>
          </w:tcPr>
          <w:p>
            <w:pPr>
              <w:spacing w:after="20"/>
            </w:pPr>
            <w:r>
              <w:rPr>
                <w:sz w:val="18"/>
                <w:szCs w:val="18"/>
              </w:rPr>
              <w:t xml:space="preserve">Synthesis passes</w:t>
            </w:r>
          </w:p>
        </w:tc>
        <w:tc>
          <w:tcPr>
            <w:tcW w:w="1500" w:type="dxa"/>
            <w:tcMar>
              <w:top w:w="60" w:type="dxa"/>
              <w:left w:w="100" w:type="dxa"/>
              <w:bottom w:w="60" w:type="dxa"/>
              <w:right w:w="100" w:type="dxa"/>
            </w:tcMar>
          </w:tcPr>
          <w:p>
            <w:pPr>
              <w:spacing w:after="20"/>
            </w:pPr>
            <w:r>
              <w:rPr>
                <w:sz w:val="18"/>
                <w:szCs w:val="18"/>
              </w:rPr>
              <w:t xml:space="preserve">Domain leads</w:t>
            </w:r>
          </w:p>
        </w:tc>
        <w:tc>
          <w:tcPr>
            <w:tcW w:w="2860" w:type="dxa"/>
            <w:tcMar>
              <w:top w:w="60" w:type="dxa"/>
              <w:left w:w="100" w:type="dxa"/>
              <w:bottom w:w="60" w:type="dxa"/>
              <w:right w:w="100" w:type="dxa"/>
            </w:tcMar>
          </w:tcPr>
          <w:p>
            <w:pPr>
              <w:spacing w:after="20"/>
            </w:pPr>
            <w:r>
              <w:rPr>
                <w:sz w:val="18"/>
                <w:szCs w:val="18"/>
              </w:rPr>
              <w:t xml:space="preserve">Tables and propositions written</w:t>
            </w:r>
          </w:p>
        </w:tc>
      </w:tr>
      <w:tr>
        <w:tblPrEx>
          <w:tblCellMar>
            <w:top w:w="0" w:type="dxa"/>
            <w:bottom w:w="0" w:type="dxa"/>
          </w:tblCellMar>
        </w:tblPrEx>
        <w:tc>
          <w:tcPr>
            <w:tcW w:w="1300" w:type="dxa"/>
            <w:tcMar>
              <w:top w:w="60" w:type="dxa"/>
              <w:left w:w="100" w:type="dxa"/>
              <w:bottom w:w="60" w:type="dxa"/>
              <w:right w:w="100" w:type="dxa"/>
            </w:tcMar>
          </w:tcPr>
          <w:p>
            <w:pPr>
              <w:spacing w:after="20"/>
            </w:pPr>
            <w:r>
              <w:rPr>
                <w:sz w:val="18"/>
                <w:szCs w:val="18"/>
              </w:rPr>
              <w:t xml:space="preserve">4 (d4–5)</w:t>
            </w:r>
          </w:p>
        </w:tc>
        <w:tc>
          <w:tcPr>
            <w:tcW w:w="3700" w:type="dxa"/>
            <w:tcMar>
              <w:top w:w="60" w:type="dxa"/>
              <w:left w:w="100" w:type="dxa"/>
              <w:bottom w:w="60" w:type="dxa"/>
              <w:right w:w="100" w:type="dxa"/>
            </w:tcMar>
          </w:tcPr>
          <w:p>
            <w:pPr>
              <w:spacing w:after="20"/>
            </w:pPr>
            <w:r>
              <w:rPr>
                <w:sz w:val="18"/>
                <w:szCs w:val="18"/>
              </w:rPr>
              <w:t xml:space="preserve">Writing, internal review, replication package</w:t>
            </w:r>
          </w:p>
        </w:tc>
        <w:tc>
          <w:tcPr>
            <w:tcW w:w="1500" w:type="dxa"/>
            <w:tcMar>
              <w:top w:w="60" w:type="dxa"/>
              <w:left w:w="100" w:type="dxa"/>
              <w:bottom w:w="60" w:type="dxa"/>
              <w:right w:w="100" w:type="dxa"/>
            </w:tcMar>
          </w:tcPr>
          <w:p>
            <w:pPr>
              <w:spacing w:after="20"/>
            </w:pPr>
            <w:r>
              <w:rPr>
                <w:sz w:val="18"/>
                <w:szCs w:val="18"/>
              </w:rPr>
              <w:t xml:space="preserve">All three</w:t>
            </w:r>
          </w:p>
        </w:tc>
        <w:tc>
          <w:tcPr>
            <w:tcW w:w="2860" w:type="dxa"/>
            <w:tcMar>
              <w:top w:w="60" w:type="dxa"/>
              <w:left w:w="100" w:type="dxa"/>
              <w:bottom w:w="60" w:type="dxa"/>
              <w:right w:w="100" w:type="dxa"/>
            </w:tcMar>
          </w:tcPr>
          <w:p>
            <w:pPr>
              <w:spacing w:after="20"/>
            </w:pPr>
            <w:r>
              <w:rPr>
                <w:sz w:val="18"/>
                <w:szCs w:val="18"/>
              </w:rPr>
              <w:t xml:space="preserve">Draft submitted; registry published</w:t>
            </w:r>
          </w:p>
        </w:tc>
      </w:tr>
    </w:tbl>
    <w:p>
      <w:pPr>
        <w:spacing w:before="60" w:after="200"/>
      </w:pPr>
      <w:r>
        <w:rPr>
          <w:i/>
          <w:iCs/>
          <w:sz w:val="19"/>
          <w:szCs w:val="19"/>
        </w:rPr>
        <w:t xml:space="preserve">Table 10. Schedule. Week 2 is the critical path.</w:t>
      </w:r>
    </w:p>
    <w:p>
      <w:pPr>
        <w:spacing w:after="120" w:line="276" w:lineRule="auto"/>
      </w:pPr>
      <w:r>
        <w:t xml:space="preserve">Methods lead: protocol, registration, coding rules, venue selection, classifier calibration, agreement statistics. Retrieval lead: pipeline, metadata, provenance. Third reviewer: screening and extraction. All three screen. Extraction is split by expertise where possible: social choice and welfare economics; ML aggregation; perspectivist, fairness, and humanities work. Literatures coded outside a reviewer's expertise are reported as lower-confidence.</w:t>
      </w:r>
    </w:p>
    <w:p>
      <w:pPr>
        <w:pStyle w:val="Heading1"/>
      </w:pPr>
      <w:r>
        <w:t xml:space="preserve">15.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000"/>
        <w:gridCol w:w="4060"/>
      </w:tblGrid>
      <w:tr>
        <w:tblPrEx>
          <w:tblCellMar>
            <w:top w:w="0" w:type="dxa"/>
            <w:bottom w:w="0" w:type="dxa"/>
          </w:tblCellMar>
        </w:tblPrEx>
        <w:trPr>
          <w:tblHeader/>
        </w:trPr>
        <w:tc>
          <w:tcPr>
            <w:tcW w:w="2300" w:type="dxa"/>
            <w:shd w:val="clear" w:color="auto" w:fill="E8EAED"/>
            <w:tcMar>
              <w:top w:w="60" w:type="dxa"/>
              <w:left w:w="100" w:type="dxa"/>
              <w:bottom w:w="60" w:type="dxa"/>
              <w:right w:w="100" w:type="dxa"/>
            </w:tcMar>
          </w:tcPr>
          <w:p>
            <w:pPr>
              <w:spacing w:after="20"/>
            </w:pPr>
            <w:r>
              <w:rPr>
                <w:b/>
                <w:bCs/>
                <w:sz w:val="18"/>
                <w:szCs w:val="18"/>
              </w:rPr>
              <w:t xml:space="preserve">Risk</w:t>
            </w:r>
          </w:p>
        </w:tc>
        <w:tc>
          <w:tcPr>
            <w:tcW w:w="3000" w:type="dxa"/>
            <w:shd w:val="clear" w:color="auto" w:fill="E8EAED"/>
            <w:tcMar>
              <w:top w:w="60" w:type="dxa"/>
              <w:left w:w="100" w:type="dxa"/>
              <w:bottom w:w="60" w:type="dxa"/>
              <w:right w:w="100" w:type="dxa"/>
            </w:tcMar>
          </w:tcPr>
          <w:p>
            <w:pPr>
              <w:spacing w:after="20"/>
            </w:pPr>
            <w:r>
              <w:rPr>
                <w:b/>
                <w:bCs/>
                <w:sz w:val="18"/>
                <w:szCs w:val="18"/>
              </w:rPr>
              <w:t xml:space="preserve">Effect</w:t>
            </w:r>
          </w:p>
        </w:tc>
        <w:tc>
          <w:tcPr>
            <w:tcW w:w="4060" w:type="dxa"/>
            <w:shd w:val="clear" w:color="auto" w:fill="E8EAED"/>
            <w:tcMar>
              <w:top w:w="60" w:type="dxa"/>
              <w:left w:w="100" w:type="dxa"/>
              <w:bottom w:w="60" w:type="dxa"/>
              <w:right w:w="100" w:type="dxa"/>
            </w:tcMar>
          </w:tcPr>
          <w:p>
            <w:pPr>
              <w:spacing w:after="20"/>
            </w:pPr>
            <w:r>
              <w:rPr>
                <w:b/>
                <w:bCs/>
                <w:sz w:val="18"/>
                <w:szCs w:val="18"/>
              </w:rPr>
              <w:t xml:space="preserve">Mitigation</w:t>
            </w:r>
          </w:p>
        </w:tc>
      </w:tr>
      <w:tr>
        <w:tblPrEx>
          <w:tblCellMar>
            <w:top w:w="0" w:type="dxa"/>
            <w:bottom w:w="0" w:type="dxa"/>
          </w:tblCellMar>
        </w:tblPrEx>
        <w:tc>
          <w:tcPr>
            <w:tcW w:w="2300" w:type="dxa"/>
            <w:tcMar>
              <w:top w:w="60" w:type="dxa"/>
              <w:left w:w="100" w:type="dxa"/>
              <w:bottom w:w="60" w:type="dxa"/>
              <w:right w:w="100" w:type="dxa"/>
            </w:tcMar>
          </w:tcPr>
          <w:p>
            <w:pPr>
              <w:spacing w:after="20"/>
            </w:pPr>
            <w:r>
              <w:rPr>
                <w:sz w:val="18"/>
                <w:szCs w:val="18"/>
              </w:rPr>
              <w:t xml:space="preserve">Codes disputed</w:t>
            </w:r>
          </w:p>
        </w:tc>
        <w:tc>
          <w:tcPr>
            <w:tcW w:w="3000" w:type="dxa"/>
            <w:tcMar>
              <w:top w:w="60" w:type="dxa"/>
              <w:left w:w="100" w:type="dxa"/>
              <w:bottom w:w="60" w:type="dxa"/>
              <w:right w:w="100" w:type="dxa"/>
            </w:tcMar>
          </w:tcPr>
          <w:p>
            <w:pPr>
              <w:spacing w:after="20"/>
            </w:pPr>
            <w:r>
              <w:rPr>
                <w:sz w:val="18"/>
                <w:szCs w:val="18"/>
              </w:rPr>
              <w:t xml:space="preserve">Reviewers contest D0–D3 or E/W/R/U assignments</w:t>
            </w:r>
          </w:p>
        </w:tc>
        <w:tc>
          <w:tcPr>
            <w:tcW w:w="4060" w:type="dxa"/>
            <w:tcMar>
              <w:top w:w="60" w:type="dxa"/>
              <w:left w:w="100" w:type="dxa"/>
              <w:bottom w:w="60" w:type="dxa"/>
              <w:right w:w="100" w:type="dxa"/>
            </w:tcMar>
          </w:tcPr>
          <w:p>
            <w:pPr>
              <w:spacing w:after="20"/>
            </w:pPr>
            <w:r>
              <w:rPr>
                <w:sz w:val="18"/>
                <w:szCs w:val="18"/>
              </w:rPr>
              <w:t xml:space="preserve">Rules defined by output object and stated or derivable target; worked examples published; disputed cases listed; agreement per axis reported</w:t>
            </w:r>
          </w:p>
        </w:tc>
      </w:tr>
      <w:tr>
        <w:tblPrEx>
          <w:tblCellMar>
            <w:top w:w="0" w:type="dxa"/>
            <w:bottom w:w="0" w:type="dxa"/>
          </w:tblCellMar>
        </w:tblPrEx>
        <w:tc>
          <w:tcPr>
            <w:tcW w:w="2300" w:type="dxa"/>
            <w:tcMar>
              <w:top w:w="60" w:type="dxa"/>
              <w:left w:w="100" w:type="dxa"/>
              <w:bottom w:w="60" w:type="dxa"/>
              <w:right w:w="100" w:type="dxa"/>
            </w:tcMar>
          </w:tcPr>
          <w:p>
            <w:pPr>
              <w:spacing w:after="20"/>
            </w:pPr>
            <w:r>
              <w:rPr>
                <w:sz w:val="18"/>
                <w:szCs w:val="18"/>
              </w:rPr>
              <w:t xml:space="preserve">Abstract coding unreliable</w:t>
            </w:r>
          </w:p>
        </w:tc>
        <w:tc>
          <w:tcPr>
            <w:tcW w:w="3000" w:type="dxa"/>
            <w:tcMar>
              <w:top w:w="60" w:type="dxa"/>
              <w:left w:w="100" w:type="dxa"/>
              <w:bottom w:w="60" w:type="dxa"/>
              <w:right w:w="100" w:type="dxa"/>
            </w:tcMar>
          </w:tcPr>
          <w:p>
            <w:pPr>
              <w:spacing w:after="20"/>
            </w:pPr>
            <w:r>
              <w:rPr>
                <w:sz w:val="18"/>
                <w:szCs w:val="18"/>
              </w:rPr>
              <w:t xml:space="preserve">Landscape results misstate what methods do</w:t>
            </w:r>
          </w:p>
        </w:tc>
        <w:tc>
          <w:tcPr>
            <w:tcW w:w="4060" w:type="dxa"/>
            <w:tcMar>
              <w:top w:w="60" w:type="dxa"/>
              <w:left w:w="100" w:type="dxa"/>
              <w:bottom w:w="60" w:type="dxa"/>
              <w:right w:w="100" w:type="dxa"/>
            </w:tcMar>
          </w:tcPr>
          <w:p>
            <w:pPr>
              <w:spacing w:after="20"/>
            </w:pPr>
            <w:r>
              <w:rPr>
                <w:sz w:val="18"/>
                <w:szCs w:val="18"/>
              </w:rPr>
              <w:t xml:space="preserve">Indeterminate allowed; per-cell agreement from the sample reported; welfare criteria from full text only</w:t>
            </w:r>
          </w:p>
        </w:tc>
      </w:tr>
      <w:tr>
        <w:tblPrEx>
          <w:tblCellMar>
            <w:top w:w="0" w:type="dxa"/>
            <w:bottom w:w="0" w:type="dxa"/>
          </w:tblCellMar>
        </w:tblPrEx>
        <w:tc>
          <w:tcPr>
            <w:tcW w:w="2300" w:type="dxa"/>
            <w:tcMar>
              <w:top w:w="60" w:type="dxa"/>
              <w:left w:w="100" w:type="dxa"/>
              <w:bottom w:w="60" w:type="dxa"/>
              <w:right w:w="100" w:type="dxa"/>
            </w:tcMar>
          </w:tcPr>
          <w:p>
            <w:pPr>
              <w:spacing w:after="20"/>
            </w:pPr>
            <w:r>
              <w:rPr>
                <w:sz w:val="18"/>
                <w:szCs w:val="18"/>
              </w:rPr>
              <w:t xml:space="preserve">Derived criteria contested</w:t>
            </w:r>
          </w:p>
        </w:tc>
        <w:tc>
          <w:tcPr>
            <w:tcW w:w="3000" w:type="dxa"/>
            <w:tcMar>
              <w:top w:w="60" w:type="dxa"/>
              <w:left w:w="100" w:type="dxa"/>
              <w:bottom w:w="60" w:type="dxa"/>
              <w:right w:w="100" w:type="dxa"/>
            </w:tcMar>
          </w:tcPr>
          <w:p>
            <w:pPr>
              <w:spacing w:after="20"/>
            </w:pPr>
            <w:r>
              <w:rPr>
                <w:sz w:val="18"/>
                <w:szCs w:val="18"/>
              </w:rPr>
              <w:t xml:space="preserve">Authors read a derived utilitarian criterion as a misreading</w:t>
            </w:r>
          </w:p>
        </w:tc>
        <w:tc>
          <w:tcPr>
            <w:tcW w:w="4060" w:type="dxa"/>
            <w:tcMar>
              <w:top w:w="60" w:type="dxa"/>
              <w:left w:w="100" w:type="dxa"/>
              <w:bottom w:w="60" w:type="dxa"/>
              <w:right w:w="100" w:type="dxa"/>
            </w:tcMar>
          </w:tcPr>
          <w:p>
            <w:pPr>
              <w:spacing w:after="20"/>
            </w:pPr>
            <w:r>
              <w:rPr>
                <w:sz w:val="18"/>
                <w:szCs w:val="18"/>
              </w:rPr>
              <w:t xml:space="preserve">Stored separately from stated criteria; reduction cited; fully double coded; described as what the method implements</w:t>
            </w:r>
          </w:p>
        </w:tc>
      </w:tr>
      <w:tr>
        <w:tblPrEx>
          <w:tblCellMar>
            <w:top w:w="0" w:type="dxa"/>
            <w:bottom w:w="0" w:type="dxa"/>
          </w:tblCellMar>
        </w:tblPrEx>
        <w:tc>
          <w:tcPr>
            <w:tcW w:w="2300" w:type="dxa"/>
            <w:tcMar>
              <w:top w:w="60" w:type="dxa"/>
              <w:left w:w="100" w:type="dxa"/>
              <w:bottom w:w="60" w:type="dxa"/>
              <w:right w:w="100" w:type="dxa"/>
            </w:tcMar>
          </w:tcPr>
          <w:p>
            <w:pPr>
              <w:spacing w:after="20"/>
            </w:pPr>
            <w:r>
              <w:rPr>
                <w:sz w:val="18"/>
                <w:szCs w:val="18"/>
              </w:rPr>
              <w:t xml:space="preserve">Selection circularity</w:t>
            </w:r>
          </w:p>
        </w:tc>
        <w:tc>
          <w:tcPr>
            <w:tcW w:w="3000" w:type="dxa"/>
            <w:tcMar>
              <w:top w:w="60" w:type="dxa"/>
              <w:left w:w="100" w:type="dxa"/>
              <w:bottom w:w="60" w:type="dxa"/>
              <w:right w:w="100" w:type="dxa"/>
            </w:tcMar>
          </w:tcPr>
          <w:p>
            <w:pPr>
              <w:spacing w:after="20"/>
            </w:pPr>
            <w:r>
              <w:rPr>
                <w:sz w:val="18"/>
                <w:szCs w:val="18"/>
              </w:rPr>
              <w:t xml:space="preserve">Corpus reflects the keyword schema</w:t>
            </w:r>
          </w:p>
        </w:tc>
        <w:tc>
          <w:tcPr>
            <w:tcW w:w="4060" w:type="dxa"/>
            <w:tcMar>
              <w:top w:w="60" w:type="dxa"/>
              <w:left w:w="100" w:type="dxa"/>
              <w:bottom w:w="60" w:type="dxa"/>
              <w:right w:w="100" w:type="dxa"/>
            </w:tcMar>
          </w:tcPr>
          <w:p>
            <w:pPr>
              <w:spacing w:after="20"/>
            </w:pPr>
            <w:r>
              <w:rPr>
                <w:sz w:val="18"/>
                <w:szCs w:val="18"/>
              </w:rPr>
              <w:t xml:space="preserve">Rule registered before counts; precision measured by hand; keyword-exclusion audit</w:t>
            </w:r>
          </w:p>
        </w:tc>
      </w:tr>
      <w:tr>
        <w:tblPrEx>
          <w:tblCellMar>
            <w:top w:w="0" w:type="dxa"/>
            <w:bottom w:w="0" w:type="dxa"/>
          </w:tblCellMar>
        </w:tblPrEx>
        <w:tc>
          <w:tcPr>
            <w:tcW w:w="2300" w:type="dxa"/>
            <w:tcMar>
              <w:top w:w="60" w:type="dxa"/>
              <w:left w:w="100" w:type="dxa"/>
              <w:bottom w:w="60" w:type="dxa"/>
              <w:right w:w="100" w:type="dxa"/>
            </w:tcMar>
          </w:tcPr>
          <w:p>
            <w:pPr>
              <w:spacing w:after="20"/>
            </w:pPr>
            <w:r>
              <w:rPr>
                <w:sz w:val="18"/>
                <w:szCs w:val="18"/>
              </w:rPr>
              <w:t xml:space="preserve">Predictions confirmed by design</w:t>
            </w:r>
          </w:p>
        </w:tc>
        <w:tc>
          <w:tcPr>
            <w:tcW w:w="3000" w:type="dxa"/>
            <w:tcMar>
              <w:top w:w="60" w:type="dxa"/>
              <w:left w:w="100" w:type="dxa"/>
              <w:bottom w:w="60" w:type="dxa"/>
              <w:right w:w="100" w:type="dxa"/>
            </w:tcMar>
          </w:tcPr>
          <w:p>
            <w:pPr>
              <w:spacing w:after="20"/>
            </w:pPr>
            <w:r>
              <w:rPr>
                <w:sz w:val="18"/>
                <w:szCs w:val="18"/>
              </w:rPr>
              <w:t xml:space="preserve">All three predictions hold and look circular</w:t>
            </w:r>
          </w:p>
        </w:tc>
        <w:tc>
          <w:tcPr>
            <w:tcW w:w="4060" w:type="dxa"/>
            <w:tcMar>
              <w:top w:w="60" w:type="dxa"/>
              <w:left w:w="100" w:type="dxa"/>
              <w:bottom w:w="60" w:type="dxa"/>
              <w:right w:w="100" w:type="dxa"/>
            </w:tcMar>
          </w:tcPr>
          <w:p>
            <w:pPr>
              <w:spacing w:after="20"/>
            </w:pPr>
            <w:r>
              <w:rPr>
                <w:sz w:val="18"/>
                <w:szCs w:val="18"/>
              </w:rPr>
              <w:t xml:space="preserve">Timestamped before screening; coding rules independent of predictions; tiers reported separately</w:t>
            </w:r>
          </w:p>
        </w:tc>
      </w:tr>
      <w:tr>
        <w:tblPrEx>
          <w:tblCellMar>
            <w:top w:w="0" w:type="dxa"/>
            <w:bottom w:w="0" w:type="dxa"/>
          </w:tblCellMar>
        </w:tblPrEx>
        <w:tc>
          <w:tcPr>
            <w:tcW w:w="2300" w:type="dxa"/>
            <w:tcMar>
              <w:top w:w="60" w:type="dxa"/>
              <w:left w:w="100" w:type="dxa"/>
              <w:bottom w:w="60" w:type="dxa"/>
              <w:right w:w="100" w:type="dxa"/>
            </w:tcMar>
          </w:tcPr>
          <w:p>
            <w:pPr>
              <w:spacing w:after="20"/>
            </w:pPr>
            <w:r>
              <w:rPr>
                <w:sz w:val="18"/>
                <w:szCs w:val="18"/>
              </w:rPr>
              <w:t xml:space="preserve">Sparse cells miscoded</w:t>
            </w:r>
          </w:p>
        </w:tc>
        <w:tc>
          <w:tcPr>
            <w:tcW w:w="3000" w:type="dxa"/>
            <w:tcMar>
              <w:top w:w="60" w:type="dxa"/>
              <w:left w:w="100" w:type="dxa"/>
              <w:bottom w:w="60" w:type="dxa"/>
              <w:right w:w="100" w:type="dxa"/>
            </w:tcMar>
          </w:tcPr>
          <w:p>
            <w:pPr>
              <w:spacing w:after="20"/>
            </w:pPr>
            <w:r>
              <w:rPr>
                <w:sz w:val="18"/>
                <w:szCs w:val="18"/>
              </w:rPr>
              <w:t xml:space="preserve">D2, D3, or W counts wrong</w:t>
            </w:r>
          </w:p>
        </w:tc>
        <w:tc>
          <w:tcPr>
            <w:tcW w:w="4060" w:type="dxa"/>
            <w:tcMar>
              <w:top w:w="60" w:type="dxa"/>
              <w:left w:w="100" w:type="dxa"/>
              <w:bottom w:w="60" w:type="dxa"/>
              <w:right w:w="100" w:type="dxa"/>
            </w:tcMar>
          </w:tcPr>
          <w:p>
            <w:pPr>
              <w:spacing w:after="20"/>
            </w:pPr>
            <w:r>
              <w:rPr>
                <w:sz w:val="18"/>
                <w:szCs w:val="18"/>
              </w:rPr>
              <w:t xml:space="preserve">Full double coding; preservation query without anchors; all D2, D3, W landscape abstracts sent to full text</w:t>
            </w:r>
          </w:p>
        </w:tc>
      </w:tr>
      <w:tr>
        <w:tblPrEx>
          <w:tblCellMar>
            <w:top w:w="0" w:type="dxa"/>
            <w:bottom w:w="0" w:type="dxa"/>
          </w:tblCellMar>
        </w:tblPrEx>
        <w:tc>
          <w:tcPr>
            <w:tcW w:w="2300" w:type="dxa"/>
            <w:tcMar>
              <w:top w:w="60" w:type="dxa"/>
              <w:left w:w="100" w:type="dxa"/>
              <w:bottom w:w="60" w:type="dxa"/>
              <w:right w:w="100" w:type="dxa"/>
            </w:tcMar>
          </w:tcPr>
          <w:p>
            <w:pPr>
              <w:spacing w:after="20"/>
            </w:pPr>
            <w:r>
              <w:rPr>
                <w:sz w:val="18"/>
                <w:szCs w:val="18"/>
              </w:rPr>
              <w:t xml:space="preserve">Humanities under-retrieved</w:t>
            </w:r>
          </w:p>
        </w:tc>
        <w:tc>
          <w:tcPr>
            <w:tcW w:w="3000" w:type="dxa"/>
            <w:tcMar>
              <w:top w:w="60" w:type="dxa"/>
              <w:left w:w="100" w:type="dxa"/>
              <w:bottom w:w="60" w:type="dxa"/>
              <w:right w:w="100" w:type="dxa"/>
            </w:tcMar>
          </w:tcPr>
          <w:p>
            <w:pPr>
              <w:spacing w:after="20"/>
            </w:pPr>
            <w:r>
              <w:rPr>
                <w:sz w:val="18"/>
                <w:szCs w:val="18"/>
              </w:rPr>
              <w:t xml:space="preserve">Philosophy papers use different vocabulary</w:t>
            </w:r>
          </w:p>
        </w:tc>
        <w:tc>
          <w:tcPr>
            <w:tcW w:w="4060" w:type="dxa"/>
            <w:tcMar>
              <w:top w:w="60" w:type="dxa"/>
              <w:left w:w="100" w:type="dxa"/>
              <w:bottom w:w="60" w:type="dxa"/>
              <w:right w:w="100" w:type="dxa"/>
            </w:tcMar>
          </w:tcPr>
          <w:p>
            <w:pPr>
              <w:spacing w:after="20"/>
            </w:pPr>
            <w:r>
              <w:rPr>
                <w:sz w:val="18"/>
                <w:szCs w:val="18"/>
              </w:rPr>
              <w:t xml:space="preserve">Humanities pilot before selection; precision adjustment; per-stratum core slot; keyword-exclusion audit</w:t>
            </w:r>
          </w:p>
        </w:tc>
      </w:tr>
      <w:tr>
        <w:tblPrEx>
          <w:tblCellMar>
            <w:top w:w="0" w:type="dxa"/>
            <w:bottom w:w="0" w:type="dxa"/>
          </w:tblCellMar>
        </w:tblPrEx>
        <w:tc>
          <w:tcPr>
            <w:tcW w:w="2300" w:type="dxa"/>
            <w:tcMar>
              <w:top w:w="60" w:type="dxa"/>
              <w:left w:w="100" w:type="dxa"/>
              <w:bottom w:w="60" w:type="dxa"/>
              <w:right w:w="100" w:type="dxa"/>
            </w:tcMar>
          </w:tcPr>
          <w:p>
            <w:pPr>
              <w:spacing w:after="20"/>
            </w:pPr>
            <w:r>
              <w:rPr>
                <w:sz w:val="18"/>
                <w:szCs w:val="18"/>
              </w:rPr>
              <w:t xml:space="preserve">Missing abstracts</w:t>
            </w:r>
          </w:p>
        </w:tc>
        <w:tc>
          <w:tcPr>
            <w:tcW w:w="3000" w:type="dxa"/>
            <w:tcMar>
              <w:top w:w="60" w:type="dxa"/>
              <w:left w:w="100" w:type="dxa"/>
              <w:bottom w:w="60" w:type="dxa"/>
              <w:right w:w="100" w:type="dxa"/>
            </w:tcMar>
          </w:tcPr>
          <w:p>
            <w:pPr>
              <w:spacing w:after="20"/>
            </w:pPr>
            <w:r>
              <w:rPr>
                <w:sz w:val="18"/>
                <w:szCs w:val="18"/>
              </w:rPr>
              <w:t xml:space="preserve">Springer journals lack open abstracts; some EC papers are abstract-only</w:t>
            </w:r>
          </w:p>
        </w:tc>
        <w:tc>
          <w:tcPr>
            <w:tcW w:w="4060" w:type="dxa"/>
            <w:tcMar>
              <w:top w:w="60" w:type="dxa"/>
              <w:left w:w="100" w:type="dxa"/>
              <w:bottom w:w="60" w:type="dxa"/>
              <w:right w:w="100" w:type="dxa"/>
            </w:tcMar>
          </w:tcPr>
          <w:p>
            <w:pPr>
              <w:spacing w:after="20"/>
            </w:pPr>
            <w:r>
              <w:rPr>
                <w:sz w:val="18"/>
                <w:szCs w:val="18"/>
              </w:rPr>
              <w:t xml:space="preserve">SpringerLink or Springer Nature API; coverage reported; EC papers coded from the journal version</w:t>
            </w:r>
          </w:p>
        </w:tc>
      </w:tr>
      <w:tr>
        <w:tblPrEx>
          <w:tblCellMar>
            <w:top w:w="0" w:type="dxa"/>
            <w:bottom w:w="0" w:type="dxa"/>
          </w:tblCellMar>
        </w:tblPrEx>
        <w:tc>
          <w:tcPr>
            <w:tcW w:w="2300" w:type="dxa"/>
            <w:tcMar>
              <w:top w:w="60" w:type="dxa"/>
              <w:left w:w="100" w:type="dxa"/>
              <w:bottom w:w="60" w:type="dxa"/>
              <w:right w:w="100" w:type="dxa"/>
            </w:tcMar>
          </w:tcPr>
          <w:p>
            <w:pPr>
              <w:spacing w:after="20"/>
            </w:pPr>
            <w:r>
              <w:rPr>
                <w:sz w:val="18"/>
                <w:szCs w:val="18"/>
              </w:rPr>
              <w:t xml:space="preserve">Fairness papers flood FAccT results</w:t>
            </w:r>
          </w:p>
        </w:tc>
        <w:tc>
          <w:tcPr>
            <w:tcW w:w="3000" w:type="dxa"/>
            <w:tcMar>
              <w:top w:w="60" w:type="dxa"/>
              <w:left w:w="100" w:type="dxa"/>
              <w:bottom w:w="60" w:type="dxa"/>
              <w:right w:w="100" w:type="dxa"/>
            </w:tcMar>
          </w:tcPr>
          <w:p>
            <w:pPr>
              <w:spacing w:after="20"/>
            </w:pPr>
            <w:r>
              <w:rPr>
                <w:sz w:val="18"/>
                <w:szCs w:val="18"/>
              </w:rPr>
              <w:t xml:space="preserve">Group-fairness papers with no aggregation across sources</w:t>
            </w:r>
          </w:p>
        </w:tc>
        <w:tc>
          <w:tcPr>
            <w:tcW w:w="4060" w:type="dxa"/>
            <w:tcMar>
              <w:top w:w="60" w:type="dxa"/>
              <w:left w:w="100" w:type="dxa"/>
              <w:bottom w:w="60" w:type="dxa"/>
              <w:right w:w="100" w:type="dxa"/>
            </w:tcMar>
          </w:tcPr>
          <w:p>
            <w:pPr>
              <w:spacing w:after="20"/>
            </w:pPr>
            <w:r>
              <w:rPr>
                <w:sz w:val="18"/>
                <w:szCs w:val="18"/>
              </w:rPr>
              <w:t xml:space="preserve">Narrowed fairness pattern; §7.3 rule applied at screening</w:t>
            </w:r>
          </w:p>
        </w:tc>
      </w:tr>
      <w:tr>
        <w:tblPrEx>
          <w:tblCellMar>
            <w:top w:w="0" w:type="dxa"/>
            <w:bottom w:w="0" w:type="dxa"/>
          </w:tblCellMar>
        </w:tblPrEx>
        <w:tc>
          <w:tcPr>
            <w:tcW w:w="2300" w:type="dxa"/>
            <w:tcMar>
              <w:top w:w="60" w:type="dxa"/>
              <w:left w:w="100" w:type="dxa"/>
              <w:bottom w:w="60" w:type="dxa"/>
              <w:right w:w="100" w:type="dxa"/>
            </w:tcMar>
          </w:tcPr>
          <w:p>
            <w:pPr>
              <w:spacing w:after="20"/>
            </w:pPr>
            <w:r>
              <w:rPr>
                <w:sz w:val="18"/>
                <w:szCs w:val="18"/>
              </w:rPr>
              <w:t xml:space="preserve">MoErging overlap</w:t>
            </w:r>
          </w:p>
        </w:tc>
        <w:tc>
          <w:tcPr>
            <w:tcW w:w="3000" w:type="dxa"/>
            <w:tcMar>
              <w:top w:w="60" w:type="dxa"/>
              <w:left w:w="100" w:type="dxa"/>
              <w:bottom w:w="60" w:type="dxa"/>
              <w:right w:w="100" w:type="dxa"/>
            </w:tcMar>
          </w:tcPr>
          <w:p>
            <w:pPr>
              <w:spacing w:after="20"/>
            </w:pPr>
            <w:r>
              <w:rPr>
                <w:sz w:val="18"/>
                <w:szCs w:val="18"/>
              </w:rPr>
              <w:t xml:space="preserve">Read as a re-survey of routing and merging</w:t>
            </w:r>
          </w:p>
        </w:tc>
        <w:tc>
          <w:tcPr>
            <w:tcW w:w="4060" w:type="dxa"/>
            <w:tcMar>
              <w:top w:w="60" w:type="dxa"/>
              <w:left w:w="100" w:type="dxa"/>
              <w:bottom w:w="60" w:type="dxa"/>
              <w:right w:w="100" w:type="dxa"/>
            </w:tcMar>
          </w:tcPr>
          <w:p>
            <w:pPr>
              <w:spacing w:after="20"/>
            </w:pPr>
            <w:r>
              <w:rPr>
                <w:sz w:val="18"/>
                <w:szCs w:val="18"/>
              </w:rPr>
              <w:t xml:space="preserve">Different axes stated in §2; framing agreed with the co-author</w:t>
            </w:r>
          </w:p>
        </w:tc>
      </w:tr>
    </w:tbl>
    <w:p>
      <w:pPr>
        <w:spacing w:before="60" w:after="200"/>
      </w:pPr>
      <w:r>
        <w:rPr>
          <w:i/>
          <w:iCs/>
          <w:sz w:val="19"/>
          <w:szCs w:val="19"/>
        </w:rPr>
        <w:t xml:space="preserve">Table 11. Risks.</w:t>
      </w:r>
    </w:p>
    <w:p>
      <w:pPr>
        <w:pStyle w:val="Heading1"/>
      </w:pPr>
      <w:r>
        <w:t xml:space="preserve">16. Reporting and limitations</w:t>
      </w:r>
    </w:p>
    <w:p>
      <w:pPr>
        <w:pStyle w:val="ListParagraph"/>
        <w:numPr>
          <w:ilvl w:val="0"/>
          <w:numId w:val="1"/>
        </w:numPr>
        <w:spacing w:after="70" w:line="276" w:lineRule="auto"/>
      </w:pPr>
      <w:r>
        <w:t xml:space="preserve">Two PRISMA 2020 flow diagrams: core to full-text inclusion; landscape to abstract-level inclusion, with the full-text sample as a branch. Classifier exclusions shown in the automation-tool boxes.</w:t>
      </w:r>
    </w:p>
    <w:p>
      <w:pPr>
        <w:pStyle w:val="ListParagraph"/>
        <w:numPr>
          <w:ilvl w:val="0"/>
          <w:numId w:val="1"/>
        </w:numPr>
        <w:spacing w:after="70" w:line="276" w:lineRule="auto"/>
      </w:pPr>
      <w:r>
        <w:t xml:space="preserve">The venue selection table and the registered rule.</w:t>
      </w:r>
    </w:p>
    <w:p>
      <w:pPr>
        <w:pStyle w:val="ListParagraph"/>
        <w:numPr>
          <w:ilvl w:val="0"/>
          <w:numId w:val="1"/>
        </w:numPr>
        <w:spacing w:after="70" w:line="276" w:lineRule="auto"/>
      </w:pPr>
      <w:r>
        <w:t xml:space="preserve">Full-text exclusion reasons with counts.</w:t>
      </w:r>
    </w:p>
    <w:p>
      <w:pPr>
        <w:pStyle w:val="ListParagraph"/>
        <w:numPr>
          <w:ilvl w:val="0"/>
          <w:numId w:val="1"/>
        </w:numPr>
        <w:spacing w:after="70" w:line="276" w:lineRule="auto"/>
      </w:pPr>
      <w:r>
        <w:t xml:space="preserve">Agreement at pilot, on audit samples, on double-extracted records, per coding axis, and between abstract and full-text codes.</w:t>
      </w:r>
    </w:p>
    <w:p>
      <w:pPr>
        <w:pStyle w:val="ListParagraph"/>
        <w:numPr>
          <w:ilvl w:val="0"/>
          <w:numId w:val="1"/>
        </w:numPr>
        <w:spacing w:after="70" w:line="276" w:lineRule="auto"/>
      </w:pPr>
      <w:r>
        <w:t xml:space="preserve">Classifier precision, recall, threshold, and audited false-negative rate; keyword-exclusion audit result.</w:t>
      </w:r>
    </w:p>
    <w:p>
      <w:pPr>
        <w:pStyle w:val="ListParagraph"/>
        <w:numPr>
          <w:ilvl w:val="0"/>
          <w:numId w:val="1"/>
        </w:numPr>
        <w:spacing w:after="70" w:line="276" w:lineRule="auto"/>
      </w:pPr>
      <w:r>
        <w:t xml:space="preserve">Abstract coverage and metadata route per venue; records per year.</w:t>
      </w:r>
    </w:p>
    <w:p>
      <w:pPr>
        <w:pStyle w:val="ListParagraph"/>
        <w:numPr>
          <w:ilvl w:val="0"/>
          <w:numId w:val="1"/>
        </w:numPr>
        <w:spacing w:after="70" w:line="276" w:lineRule="auto"/>
      </w:pPr>
      <w:r>
        <w:t xml:space="preserve">Registered predictions and propositions with timestamps and outcomes.</w:t>
      </w:r>
    </w:p>
    <w:p>
      <w:pPr>
        <w:pStyle w:val="ListParagraph"/>
        <w:numPr>
          <w:ilvl w:val="0"/>
          <w:numId w:val="1"/>
        </w:numPr>
        <w:spacing w:after="70" w:line="276" w:lineRule="auto"/>
      </w:pPr>
      <w:r>
        <w:t xml:space="preserve">The full registry, with disputed assignments and every derived criterion's reduction.</w:t>
      </w:r>
    </w:p>
    <w:p>
      <w:pPr>
        <w:pStyle w:val="ListParagraph"/>
        <w:numPr>
          <w:ilvl w:val="0"/>
          <w:numId w:val="1"/>
        </w:numPr>
        <w:spacing w:after="70" w:line="276" w:lineRule="auto"/>
      </w:pPr>
      <w:r>
        <w:t xml:space="preserve">Any generative-AI assistance, with its function and validation.</w:t>
      </w:r>
    </w:p>
    <w:p>
      <w:pPr>
        <w:spacing w:after="120" w:line="276" w:lineRule="auto"/>
      </w:pPr>
      <w:r>
        <w:rPr>
          <w:b/>
          <w:bCs/>
        </w:rPr>
        <w:t xml:space="preserve">Limitations. </w:t>
      </w:r>
      <w:r>
        <w:t xml:space="preserve">The corpus is peer-reviewed only, which over-represents analytically tractable techniques and English-language venues and omits practitioner documentation relevant to D2 and D3. Landscape results rest on abstracts plus an 80-paper sample. Title and abstract screening in the core is single-reviewer with a 20 percent audit. All three follow from the budget of three reviewers over four weeks.</w:t>
      </w:r>
    </w:p>
    <w:p>
      <w:pPr>
        <w:pStyle w:val="Heading1"/>
      </w:pPr>
      <w:r>
        <w:t xml:space="preserve">Appendix A. Method families and expected codes</w:t>
      </w:r>
    </w:p>
    <w:p>
      <w:pPr>
        <w:spacing w:after="120" w:line="276" w:lineRule="auto"/>
      </w:pPr>
      <w:r>
        <w:t xml:space="preserve">Families index the corpus. Expected codes are registered predictions.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900"/>
        <w:gridCol w:w="3860"/>
        <w:gridCol w:w="1400"/>
        <w:gridCol w:w="1600"/>
      </w:tblGrid>
      <w:tr>
        <w:tblPrEx>
          <w:tblCellMar>
            <w:top w:w="0" w:type="dxa"/>
            <w:bottom w:w="0" w:type="dxa"/>
          </w:tblCellMar>
        </w:tblPrEx>
        <w:trPr>
          <w:tblHeader/>
        </w:trPr>
        <w:tc>
          <w:tcPr>
            <w:tcW w:w="600" w:type="dxa"/>
            <w:shd w:val="clear" w:color="auto" w:fill="E8EAED"/>
            <w:tcMar>
              <w:top w:w="60" w:type="dxa"/>
              <w:left w:w="100" w:type="dxa"/>
              <w:bottom w:w="60" w:type="dxa"/>
              <w:right w:w="100" w:type="dxa"/>
            </w:tcMar>
          </w:tcPr>
          <w:p>
            <w:pPr>
              <w:spacing w:after="20"/>
            </w:pPr>
            <w:r>
              <w:rPr>
                <w:b/>
                <w:bCs/>
                <w:sz w:val="18"/>
                <w:szCs w:val="18"/>
              </w:rPr>
              <w:t xml:space="preserve">ID</w:t>
            </w:r>
          </w:p>
        </w:tc>
        <w:tc>
          <w:tcPr>
            <w:tcW w:w="1900" w:type="dxa"/>
            <w:shd w:val="clear" w:color="auto" w:fill="E8EAED"/>
            <w:tcMar>
              <w:top w:w="60" w:type="dxa"/>
              <w:left w:w="100" w:type="dxa"/>
              <w:bottom w:w="60" w:type="dxa"/>
              <w:right w:w="100" w:type="dxa"/>
            </w:tcMar>
          </w:tcPr>
          <w:p>
            <w:pPr>
              <w:spacing w:after="20"/>
            </w:pPr>
            <w:r>
              <w:rPr>
                <w:b/>
                <w:bCs/>
                <w:sz w:val="18"/>
                <w:szCs w:val="18"/>
              </w:rPr>
              <w:t xml:space="preserve">Family</w:t>
            </w:r>
          </w:p>
        </w:tc>
        <w:tc>
          <w:tcPr>
            <w:tcW w:w="3860" w:type="dxa"/>
            <w:shd w:val="clear" w:color="auto" w:fill="E8EAED"/>
            <w:tcMar>
              <w:top w:w="60" w:type="dxa"/>
              <w:left w:w="100" w:type="dxa"/>
              <w:bottom w:w="60" w:type="dxa"/>
              <w:right w:w="100" w:type="dxa"/>
            </w:tcMar>
          </w:tcPr>
          <w:p>
            <w:pPr>
              <w:spacing w:after="20"/>
            </w:pPr>
            <w:r>
              <w:rPr>
                <w:b/>
                <w:bCs/>
                <w:sz w:val="18"/>
                <w:szCs w:val="18"/>
              </w:rPr>
              <w:t xml:space="preserve">Representative techniques</w:t>
            </w:r>
          </w:p>
        </w:tc>
        <w:tc>
          <w:tcPr>
            <w:tcW w:w="1400" w:type="dxa"/>
            <w:shd w:val="clear" w:color="auto" w:fill="E8EAED"/>
            <w:tcMar>
              <w:top w:w="60" w:type="dxa"/>
              <w:left w:w="100" w:type="dxa"/>
              <w:bottom w:w="60" w:type="dxa"/>
              <w:right w:w="100" w:type="dxa"/>
            </w:tcMar>
          </w:tcPr>
          <w:p>
            <w:pPr>
              <w:spacing w:after="20"/>
            </w:pPr>
            <w:r>
              <w:rPr>
                <w:b/>
                <w:bCs/>
                <w:sz w:val="18"/>
                <w:szCs w:val="18"/>
              </w:rPr>
              <w:t xml:space="preserve">Expected disposition</w:t>
            </w:r>
          </w:p>
        </w:tc>
        <w:tc>
          <w:tcPr>
            <w:tcW w:w="1600" w:type="dxa"/>
            <w:shd w:val="clear" w:color="auto" w:fill="E8EAED"/>
            <w:tcMar>
              <w:top w:w="60" w:type="dxa"/>
              <w:left w:w="100" w:type="dxa"/>
              <w:bottom w:w="60" w:type="dxa"/>
              <w:right w:w="100" w:type="dxa"/>
            </w:tcMar>
          </w:tcPr>
          <w:p>
            <w:pPr>
              <w:spacing w:after="20"/>
            </w:pPr>
            <w:r>
              <w:rPr>
                <w:b/>
                <w:bCs/>
                <w:sz w:val="18"/>
                <w:szCs w:val="18"/>
              </w:rPr>
              <w:t xml:space="preserve">Expected account</w:t>
            </w:r>
          </w:p>
        </w:tc>
      </w:tr>
      <w:tr>
        <w:tblPrEx>
          <w:tblCellMar>
            <w:top w:w="0" w:type="dxa"/>
            <w:bottom w:w="0" w:type="dxa"/>
          </w:tblCellMar>
        </w:tblPrEx>
        <w:tc>
          <w:tcPr>
            <w:tcW w:w="600" w:type="dxa"/>
            <w:tcMar>
              <w:top w:w="60" w:type="dxa"/>
              <w:left w:w="100" w:type="dxa"/>
              <w:bottom w:w="60" w:type="dxa"/>
              <w:right w:w="100" w:type="dxa"/>
            </w:tcMar>
          </w:tcPr>
          <w:p>
            <w:pPr>
              <w:spacing w:after="20"/>
            </w:pPr>
            <w:r>
              <w:rPr>
                <w:sz w:val="18"/>
                <w:szCs w:val="18"/>
              </w:rPr>
              <w:t xml:space="preserve">F1</w:t>
            </w:r>
          </w:p>
        </w:tc>
        <w:tc>
          <w:tcPr>
            <w:tcW w:w="1900" w:type="dxa"/>
            <w:tcMar>
              <w:top w:w="60" w:type="dxa"/>
              <w:left w:w="100" w:type="dxa"/>
              <w:bottom w:w="60" w:type="dxa"/>
              <w:right w:w="100" w:type="dxa"/>
            </w:tcMar>
          </w:tcPr>
          <w:p>
            <w:pPr>
              <w:spacing w:after="20"/>
            </w:pPr>
            <w:r>
              <w:rPr>
                <w:sz w:val="18"/>
                <w:szCs w:val="18"/>
              </w:rPr>
              <w:t xml:space="preserve">Ordinal preference aggregation</w:t>
            </w:r>
          </w:p>
        </w:tc>
        <w:tc>
          <w:tcPr>
            <w:tcW w:w="3860" w:type="dxa"/>
            <w:tcMar>
              <w:top w:w="60" w:type="dxa"/>
              <w:left w:w="100" w:type="dxa"/>
              <w:bottom w:w="60" w:type="dxa"/>
              <w:right w:w="100" w:type="dxa"/>
            </w:tcMar>
          </w:tcPr>
          <w:p>
            <w:pPr>
              <w:spacing w:after="20"/>
            </w:pPr>
            <w:r>
              <w:rPr>
                <w:sz w:val="18"/>
                <w:szCs w:val="18"/>
              </w:rPr>
              <w:t xml:space="preserve">Positional scoring; Condorcet-consistent rules; elimination rules; randomized social choice; majority judgment</w:t>
            </w:r>
          </w:p>
        </w:tc>
        <w:tc>
          <w:tcPr>
            <w:tcW w:w="1400" w:type="dxa"/>
            <w:tcMar>
              <w:top w:w="60" w:type="dxa"/>
              <w:left w:w="100" w:type="dxa"/>
              <w:bottom w:w="60" w:type="dxa"/>
              <w:right w:w="100" w:type="dxa"/>
            </w:tcMar>
          </w:tcPr>
          <w:p>
            <w:pPr>
              <w:spacing w:after="20"/>
            </w:pPr>
            <w:r>
              <w:rPr>
                <w:sz w:val="18"/>
                <w:szCs w:val="18"/>
              </w:rPr>
              <w:t xml:space="preserve">D0</w:t>
            </w:r>
          </w:p>
        </w:tc>
        <w:tc>
          <w:tcPr>
            <w:tcW w:w="1600" w:type="dxa"/>
            <w:tcMar>
              <w:top w:w="60" w:type="dxa"/>
              <w:left w:w="100" w:type="dxa"/>
              <w:bottom w:w="60" w:type="dxa"/>
              <w:right w:w="100" w:type="dxa"/>
            </w:tcMar>
          </w:tcPr>
          <w:p>
            <w:pPr>
              <w:spacing w:after="20"/>
            </w:pPr>
            <w:r>
              <w:rPr>
                <w:sz w:val="18"/>
                <w:szCs w:val="18"/>
              </w:rPr>
              <w:t xml:space="preserve">W (ordinal)</w:t>
            </w:r>
          </w:p>
        </w:tc>
      </w:tr>
      <w:tr>
        <w:tblPrEx>
          <w:tblCellMar>
            <w:top w:w="0" w:type="dxa"/>
            <w:bottom w:w="0" w:type="dxa"/>
          </w:tblCellMar>
        </w:tblPrEx>
        <w:tc>
          <w:tcPr>
            <w:tcW w:w="600" w:type="dxa"/>
            <w:tcMar>
              <w:top w:w="60" w:type="dxa"/>
              <w:left w:w="100" w:type="dxa"/>
              <w:bottom w:w="60" w:type="dxa"/>
              <w:right w:w="100" w:type="dxa"/>
            </w:tcMar>
          </w:tcPr>
          <w:p>
            <w:pPr>
              <w:spacing w:after="20"/>
            </w:pPr>
            <w:r>
              <w:rPr>
                <w:sz w:val="18"/>
                <w:szCs w:val="18"/>
              </w:rPr>
              <w:t xml:space="preserve">F2</w:t>
            </w:r>
          </w:p>
        </w:tc>
        <w:tc>
          <w:tcPr>
            <w:tcW w:w="1900" w:type="dxa"/>
            <w:tcMar>
              <w:top w:w="60" w:type="dxa"/>
              <w:left w:w="100" w:type="dxa"/>
              <w:bottom w:w="60" w:type="dxa"/>
              <w:right w:w="100" w:type="dxa"/>
            </w:tcMar>
          </w:tcPr>
          <w:p>
            <w:pPr>
              <w:spacing w:after="20"/>
            </w:pPr>
            <w:r>
              <w:rPr>
                <w:sz w:val="18"/>
                <w:szCs w:val="18"/>
              </w:rPr>
              <w:t xml:space="preserve">Approval and committee selection</w:t>
            </w:r>
          </w:p>
        </w:tc>
        <w:tc>
          <w:tcPr>
            <w:tcW w:w="3860" w:type="dxa"/>
            <w:tcMar>
              <w:top w:w="60" w:type="dxa"/>
              <w:left w:w="100" w:type="dxa"/>
              <w:bottom w:w="60" w:type="dxa"/>
              <w:right w:w="100" w:type="dxa"/>
            </w:tcMar>
          </w:tcPr>
          <w:p>
            <w:pPr>
              <w:spacing w:after="20"/>
            </w:pPr>
            <w:r>
              <w:rPr>
                <w:sz w:val="18"/>
                <w:szCs w:val="18"/>
              </w:rPr>
              <w:t xml:space="preserve">Approval scoring; Thiele rules and PAV; Phragmén; Method of Equal Shares; Chamberlin–Courant</w:t>
            </w:r>
          </w:p>
        </w:tc>
        <w:tc>
          <w:tcPr>
            <w:tcW w:w="1400" w:type="dxa"/>
            <w:tcMar>
              <w:top w:w="60" w:type="dxa"/>
              <w:left w:w="100" w:type="dxa"/>
              <w:bottom w:w="60" w:type="dxa"/>
              <w:right w:w="100" w:type="dxa"/>
            </w:tcMar>
          </w:tcPr>
          <w:p>
            <w:pPr>
              <w:spacing w:after="20"/>
            </w:pPr>
            <w:r>
              <w:rPr>
                <w:sz w:val="18"/>
                <w:szCs w:val="18"/>
              </w:rPr>
              <w:t xml:space="preserve">D0–D1</w:t>
            </w:r>
          </w:p>
        </w:tc>
        <w:tc>
          <w:tcPr>
            <w:tcW w:w="1600" w:type="dxa"/>
            <w:tcMar>
              <w:top w:w="60" w:type="dxa"/>
              <w:left w:w="100" w:type="dxa"/>
              <w:bottom w:w="60" w:type="dxa"/>
              <w:right w:w="100" w:type="dxa"/>
            </w:tcMar>
          </w:tcPr>
          <w:p>
            <w:pPr>
              <w:spacing w:after="20"/>
            </w:pPr>
            <w:r>
              <w:rPr>
                <w:sz w:val="18"/>
                <w:szCs w:val="18"/>
              </w:rPr>
              <w:t xml:space="preserve">R</w:t>
            </w:r>
          </w:p>
        </w:tc>
      </w:tr>
      <w:tr>
        <w:tblPrEx>
          <w:tblCellMar>
            <w:top w:w="0" w:type="dxa"/>
            <w:bottom w:w="0" w:type="dxa"/>
          </w:tblCellMar>
        </w:tblPrEx>
        <w:tc>
          <w:tcPr>
            <w:tcW w:w="600" w:type="dxa"/>
            <w:tcMar>
              <w:top w:w="60" w:type="dxa"/>
              <w:left w:w="100" w:type="dxa"/>
              <w:bottom w:w="60" w:type="dxa"/>
              <w:right w:w="100" w:type="dxa"/>
            </w:tcMar>
          </w:tcPr>
          <w:p>
            <w:pPr>
              <w:spacing w:after="20"/>
            </w:pPr>
            <w:r>
              <w:rPr>
                <w:sz w:val="18"/>
                <w:szCs w:val="18"/>
              </w:rPr>
              <w:t xml:space="preserve">F3</w:t>
            </w:r>
          </w:p>
        </w:tc>
        <w:tc>
          <w:tcPr>
            <w:tcW w:w="1900" w:type="dxa"/>
            <w:tcMar>
              <w:top w:w="60" w:type="dxa"/>
              <w:left w:w="100" w:type="dxa"/>
              <w:bottom w:w="60" w:type="dxa"/>
              <w:right w:w="100" w:type="dxa"/>
            </w:tcMar>
          </w:tcPr>
          <w:p>
            <w:pPr>
              <w:spacing w:after="20"/>
            </w:pPr>
            <w:r>
              <w:rPr>
                <w:sz w:val="18"/>
                <w:szCs w:val="18"/>
              </w:rPr>
              <w:t xml:space="preserve">Probabilistic pooling and forecasting</w:t>
            </w:r>
          </w:p>
        </w:tc>
        <w:tc>
          <w:tcPr>
            <w:tcW w:w="3860" w:type="dxa"/>
            <w:tcMar>
              <w:top w:w="60" w:type="dxa"/>
              <w:left w:w="100" w:type="dxa"/>
              <w:bottom w:w="60" w:type="dxa"/>
              <w:right w:w="100" w:type="dxa"/>
            </w:tcMar>
          </w:tcPr>
          <w:p>
            <w:pPr>
              <w:spacing w:after="20"/>
            </w:pPr>
            <w:r>
              <w:rPr>
                <w:sz w:val="18"/>
                <w:szCs w:val="18"/>
              </w:rPr>
              <w:t xml:space="preserve">Linear, geometric, logarithmic pooling; externally Bayesian operators; extremizing; surprisingly-popular methods; credal pooling</w:t>
            </w:r>
          </w:p>
        </w:tc>
        <w:tc>
          <w:tcPr>
            <w:tcW w:w="1400" w:type="dxa"/>
            <w:tcMar>
              <w:top w:w="60" w:type="dxa"/>
              <w:left w:w="100" w:type="dxa"/>
              <w:bottom w:w="60" w:type="dxa"/>
              <w:right w:w="100" w:type="dxa"/>
            </w:tcMar>
          </w:tcPr>
          <w:p>
            <w:pPr>
              <w:spacing w:after="20"/>
            </w:pPr>
            <w:r>
              <w:rPr>
                <w:sz w:val="18"/>
                <w:szCs w:val="18"/>
              </w:rPr>
              <w:t xml:space="preserve">D1; D3 for meta-belief</w:t>
            </w:r>
          </w:p>
        </w:tc>
        <w:tc>
          <w:tcPr>
            <w:tcW w:w="1600" w:type="dxa"/>
            <w:tcMar>
              <w:top w:w="60" w:type="dxa"/>
              <w:left w:w="100" w:type="dxa"/>
              <w:bottom w:w="60" w:type="dxa"/>
              <w:right w:w="100" w:type="dxa"/>
            </w:tcMar>
          </w:tcPr>
          <w:p>
            <w:pPr>
              <w:spacing w:after="20"/>
            </w:pPr>
            <w:r>
              <w:rPr>
                <w:sz w:val="18"/>
                <w:szCs w:val="18"/>
              </w:rPr>
              <w:t xml:space="preserve">E</w:t>
            </w:r>
          </w:p>
        </w:tc>
      </w:tr>
      <w:tr>
        <w:tblPrEx>
          <w:tblCellMar>
            <w:top w:w="0" w:type="dxa"/>
            <w:bottom w:w="0" w:type="dxa"/>
          </w:tblCellMar>
        </w:tblPrEx>
        <w:tc>
          <w:tcPr>
            <w:tcW w:w="600" w:type="dxa"/>
            <w:tcMar>
              <w:top w:w="60" w:type="dxa"/>
              <w:left w:w="100" w:type="dxa"/>
              <w:bottom w:w="60" w:type="dxa"/>
              <w:right w:w="100" w:type="dxa"/>
            </w:tcMar>
          </w:tcPr>
          <w:p>
            <w:pPr>
              <w:spacing w:after="20"/>
            </w:pPr>
            <w:r>
              <w:rPr>
                <w:sz w:val="18"/>
                <w:szCs w:val="18"/>
              </w:rPr>
              <w:t xml:space="preserve">F4</w:t>
            </w:r>
          </w:p>
        </w:tc>
        <w:tc>
          <w:tcPr>
            <w:tcW w:w="1900" w:type="dxa"/>
            <w:tcMar>
              <w:top w:w="60" w:type="dxa"/>
              <w:left w:w="100" w:type="dxa"/>
              <w:bottom w:w="60" w:type="dxa"/>
              <w:right w:w="100" w:type="dxa"/>
            </w:tcMar>
          </w:tcPr>
          <w:p>
            <w:pPr>
              <w:spacing w:after="20"/>
            </w:pPr>
            <w:r>
              <w:rPr>
                <w:sz w:val="18"/>
                <w:szCs w:val="18"/>
              </w:rPr>
              <w:t xml:space="preserve">Judgment aggregation, belief merging, argumentation</w:t>
            </w:r>
          </w:p>
        </w:tc>
        <w:tc>
          <w:tcPr>
            <w:tcW w:w="3860" w:type="dxa"/>
            <w:tcMar>
              <w:top w:w="60" w:type="dxa"/>
              <w:left w:w="100" w:type="dxa"/>
              <w:bottom w:w="60" w:type="dxa"/>
              <w:right w:w="100" w:type="dxa"/>
            </w:tcMar>
          </w:tcPr>
          <w:p>
            <w:pPr>
              <w:spacing w:after="20"/>
            </w:pPr>
            <w:r>
              <w:rPr>
                <w:sz w:val="18"/>
                <w:szCs w:val="18"/>
              </w:rPr>
              <w:t xml:space="preserve">Propositionwise majority; quota rules; premise- and conclusion-based procedures; distance-based merging; argumentation frameworks</w:t>
            </w:r>
          </w:p>
        </w:tc>
        <w:tc>
          <w:tcPr>
            <w:tcW w:w="1400" w:type="dxa"/>
            <w:tcMar>
              <w:top w:w="60" w:type="dxa"/>
              <w:left w:w="100" w:type="dxa"/>
              <w:bottom w:w="60" w:type="dxa"/>
              <w:right w:w="100" w:type="dxa"/>
            </w:tcMar>
          </w:tcPr>
          <w:p>
            <w:pPr>
              <w:spacing w:after="20"/>
            </w:pPr>
            <w:r>
              <w:rPr>
                <w:sz w:val="18"/>
                <w:szCs w:val="18"/>
              </w:rPr>
              <w:t xml:space="preserve">D0–D2</w:t>
            </w:r>
          </w:p>
        </w:tc>
        <w:tc>
          <w:tcPr>
            <w:tcW w:w="1600" w:type="dxa"/>
            <w:tcMar>
              <w:top w:w="60" w:type="dxa"/>
              <w:left w:w="100" w:type="dxa"/>
              <w:bottom w:w="60" w:type="dxa"/>
              <w:right w:w="100" w:type="dxa"/>
            </w:tcMar>
          </w:tcPr>
          <w:p>
            <w:pPr>
              <w:spacing w:after="20"/>
            </w:pPr>
            <w:r>
              <w:rPr>
                <w:sz w:val="18"/>
                <w:szCs w:val="18"/>
              </w:rPr>
              <w:t xml:space="preserve">E, R</w:t>
            </w:r>
          </w:p>
        </w:tc>
      </w:tr>
      <w:tr>
        <w:tblPrEx>
          <w:tblCellMar>
            <w:top w:w="0" w:type="dxa"/>
            <w:bottom w:w="0" w:type="dxa"/>
          </w:tblCellMar>
        </w:tblPrEx>
        <w:tc>
          <w:tcPr>
            <w:tcW w:w="600" w:type="dxa"/>
            <w:tcMar>
              <w:top w:w="60" w:type="dxa"/>
              <w:left w:w="100" w:type="dxa"/>
              <w:bottom w:w="60" w:type="dxa"/>
              <w:right w:w="100" w:type="dxa"/>
            </w:tcMar>
          </w:tcPr>
          <w:p>
            <w:pPr>
              <w:spacing w:after="20"/>
            </w:pPr>
            <w:r>
              <w:rPr>
                <w:sz w:val="18"/>
                <w:szCs w:val="18"/>
              </w:rPr>
              <w:t xml:space="preserve">F5</w:t>
            </w:r>
          </w:p>
        </w:tc>
        <w:tc>
          <w:tcPr>
            <w:tcW w:w="1900" w:type="dxa"/>
            <w:tcMar>
              <w:top w:w="60" w:type="dxa"/>
              <w:left w:w="100" w:type="dxa"/>
              <w:bottom w:w="60" w:type="dxa"/>
              <w:right w:w="100" w:type="dxa"/>
            </w:tcMar>
          </w:tcPr>
          <w:p>
            <w:pPr>
              <w:spacing w:after="20"/>
            </w:pPr>
            <w:r>
              <w:rPr>
                <w:sz w:val="18"/>
                <w:szCs w:val="18"/>
              </w:rPr>
              <w:t xml:space="preserve">Epistemic label aggregation</w:t>
            </w:r>
          </w:p>
        </w:tc>
        <w:tc>
          <w:tcPr>
            <w:tcW w:w="3860" w:type="dxa"/>
            <w:tcMar>
              <w:top w:w="60" w:type="dxa"/>
              <w:left w:w="100" w:type="dxa"/>
              <w:bottom w:w="60" w:type="dxa"/>
              <w:right w:w="100" w:type="dxa"/>
            </w:tcMar>
          </w:tcPr>
          <w:p>
            <w:pPr>
              <w:spacing w:after="20"/>
            </w:pPr>
            <w:r>
              <w:rPr>
                <w:sz w:val="18"/>
                <w:szCs w:val="18"/>
              </w:rPr>
              <w:t xml:space="preserve">Majority and weighted majority; observer-error models; minimax entropy; Bayesian classifier combination</w:t>
            </w:r>
          </w:p>
        </w:tc>
        <w:tc>
          <w:tcPr>
            <w:tcW w:w="1400" w:type="dxa"/>
            <w:tcMar>
              <w:top w:w="60" w:type="dxa"/>
              <w:left w:w="100" w:type="dxa"/>
              <w:bottom w:w="60" w:type="dxa"/>
              <w:right w:w="100" w:type="dxa"/>
            </w:tcMar>
          </w:tcPr>
          <w:p>
            <w:pPr>
              <w:spacing w:after="20"/>
            </w:pPr>
            <w:r>
              <w:rPr>
                <w:sz w:val="18"/>
                <w:szCs w:val="18"/>
              </w:rPr>
              <w:t xml:space="preserve">D0–D1</w:t>
            </w:r>
          </w:p>
        </w:tc>
        <w:tc>
          <w:tcPr>
            <w:tcW w:w="1600" w:type="dxa"/>
            <w:tcMar>
              <w:top w:w="60" w:type="dxa"/>
              <w:left w:w="100" w:type="dxa"/>
              <w:bottom w:w="60" w:type="dxa"/>
              <w:right w:w="100" w:type="dxa"/>
            </w:tcMar>
          </w:tcPr>
          <w:p>
            <w:pPr>
              <w:spacing w:after="20"/>
            </w:pPr>
            <w:r>
              <w:rPr>
                <w:sz w:val="18"/>
                <w:szCs w:val="18"/>
              </w:rPr>
              <w:t xml:space="preserve">E</w:t>
            </w:r>
          </w:p>
        </w:tc>
      </w:tr>
      <w:tr>
        <w:tblPrEx>
          <w:tblCellMar>
            <w:top w:w="0" w:type="dxa"/>
            <w:bottom w:w="0" w:type="dxa"/>
          </w:tblCellMar>
        </w:tblPrEx>
        <w:tc>
          <w:tcPr>
            <w:tcW w:w="600" w:type="dxa"/>
            <w:tcMar>
              <w:top w:w="60" w:type="dxa"/>
              <w:left w:w="100" w:type="dxa"/>
              <w:bottom w:w="60" w:type="dxa"/>
              <w:right w:w="100" w:type="dxa"/>
            </w:tcMar>
          </w:tcPr>
          <w:p>
            <w:pPr>
              <w:spacing w:after="20"/>
            </w:pPr>
            <w:r>
              <w:rPr>
                <w:sz w:val="18"/>
                <w:szCs w:val="18"/>
              </w:rPr>
              <w:t xml:space="preserve">F6</w:t>
            </w:r>
          </w:p>
        </w:tc>
        <w:tc>
          <w:tcPr>
            <w:tcW w:w="1900" w:type="dxa"/>
            <w:tcMar>
              <w:top w:w="60" w:type="dxa"/>
              <w:left w:w="100" w:type="dxa"/>
              <w:bottom w:w="60" w:type="dxa"/>
              <w:right w:w="100" w:type="dxa"/>
            </w:tcMar>
          </w:tcPr>
          <w:p>
            <w:pPr>
              <w:spacing w:after="20"/>
            </w:pPr>
            <w:r>
              <w:rPr>
                <w:sz w:val="18"/>
                <w:szCs w:val="18"/>
              </w:rPr>
              <w:t xml:space="preserve">Perspectivist and non-aggregative</w:t>
            </w:r>
          </w:p>
        </w:tc>
        <w:tc>
          <w:tcPr>
            <w:tcW w:w="3860" w:type="dxa"/>
            <w:tcMar>
              <w:top w:w="60" w:type="dxa"/>
              <w:left w:w="100" w:type="dxa"/>
              <w:bottom w:w="60" w:type="dxa"/>
              <w:right w:w="100" w:type="dxa"/>
            </w:tcMar>
          </w:tcPr>
          <w:p>
            <w:pPr>
              <w:spacing w:after="20"/>
            </w:pPr>
            <w:r>
              <w:rPr>
                <w:sz w:val="18"/>
                <w:szCs w:val="18"/>
              </w:rPr>
              <w:t xml:space="preserve">Soft labels; per-annotator heads; jury learning; distribution prediction; disaggregated reporting</w:t>
            </w:r>
          </w:p>
        </w:tc>
        <w:tc>
          <w:tcPr>
            <w:tcW w:w="1400" w:type="dxa"/>
            <w:tcMar>
              <w:top w:w="60" w:type="dxa"/>
              <w:left w:w="100" w:type="dxa"/>
              <w:bottom w:w="60" w:type="dxa"/>
              <w:right w:w="100" w:type="dxa"/>
            </w:tcMar>
          </w:tcPr>
          <w:p>
            <w:pPr>
              <w:spacing w:after="20"/>
            </w:pPr>
            <w:r>
              <w:rPr>
                <w:sz w:val="18"/>
                <w:szCs w:val="18"/>
              </w:rPr>
              <w:t xml:space="preserve">D1–D2</w:t>
            </w:r>
          </w:p>
        </w:tc>
        <w:tc>
          <w:tcPr>
            <w:tcW w:w="1600" w:type="dxa"/>
            <w:tcMar>
              <w:top w:w="60" w:type="dxa"/>
              <w:left w:w="100" w:type="dxa"/>
              <w:bottom w:w="60" w:type="dxa"/>
              <w:right w:w="100" w:type="dxa"/>
            </w:tcMar>
          </w:tcPr>
          <w:p>
            <w:pPr>
              <w:spacing w:after="20"/>
            </w:pPr>
            <w:r>
              <w:rPr>
                <w:sz w:val="18"/>
                <w:szCs w:val="18"/>
              </w:rPr>
              <w:t xml:space="preserve">R, often U</w:t>
            </w:r>
          </w:p>
        </w:tc>
      </w:tr>
      <w:tr>
        <w:tblPrEx>
          <w:tblCellMar>
            <w:top w:w="0" w:type="dxa"/>
            <w:bottom w:w="0" w:type="dxa"/>
          </w:tblCellMar>
        </w:tblPrEx>
        <w:tc>
          <w:tcPr>
            <w:tcW w:w="600" w:type="dxa"/>
            <w:tcMar>
              <w:top w:w="60" w:type="dxa"/>
              <w:left w:w="100" w:type="dxa"/>
              <w:bottom w:w="60" w:type="dxa"/>
              <w:right w:w="100" w:type="dxa"/>
            </w:tcMar>
          </w:tcPr>
          <w:p>
            <w:pPr>
              <w:spacing w:after="20"/>
            </w:pPr>
            <w:r>
              <w:rPr>
                <w:sz w:val="18"/>
                <w:szCs w:val="18"/>
              </w:rPr>
              <w:t xml:space="preserve">F7</w:t>
            </w:r>
          </w:p>
        </w:tc>
        <w:tc>
          <w:tcPr>
            <w:tcW w:w="1900" w:type="dxa"/>
            <w:tcMar>
              <w:top w:w="60" w:type="dxa"/>
              <w:left w:w="100" w:type="dxa"/>
              <w:bottom w:w="60" w:type="dxa"/>
              <w:right w:w="100" w:type="dxa"/>
            </w:tcMar>
          </w:tcPr>
          <w:p>
            <w:pPr>
              <w:spacing w:after="20"/>
            </w:pPr>
            <w:r>
              <w:rPr>
                <w:sz w:val="18"/>
                <w:szCs w:val="18"/>
              </w:rPr>
              <w:t xml:space="preserve">Preference aggregation for alignment</w:t>
            </w:r>
          </w:p>
        </w:tc>
        <w:tc>
          <w:tcPr>
            <w:tcW w:w="3860" w:type="dxa"/>
            <w:tcMar>
              <w:top w:w="60" w:type="dxa"/>
              <w:left w:w="100" w:type="dxa"/>
              <w:bottom w:w="60" w:type="dxa"/>
              <w:right w:w="100" w:type="dxa"/>
            </w:tcMar>
          </w:tcPr>
          <w:p>
            <w:pPr>
              <w:spacing w:after="20"/>
            </w:pPr>
            <w:r>
              <w:rPr>
                <w:sz w:val="18"/>
                <w:szCs w:val="18"/>
              </w:rPr>
              <w:t xml:space="preserve">Pairwise reward learning; direct preference objectives; Nash learning; MaxMin objectives; reward mixtures; distributional preference learning</w:t>
            </w:r>
          </w:p>
        </w:tc>
        <w:tc>
          <w:tcPr>
            <w:tcW w:w="1400" w:type="dxa"/>
            <w:tcMar>
              <w:top w:w="60" w:type="dxa"/>
              <w:left w:w="100" w:type="dxa"/>
              <w:bottom w:w="60" w:type="dxa"/>
              <w:right w:w="100" w:type="dxa"/>
            </w:tcMar>
          </w:tcPr>
          <w:p>
            <w:pPr>
              <w:spacing w:after="20"/>
            </w:pPr>
            <w:r>
              <w:rPr>
                <w:sz w:val="18"/>
                <w:szCs w:val="18"/>
              </w:rPr>
              <w:t xml:space="preserve">D0–D1</w:t>
            </w:r>
          </w:p>
        </w:tc>
        <w:tc>
          <w:tcPr>
            <w:tcW w:w="1600" w:type="dxa"/>
            <w:tcMar>
              <w:top w:w="60" w:type="dxa"/>
              <w:left w:w="100" w:type="dxa"/>
              <w:bottom w:w="60" w:type="dxa"/>
              <w:right w:w="100" w:type="dxa"/>
            </w:tcMar>
          </w:tcPr>
          <w:p>
            <w:pPr>
              <w:spacing w:after="20"/>
            </w:pPr>
            <w:r>
              <w:rPr>
                <w:sz w:val="18"/>
                <w:szCs w:val="18"/>
              </w:rPr>
              <w:t xml:space="preserve">U (derived utilitarian); W for MaxMin and Nash</w:t>
            </w:r>
          </w:p>
        </w:tc>
      </w:tr>
      <w:tr>
        <w:tblPrEx>
          <w:tblCellMar>
            <w:top w:w="0" w:type="dxa"/>
            <w:bottom w:w="0" w:type="dxa"/>
          </w:tblCellMar>
        </w:tblPrEx>
        <w:tc>
          <w:tcPr>
            <w:tcW w:w="600" w:type="dxa"/>
            <w:tcMar>
              <w:top w:w="60" w:type="dxa"/>
              <w:left w:w="100" w:type="dxa"/>
              <w:bottom w:w="60" w:type="dxa"/>
              <w:right w:w="100" w:type="dxa"/>
            </w:tcMar>
          </w:tcPr>
          <w:p>
            <w:pPr>
              <w:spacing w:after="20"/>
            </w:pPr>
            <w:r>
              <w:rPr>
                <w:sz w:val="18"/>
                <w:szCs w:val="18"/>
              </w:rPr>
              <w:t xml:space="preserve">F8</w:t>
            </w:r>
          </w:p>
        </w:tc>
        <w:tc>
          <w:tcPr>
            <w:tcW w:w="1900" w:type="dxa"/>
            <w:tcMar>
              <w:top w:w="60" w:type="dxa"/>
              <w:left w:w="100" w:type="dxa"/>
              <w:bottom w:w="60" w:type="dxa"/>
              <w:right w:w="100" w:type="dxa"/>
            </w:tcMar>
          </w:tcPr>
          <w:p>
            <w:pPr>
              <w:spacing w:after="20"/>
            </w:pPr>
            <w:r>
              <w:rPr>
                <w:sz w:val="18"/>
                <w:szCs w:val="18"/>
              </w:rPr>
              <w:t xml:space="preserve">Model-output aggregation</w:t>
            </w:r>
          </w:p>
        </w:tc>
        <w:tc>
          <w:tcPr>
            <w:tcW w:w="3860" w:type="dxa"/>
            <w:tcMar>
              <w:top w:w="60" w:type="dxa"/>
              <w:left w:w="100" w:type="dxa"/>
              <w:bottom w:w="60" w:type="dxa"/>
              <w:right w:w="100" w:type="dxa"/>
            </w:tcMar>
          </w:tcPr>
          <w:p>
            <w:pPr>
              <w:spacing w:after="20"/>
            </w:pPr>
            <w:r>
              <w:rPr>
                <w:sz w:val="18"/>
                <w:szCs w:val="18"/>
              </w:rPr>
              <w:t xml:space="preserve">Self-consistency; minimum Bayes risk decoding; mixture-of-agents; judge aggregation; debate</w:t>
            </w:r>
          </w:p>
        </w:tc>
        <w:tc>
          <w:tcPr>
            <w:tcW w:w="1400" w:type="dxa"/>
            <w:tcMar>
              <w:top w:w="60" w:type="dxa"/>
              <w:left w:w="100" w:type="dxa"/>
              <w:bottom w:w="60" w:type="dxa"/>
              <w:right w:w="100" w:type="dxa"/>
            </w:tcMar>
          </w:tcPr>
          <w:p>
            <w:pPr>
              <w:spacing w:after="20"/>
            </w:pPr>
            <w:r>
              <w:rPr>
                <w:sz w:val="18"/>
                <w:szCs w:val="18"/>
              </w:rPr>
              <w:t xml:space="preserve">D0; D3 for debate</w:t>
            </w:r>
          </w:p>
        </w:tc>
        <w:tc>
          <w:tcPr>
            <w:tcW w:w="1600" w:type="dxa"/>
            <w:tcMar>
              <w:top w:w="60" w:type="dxa"/>
              <w:left w:w="100" w:type="dxa"/>
              <w:bottom w:w="60" w:type="dxa"/>
              <w:right w:w="100" w:type="dxa"/>
            </w:tcMar>
          </w:tcPr>
          <w:p>
            <w:pPr>
              <w:spacing w:after="20"/>
            </w:pPr>
            <w:r>
              <w:rPr>
                <w:sz w:val="18"/>
                <w:szCs w:val="18"/>
              </w:rPr>
              <w:t xml:space="preserve">E, U</w:t>
            </w:r>
          </w:p>
        </w:tc>
      </w:tr>
      <w:tr>
        <w:tblPrEx>
          <w:tblCellMar>
            <w:top w:w="0" w:type="dxa"/>
            <w:bottom w:w="0" w:type="dxa"/>
          </w:tblCellMar>
        </w:tblPrEx>
        <w:tc>
          <w:tcPr>
            <w:tcW w:w="600" w:type="dxa"/>
            <w:tcMar>
              <w:top w:w="60" w:type="dxa"/>
              <w:left w:w="100" w:type="dxa"/>
              <w:bottom w:w="60" w:type="dxa"/>
              <w:right w:w="100" w:type="dxa"/>
            </w:tcMar>
          </w:tcPr>
          <w:p>
            <w:pPr>
              <w:spacing w:after="20"/>
            </w:pPr>
            <w:r>
              <w:rPr>
                <w:sz w:val="18"/>
                <w:szCs w:val="18"/>
              </w:rPr>
              <w:t xml:space="preserve">F9</w:t>
            </w:r>
          </w:p>
        </w:tc>
        <w:tc>
          <w:tcPr>
            <w:tcW w:w="1900" w:type="dxa"/>
            <w:tcMar>
              <w:top w:w="60" w:type="dxa"/>
              <w:left w:w="100" w:type="dxa"/>
              <w:bottom w:w="60" w:type="dxa"/>
              <w:right w:w="100" w:type="dxa"/>
            </w:tcMar>
          </w:tcPr>
          <w:p>
            <w:pPr>
              <w:spacing w:after="20"/>
            </w:pPr>
            <w:r>
              <w:rPr>
                <w:sz w:val="18"/>
                <w:szCs w:val="18"/>
              </w:rPr>
              <w:t xml:space="preserve">Parameter aggregation, merging, routing</w:t>
            </w:r>
          </w:p>
        </w:tc>
        <w:tc>
          <w:tcPr>
            <w:tcW w:w="3860" w:type="dxa"/>
            <w:tcMar>
              <w:top w:w="60" w:type="dxa"/>
              <w:left w:w="100" w:type="dxa"/>
              <w:bottom w:w="60" w:type="dxa"/>
              <w:right w:w="100" w:type="dxa"/>
            </w:tcMar>
          </w:tcPr>
          <w:p>
            <w:pPr>
              <w:spacing w:after="20"/>
            </w:pPr>
            <w:r>
              <w:rPr>
                <w:sz w:val="18"/>
                <w:szCs w:val="18"/>
              </w:rPr>
              <w:t xml:space="preserve">Federated averaging and fair federated objectives; robust aggregators; task arithmetic; sign-aware and Fisher merging; expert routing</w:t>
            </w:r>
          </w:p>
        </w:tc>
        <w:tc>
          <w:tcPr>
            <w:tcW w:w="1400" w:type="dxa"/>
            <w:tcMar>
              <w:top w:w="60" w:type="dxa"/>
              <w:left w:w="100" w:type="dxa"/>
              <w:bottom w:w="60" w:type="dxa"/>
              <w:right w:w="100" w:type="dxa"/>
            </w:tcMar>
          </w:tcPr>
          <w:p>
            <w:pPr>
              <w:spacing w:after="20"/>
            </w:pPr>
            <w:r>
              <w:rPr>
                <w:sz w:val="18"/>
                <w:szCs w:val="18"/>
              </w:rPr>
              <w:t xml:space="preserve">D0, some D1</w:t>
            </w:r>
          </w:p>
        </w:tc>
        <w:tc>
          <w:tcPr>
            <w:tcW w:w="1600" w:type="dxa"/>
            <w:tcMar>
              <w:top w:w="60" w:type="dxa"/>
              <w:left w:w="100" w:type="dxa"/>
              <w:bottom w:w="60" w:type="dxa"/>
              <w:right w:w="100" w:type="dxa"/>
            </w:tcMar>
          </w:tcPr>
          <w:p>
            <w:pPr>
              <w:spacing w:after="20"/>
            </w:pPr>
            <w:r>
              <w:rPr>
                <w:sz w:val="18"/>
                <w:szCs w:val="18"/>
              </w:rPr>
              <w:t xml:space="preserve">U (derived weighted utilitarian); W for minimax FL</w:t>
            </w:r>
          </w:p>
        </w:tc>
      </w:tr>
      <w:tr>
        <w:tblPrEx>
          <w:tblCellMar>
            <w:top w:w="0" w:type="dxa"/>
            <w:bottom w:w="0" w:type="dxa"/>
          </w:tblCellMar>
        </w:tblPrEx>
        <w:tc>
          <w:tcPr>
            <w:tcW w:w="600" w:type="dxa"/>
            <w:tcMar>
              <w:top w:w="60" w:type="dxa"/>
              <w:left w:w="100" w:type="dxa"/>
              <w:bottom w:w="60" w:type="dxa"/>
              <w:right w:w="100" w:type="dxa"/>
            </w:tcMar>
          </w:tcPr>
          <w:p>
            <w:pPr>
              <w:spacing w:after="20"/>
            </w:pPr>
            <w:r>
              <w:rPr>
                <w:sz w:val="18"/>
                <w:szCs w:val="18"/>
              </w:rPr>
              <w:t xml:space="preserve">F10</w:t>
            </w:r>
          </w:p>
        </w:tc>
        <w:tc>
          <w:tcPr>
            <w:tcW w:w="1900" w:type="dxa"/>
            <w:tcMar>
              <w:top w:w="60" w:type="dxa"/>
              <w:left w:w="100" w:type="dxa"/>
              <w:bottom w:w="60" w:type="dxa"/>
              <w:right w:w="100" w:type="dxa"/>
            </w:tcMar>
          </w:tcPr>
          <w:p>
            <w:pPr>
              <w:spacing w:after="20"/>
            </w:pPr>
            <w:r>
              <w:rPr>
                <w:sz w:val="18"/>
                <w:szCs w:val="18"/>
              </w:rPr>
              <w:t xml:space="preserve">Latent-space and bridging aggregation</w:t>
            </w:r>
          </w:p>
        </w:tc>
        <w:tc>
          <w:tcPr>
            <w:tcW w:w="3860" w:type="dxa"/>
            <w:tcMar>
              <w:top w:w="60" w:type="dxa"/>
              <w:left w:w="100" w:type="dxa"/>
              <w:bottom w:w="60" w:type="dxa"/>
              <w:right w:w="100" w:type="dxa"/>
            </w:tcMar>
          </w:tcPr>
          <w:p>
            <w:pPr>
              <w:spacing w:after="20"/>
            </w:pPr>
            <w:r>
              <w:rPr>
                <w:sz w:val="18"/>
                <w:szCs w:val="18"/>
              </w:rPr>
              <w:t xml:space="preserve">Clustering over vote matrices; matrix-factorization bridging; bridging-based ranking</w:t>
            </w:r>
          </w:p>
        </w:tc>
        <w:tc>
          <w:tcPr>
            <w:tcW w:w="1400" w:type="dxa"/>
            <w:tcMar>
              <w:top w:w="60" w:type="dxa"/>
              <w:left w:w="100" w:type="dxa"/>
              <w:bottom w:w="60" w:type="dxa"/>
              <w:right w:w="100" w:type="dxa"/>
            </w:tcMar>
          </w:tcPr>
          <w:p>
            <w:pPr>
              <w:spacing w:after="20"/>
            </w:pPr>
            <w:r>
              <w:rPr>
                <w:sz w:val="18"/>
                <w:szCs w:val="18"/>
              </w:rPr>
              <w:t xml:space="preserve">D0–D1</w:t>
            </w:r>
          </w:p>
        </w:tc>
        <w:tc>
          <w:tcPr>
            <w:tcW w:w="1600" w:type="dxa"/>
            <w:tcMar>
              <w:top w:w="60" w:type="dxa"/>
              <w:left w:w="100" w:type="dxa"/>
              <w:bottom w:w="60" w:type="dxa"/>
              <w:right w:w="100" w:type="dxa"/>
            </w:tcMar>
          </w:tcPr>
          <w:p>
            <w:pPr>
              <w:spacing w:after="20"/>
            </w:pPr>
            <w:r>
              <w:rPr>
                <w:sz w:val="18"/>
                <w:szCs w:val="18"/>
              </w:rPr>
              <w:t xml:space="preserve">R, U</w:t>
            </w:r>
          </w:p>
        </w:tc>
      </w:tr>
      <w:tr>
        <w:tblPrEx>
          <w:tblCellMar>
            <w:top w:w="0" w:type="dxa"/>
            <w:bottom w:w="0" w:type="dxa"/>
          </w:tblCellMar>
        </w:tblPrEx>
        <w:tc>
          <w:tcPr>
            <w:tcW w:w="600" w:type="dxa"/>
            <w:tcMar>
              <w:top w:w="60" w:type="dxa"/>
              <w:left w:w="100" w:type="dxa"/>
              <w:bottom w:w="60" w:type="dxa"/>
              <w:right w:w="100" w:type="dxa"/>
            </w:tcMar>
          </w:tcPr>
          <w:p>
            <w:pPr>
              <w:spacing w:after="20"/>
            </w:pPr>
            <w:r>
              <w:rPr>
                <w:sz w:val="18"/>
                <w:szCs w:val="18"/>
              </w:rPr>
              <w:t xml:space="preserve">F11</w:t>
            </w:r>
          </w:p>
        </w:tc>
        <w:tc>
          <w:tcPr>
            <w:tcW w:w="1900" w:type="dxa"/>
            <w:tcMar>
              <w:top w:w="60" w:type="dxa"/>
              <w:left w:w="100" w:type="dxa"/>
              <w:bottom w:w="60" w:type="dxa"/>
              <w:right w:w="100" w:type="dxa"/>
            </w:tcMar>
          </w:tcPr>
          <w:p>
            <w:pPr>
              <w:spacing w:after="20"/>
            </w:pPr>
            <w:r>
              <w:rPr>
                <w:sz w:val="18"/>
                <w:szCs w:val="18"/>
              </w:rPr>
              <w:t xml:space="preserve">Dialogical and iterative aggregation</w:t>
            </w:r>
          </w:p>
        </w:tc>
        <w:tc>
          <w:tcPr>
            <w:tcW w:w="3860" w:type="dxa"/>
            <w:tcMar>
              <w:top w:w="60" w:type="dxa"/>
              <w:left w:w="100" w:type="dxa"/>
              <w:bottom w:w="60" w:type="dxa"/>
              <w:right w:w="100" w:type="dxa"/>
            </w:tcMar>
          </w:tcPr>
          <w:p>
            <w:pPr>
              <w:spacing w:after="20"/>
            </w:pPr>
            <w:r>
              <w:rPr>
                <w:sz w:val="18"/>
                <w:szCs w:val="18"/>
              </w:rPr>
              <w:t xml:space="preserve">Round-based convergence; opinion dynamics; consensus-statement generation with endorsement models</w:t>
            </w:r>
          </w:p>
        </w:tc>
        <w:tc>
          <w:tcPr>
            <w:tcW w:w="1400" w:type="dxa"/>
            <w:tcMar>
              <w:top w:w="60" w:type="dxa"/>
              <w:left w:w="100" w:type="dxa"/>
              <w:bottom w:w="60" w:type="dxa"/>
              <w:right w:w="100" w:type="dxa"/>
            </w:tcMar>
          </w:tcPr>
          <w:p>
            <w:pPr>
              <w:spacing w:after="20"/>
            </w:pPr>
            <w:r>
              <w:rPr>
                <w:sz w:val="18"/>
                <w:szCs w:val="18"/>
              </w:rPr>
              <w:t xml:space="preserve">D0, some D2</w:t>
            </w:r>
          </w:p>
        </w:tc>
        <w:tc>
          <w:tcPr>
            <w:tcW w:w="1600" w:type="dxa"/>
            <w:tcMar>
              <w:top w:w="60" w:type="dxa"/>
              <w:left w:w="100" w:type="dxa"/>
              <w:bottom w:w="60" w:type="dxa"/>
              <w:right w:w="100" w:type="dxa"/>
            </w:tcMar>
          </w:tcPr>
          <w:p>
            <w:pPr>
              <w:spacing w:after="20"/>
            </w:pPr>
            <w:r>
              <w:rPr>
                <w:sz w:val="18"/>
                <w:szCs w:val="18"/>
              </w:rPr>
              <w:t xml:space="preserve">U, R</w:t>
            </w:r>
          </w:p>
        </w:tc>
      </w:tr>
      <w:tr>
        <w:tblPrEx>
          <w:tblCellMar>
            <w:top w:w="0" w:type="dxa"/>
            <w:bottom w:w="0" w:type="dxa"/>
          </w:tblCellMar>
        </w:tblPrEx>
        <w:tc>
          <w:tcPr>
            <w:tcW w:w="600" w:type="dxa"/>
            <w:tcMar>
              <w:top w:w="60" w:type="dxa"/>
              <w:left w:w="100" w:type="dxa"/>
              <w:bottom w:w="60" w:type="dxa"/>
              <w:right w:w="100" w:type="dxa"/>
            </w:tcMar>
          </w:tcPr>
          <w:p>
            <w:pPr>
              <w:spacing w:after="20"/>
            </w:pPr>
            <w:r>
              <w:rPr>
                <w:sz w:val="18"/>
                <w:szCs w:val="18"/>
              </w:rPr>
              <w:t xml:space="preserve">F12</w:t>
            </w:r>
          </w:p>
        </w:tc>
        <w:tc>
          <w:tcPr>
            <w:tcW w:w="1900" w:type="dxa"/>
            <w:tcMar>
              <w:top w:w="60" w:type="dxa"/>
              <w:left w:w="100" w:type="dxa"/>
              <w:bottom w:w="60" w:type="dxa"/>
              <w:right w:w="100" w:type="dxa"/>
            </w:tcMar>
          </w:tcPr>
          <w:p>
            <w:pPr>
              <w:spacing w:after="20"/>
            </w:pPr>
            <w:r>
              <w:rPr>
                <w:sz w:val="18"/>
                <w:szCs w:val="18"/>
              </w:rPr>
              <w:t xml:space="preserve">Social welfare functions, bargaining, fair division</w:t>
            </w:r>
          </w:p>
        </w:tc>
        <w:tc>
          <w:tcPr>
            <w:tcW w:w="3860" w:type="dxa"/>
            <w:tcMar>
              <w:top w:w="60" w:type="dxa"/>
              <w:left w:w="100" w:type="dxa"/>
              <w:bottom w:w="60" w:type="dxa"/>
              <w:right w:w="100" w:type="dxa"/>
            </w:tcMar>
          </w:tcPr>
          <w:p>
            <w:pPr>
              <w:spacing w:after="20"/>
            </w:pPr>
            <w:r>
              <w:rPr>
                <w:sz w:val="18"/>
                <w:szCs w:val="18"/>
              </w:rPr>
              <w:t xml:space="preserve">Utilitarian and prioritarian welfare; Nash social welfare; leximin; generalized-mean and Atkinson families; Nash and Kalai–Smorodinsky bargaining; envy-freeness; Shapley value</w:t>
            </w:r>
          </w:p>
        </w:tc>
        <w:tc>
          <w:tcPr>
            <w:tcW w:w="1400" w:type="dxa"/>
            <w:tcMar>
              <w:top w:w="60" w:type="dxa"/>
              <w:left w:w="100" w:type="dxa"/>
              <w:bottom w:w="60" w:type="dxa"/>
              <w:right w:w="100" w:type="dxa"/>
            </w:tcMar>
          </w:tcPr>
          <w:p>
            <w:pPr>
              <w:spacing w:after="20"/>
            </w:pPr>
            <w:r>
              <w:rPr>
                <w:sz w:val="18"/>
                <w:szCs w:val="18"/>
              </w:rPr>
              <w:t xml:space="preserve">D0 at the solution; D3 at the procedure</w:t>
            </w:r>
          </w:p>
        </w:tc>
        <w:tc>
          <w:tcPr>
            <w:tcW w:w="1600" w:type="dxa"/>
            <w:tcMar>
              <w:top w:w="60" w:type="dxa"/>
              <w:left w:w="100" w:type="dxa"/>
              <w:bottom w:w="60" w:type="dxa"/>
              <w:right w:w="100" w:type="dxa"/>
            </w:tcMar>
          </w:tcPr>
          <w:p>
            <w:pPr>
              <w:spacing w:after="20"/>
            </w:pPr>
            <w:r>
              <w:rPr>
                <w:sz w:val="18"/>
                <w:szCs w:val="18"/>
              </w:rPr>
              <w:t xml:space="preserve">W (stated)</w:t>
            </w:r>
          </w:p>
        </w:tc>
      </w:tr>
      <w:tr>
        <w:tblPrEx>
          <w:tblCellMar>
            <w:top w:w="0" w:type="dxa"/>
            <w:bottom w:w="0" w:type="dxa"/>
          </w:tblCellMar>
        </w:tblPrEx>
        <w:tc>
          <w:tcPr>
            <w:tcW w:w="600" w:type="dxa"/>
            <w:tcMar>
              <w:top w:w="60" w:type="dxa"/>
              <w:left w:w="100" w:type="dxa"/>
              <w:bottom w:w="60" w:type="dxa"/>
              <w:right w:w="100" w:type="dxa"/>
            </w:tcMar>
          </w:tcPr>
          <w:p>
            <w:pPr>
              <w:spacing w:after="20"/>
            </w:pPr>
            <w:r>
              <w:rPr>
                <w:sz w:val="18"/>
                <w:szCs w:val="18"/>
              </w:rPr>
              <w:t xml:space="preserve">F13</w:t>
            </w:r>
          </w:p>
        </w:tc>
        <w:tc>
          <w:tcPr>
            <w:tcW w:w="1900" w:type="dxa"/>
            <w:tcMar>
              <w:top w:w="60" w:type="dxa"/>
              <w:left w:w="100" w:type="dxa"/>
              <w:bottom w:w="60" w:type="dxa"/>
              <w:right w:w="100" w:type="dxa"/>
            </w:tcMar>
          </w:tcPr>
          <w:p>
            <w:pPr>
              <w:spacing w:after="20"/>
            </w:pPr>
            <w:r>
              <w:rPr>
                <w:sz w:val="18"/>
                <w:szCs w:val="18"/>
              </w:rPr>
              <w:t xml:space="preserve">Apportionment and population weighting</w:t>
            </w:r>
          </w:p>
        </w:tc>
        <w:tc>
          <w:tcPr>
            <w:tcW w:w="3860" w:type="dxa"/>
            <w:tcMar>
              <w:top w:w="60" w:type="dxa"/>
              <w:left w:w="100" w:type="dxa"/>
              <w:bottom w:w="60" w:type="dxa"/>
              <w:right w:w="100" w:type="dxa"/>
            </w:tcMar>
          </w:tcPr>
          <w:p>
            <w:pPr>
              <w:spacing w:after="20"/>
            </w:pPr>
            <w:r>
              <w:rPr>
                <w:sz w:val="18"/>
                <w:szCs w:val="18"/>
              </w:rPr>
              <w:t xml:space="preserve">Divisor methods; largest remainder; post-stratification</w:t>
            </w:r>
          </w:p>
        </w:tc>
        <w:tc>
          <w:tcPr>
            <w:tcW w:w="1400" w:type="dxa"/>
            <w:tcMar>
              <w:top w:w="60" w:type="dxa"/>
              <w:left w:w="100" w:type="dxa"/>
              <w:bottom w:w="60" w:type="dxa"/>
              <w:right w:w="100" w:type="dxa"/>
            </w:tcMar>
          </w:tcPr>
          <w:p>
            <w:pPr>
              <w:spacing w:after="20"/>
            </w:pPr>
            <w:r>
              <w:rPr>
                <w:sz w:val="18"/>
                <w:szCs w:val="18"/>
              </w:rPr>
              <w:t xml:space="preserve">D0</w:t>
            </w:r>
          </w:p>
        </w:tc>
        <w:tc>
          <w:tcPr>
            <w:tcW w:w="1600" w:type="dxa"/>
            <w:tcMar>
              <w:top w:w="60" w:type="dxa"/>
              <w:left w:w="100" w:type="dxa"/>
              <w:bottom w:w="60" w:type="dxa"/>
              <w:right w:w="100" w:type="dxa"/>
            </w:tcMar>
          </w:tcPr>
          <w:p>
            <w:pPr>
              <w:spacing w:after="20"/>
            </w:pPr>
            <w:r>
              <w:rPr>
                <w:sz w:val="18"/>
                <w:szCs w:val="18"/>
              </w:rPr>
              <w:t xml:space="preserve">R</w:t>
            </w:r>
          </w:p>
        </w:tc>
      </w:tr>
      <w:tr>
        <w:tblPrEx>
          <w:tblCellMar>
            <w:top w:w="0" w:type="dxa"/>
            <w:bottom w:w="0" w:type="dxa"/>
          </w:tblCellMar>
        </w:tblPrEx>
        <w:tc>
          <w:tcPr>
            <w:tcW w:w="600" w:type="dxa"/>
            <w:tcMar>
              <w:top w:w="60" w:type="dxa"/>
              <w:left w:w="100" w:type="dxa"/>
              <w:bottom w:w="60" w:type="dxa"/>
              <w:right w:w="100" w:type="dxa"/>
            </w:tcMar>
          </w:tcPr>
          <w:p>
            <w:pPr>
              <w:spacing w:after="20"/>
            </w:pPr>
            <w:r>
              <w:rPr>
                <w:sz w:val="18"/>
                <w:szCs w:val="18"/>
              </w:rPr>
              <w:t xml:space="preserve">F14</w:t>
            </w:r>
          </w:p>
        </w:tc>
        <w:tc>
          <w:tcPr>
            <w:tcW w:w="1900" w:type="dxa"/>
            <w:tcMar>
              <w:top w:w="60" w:type="dxa"/>
              <w:left w:w="100" w:type="dxa"/>
              <w:bottom w:w="60" w:type="dxa"/>
              <w:right w:w="100" w:type="dxa"/>
            </w:tcMar>
          </w:tcPr>
          <w:p>
            <w:pPr>
              <w:spacing w:after="20"/>
            </w:pPr>
            <w:r>
              <w:rPr>
                <w:sz w:val="18"/>
                <w:szCs w:val="18"/>
              </w:rPr>
              <w:t xml:space="preserve">Selection, routing, delegation</w:t>
            </w:r>
          </w:p>
        </w:tc>
        <w:tc>
          <w:tcPr>
            <w:tcW w:w="3860" w:type="dxa"/>
            <w:tcMar>
              <w:top w:w="60" w:type="dxa"/>
              <w:left w:w="100" w:type="dxa"/>
              <w:bottom w:w="60" w:type="dxa"/>
              <w:right w:w="100" w:type="dxa"/>
            </w:tcMar>
          </w:tcPr>
          <w:p>
            <w:pPr>
              <w:spacing w:after="20"/>
            </w:pPr>
            <w:r>
              <w:rPr>
                <w:sz w:val="18"/>
                <w:szCs w:val="18"/>
              </w:rPr>
              <w:t xml:space="preserve">Learned routers; cascades; learning to defer; liquid democracy; sortition</w:t>
            </w:r>
          </w:p>
        </w:tc>
        <w:tc>
          <w:tcPr>
            <w:tcW w:w="1400" w:type="dxa"/>
            <w:tcMar>
              <w:top w:w="60" w:type="dxa"/>
              <w:left w:w="100" w:type="dxa"/>
              <w:bottom w:w="60" w:type="dxa"/>
              <w:right w:w="100" w:type="dxa"/>
            </w:tcMar>
          </w:tcPr>
          <w:p>
            <w:pPr>
              <w:spacing w:after="20"/>
            </w:pPr>
            <w:r>
              <w:rPr>
                <w:sz w:val="18"/>
                <w:szCs w:val="18"/>
              </w:rPr>
              <w:t xml:space="preserve">D0; D2 where deferral exposes the conflict</w:t>
            </w:r>
          </w:p>
        </w:tc>
        <w:tc>
          <w:tcPr>
            <w:tcW w:w="1600" w:type="dxa"/>
            <w:tcMar>
              <w:top w:w="60" w:type="dxa"/>
              <w:left w:w="100" w:type="dxa"/>
              <w:bottom w:w="60" w:type="dxa"/>
              <w:right w:w="100" w:type="dxa"/>
            </w:tcMar>
          </w:tcPr>
          <w:p>
            <w:pPr>
              <w:spacing w:after="20"/>
            </w:pPr>
            <w:r>
              <w:rPr>
                <w:sz w:val="18"/>
                <w:szCs w:val="18"/>
              </w:rPr>
              <w:t xml:space="preserve">E, R</w:t>
            </w:r>
          </w:p>
        </w:tc>
      </w:tr>
      <w:tr>
        <w:tblPrEx>
          <w:tblCellMar>
            <w:top w:w="0" w:type="dxa"/>
            <w:bottom w:w="0" w:type="dxa"/>
          </w:tblCellMar>
        </w:tblPrEx>
        <w:tc>
          <w:tcPr>
            <w:tcW w:w="600" w:type="dxa"/>
            <w:tcMar>
              <w:top w:w="60" w:type="dxa"/>
              <w:left w:w="100" w:type="dxa"/>
              <w:bottom w:w="60" w:type="dxa"/>
              <w:right w:w="100" w:type="dxa"/>
            </w:tcMar>
          </w:tcPr>
          <w:p>
            <w:pPr>
              <w:spacing w:after="20"/>
            </w:pPr>
            <w:r>
              <w:rPr>
                <w:sz w:val="18"/>
                <w:szCs w:val="18"/>
              </w:rPr>
              <w:t xml:space="preserve">F15</w:t>
            </w:r>
          </w:p>
        </w:tc>
        <w:tc>
          <w:tcPr>
            <w:tcW w:w="1900" w:type="dxa"/>
            <w:tcMar>
              <w:top w:w="60" w:type="dxa"/>
              <w:left w:w="100" w:type="dxa"/>
              <w:bottom w:w="60" w:type="dxa"/>
              <w:right w:w="100" w:type="dxa"/>
            </w:tcMar>
          </w:tcPr>
          <w:p>
            <w:pPr>
              <w:spacing w:after="20"/>
            </w:pPr>
            <w:r>
              <w:rPr>
                <w:sz w:val="18"/>
                <w:szCs w:val="18"/>
              </w:rPr>
              <w:t xml:space="preserve">Privacy-constrained aggregation</w:t>
            </w:r>
          </w:p>
        </w:tc>
        <w:tc>
          <w:tcPr>
            <w:tcW w:w="3860" w:type="dxa"/>
            <w:tcMar>
              <w:top w:w="60" w:type="dxa"/>
              <w:left w:w="100" w:type="dxa"/>
              <w:bottom w:w="60" w:type="dxa"/>
              <w:right w:w="100" w:type="dxa"/>
            </w:tcMar>
          </w:tcPr>
          <w:p>
            <w:pPr>
              <w:spacing w:after="20"/>
            </w:pPr>
            <w:r>
              <w:rPr>
                <w:sz w:val="18"/>
                <w:szCs w:val="18"/>
              </w:rPr>
              <w:t xml:space="preserve">Secure aggregation; differentially private aggregation; disclosure-tiered release</w:t>
            </w:r>
          </w:p>
        </w:tc>
        <w:tc>
          <w:tcPr>
            <w:tcW w:w="1400" w:type="dxa"/>
            <w:tcMar>
              <w:top w:w="60" w:type="dxa"/>
              <w:left w:w="100" w:type="dxa"/>
              <w:bottom w:w="60" w:type="dxa"/>
              <w:right w:w="100" w:type="dxa"/>
            </w:tcMar>
          </w:tcPr>
          <w:p>
            <w:pPr>
              <w:spacing w:after="20"/>
            </w:pPr>
            <w:r>
              <w:rPr>
                <w:sz w:val="18"/>
                <w:szCs w:val="18"/>
              </w:rPr>
              <w:t xml:space="preserve">D0</w:t>
            </w:r>
          </w:p>
        </w:tc>
        <w:tc>
          <w:tcPr>
            <w:tcW w:w="1600" w:type="dxa"/>
            <w:tcMar>
              <w:top w:w="60" w:type="dxa"/>
              <w:left w:w="100" w:type="dxa"/>
              <w:bottom w:w="60" w:type="dxa"/>
              <w:right w:w="100" w:type="dxa"/>
            </w:tcMar>
          </w:tcPr>
          <w:p>
            <w:pPr>
              <w:spacing w:after="20"/>
            </w:pPr>
            <w:r>
              <w:rPr>
                <w:sz w:val="18"/>
                <w:szCs w:val="18"/>
              </w:rPr>
              <w:t xml:space="preserve">U</w:t>
            </w:r>
          </w:p>
        </w:tc>
      </w:tr>
    </w:tbl>
    <w:p>
      <w:pPr>
        <w:spacing w:before="60" w:after="200"/>
      </w:pPr>
      <w:r>
        <w:rPr>
          <w:i/>
          <w:iCs/>
          <w:sz w:val="19"/>
          <w:szCs w:val="19"/>
        </w:rPr>
        <w:t xml:space="preserve">Table A1. Families with expected codes.</w:t>
      </w:r>
    </w:p>
    <w:p>
      <w:pPr>
        <w:pStyle w:val="Heading1"/>
      </w:pPr>
      <w:r>
        <w:t xml:space="preserve">Appendix B. Keyword schema</w:t>
      </w:r>
    </w:p>
    <w:p>
      <w:pPr>
        <w:spacing w:after="120" w:line="276" w:lineRule="auto"/>
      </w:pPr>
      <w:r>
        <w:t xml:space="preserve">The schema is screening_keywords.yaml v1.3, version-controlled in the replication package. Term lists are kept only there.</w:t>
      </w:r>
    </w:p>
    <w:p>
      <w:pPr>
        <w:pStyle w:val="ListParagraph"/>
        <w:numPr>
          <w:ilvl w:val="0"/>
          <w:numId w:val="1"/>
        </w:numPr>
        <w:spacing w:after="70" w:line="276" w:lineRule="auto"/>
      </w:pPr>
      <w:r>
        <w:rPr>
          <w:b/>
          <w:bCs/>
        </w:rPr>
        <w:t xml:space="preserve">Signal Tier 1: </w:t>
      </w:r>
      <w:r>
        <w:t xml:space="preserve">sets tier1, welfare, and preservation; one match retains the record.</w:t>
      </w:r>
    </w:p>
    <w:p>
      <w:pPr>
        <w:pStyle w:val="ListParagraph"/>
        <w:numPr>
          <w:ilvl w:val="0"/>
          <w:numId w:val="1"/>
        </w:numPr>
        <w:spacing w:after="70" w:line="276" w:lineRule="auto"/>
      </w:pPr>
      <w:r>
        <w:rPr>
          <w:b/>
          <w:bCs/>
        </w:rPr>
        <w:t xml:space="preserve">Signal Tier 2: </w:t>
      </w:r>
      <w:r>
        <w:t xml:space="preserve">set tier2; retained only with an anchor.</w:t>
      </w:r>
    </w:p>
    <w:p>
      <w:pPr>
        <w:pStyle w:val="ListParagraph"/>
        <w:numPr>
          <w:ilvl w:val="0"/>
          <w:numId w:val="1"/>
        </w:numPr>
        <w:spacing w:after="70" w:line="276" w:lineRule="auto"/>
      </w:pPr>
      <w:r>
        <w:rPr>
          <w:b/>
          <w:bCs/>
        </w:rPr>
        <w:t xml:space="preserve">Signal Tier 3: </w:t>
      </w:r>
      <w:r>
        <w:t xml:space="preserve">default anchor profile, and a restricted profile for NeurIPS, ICML, and ICLR.</w:t>
      </w:r>
    </w:p>
    <w:p>
      <w:pPr>
        <w:pStyle w:val="ListParagraph"/>
        <w:numPr>
          <w:ilvl w:val="0"/>
          <w:numId w:val="1"/>
        </w:numPr>
        <w:spacing w:after="70" w:line="276" w:lineRule="auto"/>
      </w:pPr>
      <w:r>
        <w:rPr>
          <w:b/>
          <w:bCs/>
        </w:rPr>
        <w:t xml:space="preserve">Exception: </w:t>
      </w:r>
      <w:r>
        <w:t xml:space="preserve">the preservation set needs no anchor.</w:t>
      </w:r>
    </w:p>
    <w:p>
      <w:pPr>
        <w:spacing w:after="120" w:line="276" w:lineRule="auto"/>
      </w:pPr>
      <w:r>
        <w:t xml:space="preserve">Changes in v1.3: a Tier 1 welfare-function set (social welfare functions and orderings; utilitarian, weighted utilitarian, and Harsanyi aggregation; egalitarian, prioritarian, maximin, and Rawlsian welfare; leximin; Nash welfare; generalized means; Atkinson index; alpha-fairness; inequality aversion; interpersonal comparability; Pigou–Dalton; Bergson–Samuelson; price of fairness; maximin share; the liberal paradox). "Distributive justice" and "sufficientarian" added to Tier 2. Membership-inference, extraction-attack, and DP-SGD terms retired. Year floor set to 2020.</w:t>
      </w:r>
    </w:p>
    <w:p>
      <w:pPr>
        <w:spacing w:after="120" w:line="276" w:lineRule="auto"/>
      </w:pPr>
      <w:r>
        <w:rPr>
          <w:b/>
          <w:bCs/>
        </w:rPr>
        <w:t xml:space="preserve">Pilots. </w:t>
      </w:r>
      <w:r>
        <w:t xml:space="preserve">The schema was piloted on ACL 2025–2026 (3,824 records). Before venue selection it is piloted on one EC year and one humanities journal-year. A Tier 1 term with more than 60 percent irrelevant matches is demoted; a Tier 2 term that never co-occurs with a relevant record is dropped. Changes are logged in the schema's retired list.</w:t>
      </w:r>
    </w:p>
    <w:p>
      <w:pPr>
        <w:pStyle w:val="Heading1"/>
      </w:pPr>
      <w:r>
        <w:t xml:space="preserve">Appendix C. Evaluation criteria</w:t>
      </w:r>
    </w:p>
    <w:p>
      <w:pPr>
        <w:spacing w:after="120" w:line="276" w:lineRule="auto"/>
      </w:pPr>
      <w:r>
        <w:t xml:space="preserve">Each cell is coded as proved; disproved; bounded; empirically tested; asserted without proof; or not discussed.</w:t>
      </w:r>
    </w:p>
    <w:p>
      <w:pPr>
        <w:pStyle w:val="Heading2"/>
      </w:pPr>
      <w:r>
        <w:t xml:space="preserve">C.1 Classical axioms</w:t>
      </w:r>
    </w:p>
    <w:p>
      <w:pPr>
        <w:spacing w:after="120" w:line="276" w:lineRule="auto"/>
      </w:pPr>
      <w:r>
        <w:t xml:space="preserve">Anonymity; neutrality; unanimity and Pareto efficiency; monotonicity; participation; consistency and reinforcement; independence of irrelevant alternatives; independence of clones; systematicity; Condorcet consistency; majority consistency; resolvability.</w:t>
      </w:r>
    </w:p>
    <w:p>
      <w:pPr>
        <w:pStyle w:val="Heading2"/>
      </w:pPr>
      <w:r>
        <w:t xml:space="preserve">C.2 Welfare properties</w:t>
      </w:r>
    </w:p>
    <w:p>
      <w:pPr>
        <w:spacing w:after="120" w:line="276" w:lineRule="auto"/>
      </w:pPr>
      <w:r>
        <w:t xml:space="preserve">Strong Pareto; anonymity; Pigou–Dalton transfer principle; separability; continuity; required utility comparability; ratio-scale invariance for Nash welfare; whether comparability is justified or imposed by normalization.</w:t>
      </w:r>
    </w:p>
    <w:p>
      <w:pPr>
        <w:pStyle w:val="Heading2"/>
      </w:pPr>
      <w:r>
        <w:t xml:space="preserve">C.3 Strategic properties (C1)</w:t>
      </w:r>
    </w:p>
    <w:p>
      <w:pPr>
        <w:spacing w:after="120" w:line="276" w:lineRule="auto"/>
      </w:pPr>
      <w:r>
        <w:t xml:space="preserve">Strategyproofness and approximations; group strategyproofness; bounded manipulability; robustness to withholding; collusion and Sybil resistance; incentive compatibility of elicitation.</w:t>
      </w:r>
    </w:p>
    <w:p>
      <w:pPr>
        <w:pStyle w:val="Heading2"/>
      </w:pPr>
      <w:r>
        <w:t xml:space="preserve">C.4 Decentralization properties (C2)</w:t>
      </w:r>
    </w:p>
    <w:p>
      <w:pPr>
        <w:spacing w:after="120" w:line="276" w:lineRule="auto"/>
      </w:pPr>
      <w:r>
        <w:t xml:space="preserve">Operation on released signals; formal privacy guarantee and parameters; leakage under adversarial querying; disclosure granularity; communication cost; whether the guarantee covers the output.</w:t>
      </w:r>
    </w:p>
    <w:p>
      <w:pPr>
        <w:pStyle w:val="Heading2"/>
      </w:pPr>
      <w:r>
        <w:t xml:space="preserve">C.5 Participation and exit (C3)</w:t>
      </w:r>
    </w:p>
    <w:p>
      <w:pPr>
        <w:spacing w:after="120" w:line="276" w:lineRule="auto"/>
      </w:pPr>
      <w:r>
        <w:t xml:space="preserve">Participation; core stability; coalitional deviation; output stability under withdrawal; recomputation cost; validity of earlier outputs.</w:t>
      </w:r>
    </w:p>
    <w:p>
      <w:pPr>
        <w:pStyle w:val="Heading2"/>
      </w:pPr>
      <w:r>
        <w:t xml:space="preserve">C.6 Preservation properties</w:t>
      </w:r>
    </w:p>
    <w:p>
      <w:pPr>
        <w:spacing w:after="120" w:line="276" w:lineRule="auto"/>
      </w:pPr>
      <w:r>
        <w:t xml:space="preserve">What the output keeps: magnitude, attribution, grounds, confidence, conflict structure. Whether collapse is refused, deferred to a human, or performed at inference. Whether minority positions above a stated support threshold can be recovered.</w:t>
      </w:r>
    </w:p>
    <w:p>
      <w:pPr>
        <w:pStyle w:val="Heading2"/>
      </w:pPr>
      <w:r>
        <w:t xml:space="preserve">C.7 Epistemic and practical properties</w:t>
      </w:r>
    </w:p>
    <w:p>
      <w:pPr>
        <w:spacing w:after="120" w:line="276" w:lineRule="auto"/>
      </w:pPr>
      <w:r>
        <w:t xml:space="preserve">Consistency under a stated noise model; minimax rate; calibration; distributional fidelity; robustness to misspecification; computational complexity; elicitation burden; explainability; contestability.</w:t>
      </w:r>
    </w:p>
    <w:sectPr w:rsidR="00DA7E7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DF5799A"/>
    <w:multiLevelType w:val="hybridMultilevel"/>
    <w:tmpl w:val="D9124A94"/>
    <w:lvl w:ilvl="0" w:tplc="8F7CF7CC">
      <w:start w:val="1"/>
      <w:numFmt w:val="bullet"/>
      <w:lvlText w:val="●"/>
      <w:lvlJc w:val="left"/>
      <w:pPr>
        <w:ind w:left="720" w:hanging="360"/>
      </w:pPr>
    </w:lvl>
    <w:lvl w:ilvl="1" w:tplc="F73442F0">
      <w:start w:val="1"/>
      <w:numFmt w:val="bullet"/>
      <w:lvlText w:val="○"/>
      <w:lvlJc w:val="left"/>
      <w:pPr>
        <w:ind w:left="1440" w:hanging="360"/>
      </w:pPr>
    </w:lvl>
    <w:lvl w:ilvl="2" w:tplc="5EE85986">
      <w:start w:val="1"/>
      <w:numFmt w:val="bullet"/>
      <w:lvlText w:val="■"/>
      <w:lvlJc w:val="left"/>
      <w:pPr>
        <w:ind w:left="2160" w:hanging="360"/>
      </w:pPr>
    </w:lvl>
    <w:lvl w:ilvl="3" w:tplc="E9F05018">
      <w:start w:val="1"/>
      <w:numFmt w:val="bullet"/>
      <w:lvlText w:val="●"/>
      <w:lvlJc w:val="left"/>
      <w:pPr>
        <w:ind w:left="2880" w:hanging="360"/>
      </w:pPr>
    </w:lvl>
    <w:lvl w:ilvl="4" w:tplc="FC5E5492">
      <w:start w:val="1"/>
      <w:numFmt w:val="bullet"/>
      <w:lvlText w:val="○"/>
      <w:lvlJc w:val="left"/>
      <w:pPr>
        <w:ind w:left="3600" w:hanging="360"/>
      </w:pPr>
    </w:lvl>
    <w:lvl w:ilvl="5" w:tplc="C9507FF2">
      <w:start w:val="1"/>
      <w:numFmt w:val="bullet"/>
      <w:lvlText w:val="■"/>
      <w:lvlJc w:val="left"/>
      <w:pPr>
        <w:ind w:left="4320" w:hanging="360"/>
      </w:pPr>
    </w:lvl>
    <w:lvl w:ilvl="6" w:tplc="CC40348E">
      <w:start w:val="1"/>
      <w:numFmt w:val="bullet"/>
      <w:lvlText w:val="●"/>
      <w:lvlJc w:val="left"/>
      <w:pPr>
        <w:ind w:left="5040" w:hanging="360"/>
      </w:pPr>
    </w:lvl>
    <w:lvl w:ilvl="7" w:tplc="8C24B888">
      <w:start w:val="1"/>
      <w:numFmt w:val="bullet"/>
      <w:lvlText w:val="●"/>
      <w:lvlJc w:val="left"/>
      <w:pPr>
        <w:ind w:left="5760" w:hanging="360"/>
      </w:pPr>
    </w:lvl>
    <w:lvl w:ilvl="8" w:tplc="AF7E2570">
      <w:start w:val="1"/>
      <w:numFmt w:val="bullet"/>
      <w:lvlText w:val="●"/>
      <w:lvlJc w:val="left"/>
      <w:pPr>
        <w:ind w:left="6480" w:hanging="360"/>
      </w:pPr>
    </w:lvl>
  </w:abstractNum>
  <w:num w:numId="1" w16cid:durableId="79136708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E74"/>
    <w:rsid w:val="00364573"/>
    <w:rsid w:val="00AE456C"/>
    <w:rsid w:val="00DA7E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969776B"/>
  <w15:docId w15:val="{454546FA-FD23-2546-B9DB-391069068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A1A1A"/>
      <w:sz w:val="30"/>
      <w:szCs w:val="30"/>
    </w:rPr>
  </w:style>
  <w:style w:type="paragraph" w:styleId="Heading2">
    <w:name w:val="heading 2"/>
    <w:uiPriority w:val="9"/>
    <w:unhideWhenUsed/>
    <w:qFormat/>
    <w:pPr>
      <w:spacing w:before="240" w:after="10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10795</Words>
  <Characters>61538</Characters>
  <Application>Microsoft Office Word</Application>
  <DocSecurity>0</DocSecurity>
  <Lines>512</Lines>
  <Paragraphs>144</Paragraphs>
  <ScaleCrop>false</ScaleCrop>
  <Company/>
  <LinksUpToDate>false</LinksUpToDate>
  <CharactersWithSpaces>72189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SoK: Aggregation for Disagreement</dc:title>
  <dc:creator>Project team</dc:creator>
  <dc:description>Systematization-of-knowledge review protocol</dc:description>
  <cp:lastModifiedBy>Sheza Munir</cp:lastModifiedBy>
  <cp:revision>2</cp:revision>
  <dcterms:created xsi:type="dcterms:W3CDTF">2026-09-11T16:02:00Z</dcterms:created>
  <dcterms:modified xsi:type="dcterms:W3CDTF">2026-09-26T12:00:00Z</dcterms:modified>
</cp:coreProperties>
</file>