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2e5e9e"/>
          <w:sz w:val="40"/>
          <w:szCs w:val="40"/>
        </w:rPr>
      </w:pPr>
      <w:r w:rsidDel="00000000" w:rsidR="00000000" w:rsidRPr="00000000">
        <w:rPr/>
        <w:drawing>
          <wp:inline distB="114300" distT="114300" distL="114300" distR="114300">
            <wp:extent cx="3453312" cy="335851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53312" cy="335851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b w:val="1"/>
          <w:bCs w:val="1"/>
          <w:color w:val="2e5e9e"/>
          <w:sz w:val="40"/>
          <w:szCs w:val="40"/>
          <w:rtl w:val="0"/>
        </w:rPr>
        <w:t xml:space="preserve">Value-Driven Data Annotation</w:t>
      </w:r>
      <w:r w:rsidDel="00000000" w:rsidR="00000000" w:rsidRPr="00000000">
        <w:rPr>
          <w:rtl w:val="0"/>
        </w:rPr>
      </w:r>
    </w:p>
    <w:p w:rsidR="00000000" w:rsidDel="00000000" w:rsidP="00000000" w:rsidRDefault="00000000" w:rsidRPr="00000000" w14:paraId="00000003">
      <w:pPr>
        <w:spacing w:after="60" w:before="0" w:lineRule="auto"/>
        <w:rPr/>
      </w:pPr>
      <w:r w:rsidDel="00000000" w:rsidR="00000000" w:rsidRPr="00000000">
        <w:rPr>
          <w:rFonts w:ascii="Arial" w:cs="Arial" w:eastAsia="Arial" w:hAnsi="Arial"/>
          <w:b w:val="0"/>
          <w:bCs w:val="0"/>
          <w:color w:val="444444"/>
          <w:sz w:val="32"/>
          <w:szCs w:val="32"/>
          <w:rtl w:val="0"/>
        </w:rPr>
        <w:t xml:space="preserve">via Lived Experience Elicitation and Semantic Alignment</w:t>
      </w:r>
      <w:r w:rsidDel="00000000" w:rsidR="00000000" w:rsidRPr="00000000">
        <w:rPr>
          <w:rtl w:val="0"/>
        </w:rPr>
      </w:r>
    </w:p>
    <w:p w:rsidR="00000000" w:rsidDel="00000000" w:rsidP="00000000" w:rsidRDefault="00000000" w:rsidRPr="00000000" w14:paraId="00000004">
      <w:pPr>
        <w:pBdr>
          <w:bottom w:color="2e5e9e" w:space="6" w:sz="8" w:val="single"/>
        </w:pBdr>
        <w:spacing w:after="60" w:before="0" w:lineRule="auto"/>
        <w:rPr/>
      </w:pPr>
      <w:r w:rsidDel="00000000" w:rsidR="00000000" w:rsidRPr="00000000">
        <w:rPr>
          <w:rFonts w:ascii="Arial" w:cs="Arial" w:eastAsia="Arial" w:hAnsi="Arial"/>
          <w:i w:val="1"/>
          <w:iCs w:val="1"/>
          <w:color w:val="777777"/>
          <w:sz w:val="20"/>
          <w:szCs w:val="20"/>
          <w:rtl w:val="0"/>
        </w:rPr>
        <w:t xml:space="preserve">Revised Experiment Design — ARR Target: May 2025</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pBdr>
          <w:bottom w:color="2e5e9e" w:space="4" w:sz="6" w:val="single"/>
        </w:pBdr>
        <w:spacing w:after="120" w:before="360" w:lineRule="auto"/>
        <w:rPr/>
      </w:pPr>
      <w:r w:rsidDel="00000000" w:rsidR="00000000" w:rsidRPr="00000000">
        <w:rPr>
          <w:rFonts w:ascii="Arial" w:cs="Arial" w:eastAsia="Arial" w:hAnsi="Arial"/>
          <w:b w:val="1"/>
          <w:bCs w:val="1"/>
          <w:color w:val="2e5e9e"/>
          <w:sz w:val="28"/>
          <w:szCs w:val="28"/>
          <w:rtl w:val="0"/>
        </w:rPr>
        <w:t xml:space="preserve">1. Theoretical Grounding and Core Claim</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sz w:val="22"/>
          <w:szCs w:val="22"/>
          <w:rtl w:val="0"/>
        </w:rPr>
        <w:t xml:space="preserve">This project builds on a precise theoretical claim grounded in feminist epistemology and perspectivist NLP: lived experience (LE) is not merely a demographic proxy but a structured epistemic resource that systematically shapes how annotators interpret subjectively sensitive data. When people annotate, they do not apply neutral judgment — they bring frameworks forged by their own histories of harm, care, and community.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09">
            <w:pPr>
              <w:spacing w:after="60" w:before="0" w:lineRule="auto"/>
              <w:rPr/>
            </w:pPr>
            <w:r w:rsidDel="00000000" w:rsidR="00000000" w:rsidRPr="00000000">
              <w:rPr>
                <w:rFonts w:ascii="Arial" w:cs="Arial" w:eastAsia="Arial" w:hAnsi="Arial"/>
                <w:b w:val="1"/>
                <w:bCs w:val="1"/>
                <w:color w:val="333333"/>
                <w:sz w:val="22"/>
                <w:szCs w:val="22"/>
                <w:rtl w:val="0"/>
              </w:rPr>
              <w:t xml:space="preserve">Central argument (from The Consensus Trap, FAccT 2026)</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Fonts w:ascii="Arial" w:cs="Arial" w:eastAsia="Arial" w:hAnsi="Arial"/>
                <w:i w:val="1"/>
                <w:iCs w:val="1"/>
                <w:sz w:val="20"/>
                <w:szCs w:val="20"/>
                <w:rtl w:val="0"/>
              </w:rPr>
              <w:t xml:space="preserve">The prevailing ground-truth paradigm enforces a manufactured cleanliness that erases the messy ambiguities of human life. Annotation is a situated act — labeling behavior in high-stakes domains correlates deeply with an annotator's value-based axes, including harm sensitivity and cultural identity. Disagreement is not noise; it is a high-fidelity signal of situated experience.</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sz w:val="22"/>
          <w:szCs w:val="22"/>
          <w:rtl w:val="0"/>
        </w:rPr>
        <w:t xml:space="preserve">The theoretical contribution of this project is to operationalize this argument empirically: rather than arguing abstractly that lived experience matters, we build a scoring pipeline that quantifies it, recruit annotators differentiated by it, and measure whether it explains downstream labeling variance. The feminist HCI principle of situated knowledge (Haraway, 1988) holds that all knowledge is produced from a specific social position — and this project asks whether that position, when made legible, produces systematically different and systematically richer annotation data.</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sz w:val="22"/>
          <w:szCs w:val="22"/>
          <w:rtl w:val="0"/>
        </w:rPr>
        <w:t xml:space="preserve">The future-work layer of this project directly addresses the positionality collapse problem identified in The Consensus Trap: as LLMs replace human annotators, the diversity of perspectives encoded in training data contracts toward a dominant-group average. By creating a benchmark of high-LE human annotations with full rationale provenance, this project enables a direct empirical test of that collapse.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pBdr>
          <w:bottom w:color="2e5e9e" w:space="4" w:sz="6" w:val="single"/>
        </w:pBdr>
        <w:spacing w:after="120" w:before="360" w:lineRule="auto"/>
        <w:rPr/>
      </w:pPr>
      <w:r w:rsidDel="00000000" w:rsidR="00000000" w:rsidRPr="00000000">
        <w:rPr>
          <w:rFonts w:ascii="Arial" w:cs="Arial" w:eastAsia="Arial" w:hAnsi="Arial"/>
          <w:b w:val="1"/>
          <w:bCs w:val="1"/>
          <w:color w:val="2e5e9e"/>
          <w:sz w:val="28"/>
          <w:szCs w:val="28"/>
          <w:rtl w:val="0"/>
        </w:rPr>
        <w:t xml:space="preserve">2. Research Questions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20"/>
                <w:szCs w:val="20"/>
                <w:rtl w:val="0"/>
              </w:rPr>
              <w:t xml:space="preserve">RQ1 — Label divergence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Does lived experience alignment (operationalized as a composite positionality score S) predict systematic differences in annotation labels for subjectively sensitive content — specifically, do high-alignment annotators identify harm, nuance, or ambiguity that low-alignment annotators miss?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fe5" w:val="clear"/>
            <w:tcMar>
              <w:top w:w="100.0" w:type="dxa"/>
              <w:left w:w="160.0" w:type="dxa"/>
              <w:bottom w:w="100.0" w:type="dxa"/>
              <w:right w:w="16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sz w:val="20"/>
                <w:szCs w:val="20"/>
                <w:rtl w:val="0"/>
              </w:rPr>
              <w:t xml:space="preserve">RQ2 — Rationale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Do annotators with higher alignment scores produce qualitatively richer, more contextually grounded rationales for their label decisions — and does this pattern hold across different types of positionality (participation, advocacy, expertise)?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d" w:val="clear"/>
            <w:tcMar>
              <w:top w:w="100.0" w:type="dxa"/>
              <w:left w:w="160.0" w:type="dxa"/>
              <w:bottom w:w="100.0" w:type="dxa"/>
              <w:right w:w="16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0"/>
                <w:szCs w:val="20"/>
                <w:rtl w:val="0"/>
              </w:rPr>
              <w:t xml:space="preserve">RQ3 — Positionality collapse (future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To what extent do LLM annotations — with and without lived-experience narrative scaffolding — collapse positionality relative to high-alignment human annotations? Does prompting LLMs with micronarratives partially recover the signal?</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pBdr>
          <w:bottom w:color="2e5e9e" w:space="4" w:sz="6" w:val="single"/>
        </w:pBdr>
        <w:spacing w:after="120" w:before="360" w:lineRule="auto"/>
        <w:rPr/>
      </w:pPr>
      <w:r w:rsidDel="00000000" w:rsidR="00000000" w:rsidRPr="00000000">
        <w:rPr>
          <w:rFonts w:ascii="Arial" w:cs="Arial" w:eastAsia="Arial" w:hAnsi="Arial"/>
          <w:b w:val="1"/>
          <w:bCs w:val="1"/>
          <w:color w:val="2e5e9e"/>
          <w:sz w:val="28"/>
          <w:szCs w:val="28"/>
          <w:rtl w:val="0"/>
        </w:rPr>
        <w:t xml:space="preserve">3. Revised Experiment Design</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The experiment follows six phases. Crucially, this design removes the clean control/experimental group split from the original draft. Instead, the alignment score S is treated as a continuous predictor variable computed post-elicitation, making every annotator informative. The Prolific recruitment strategy hires by theoretically motivated groups (identified via LLM), not by predicted alignment tier.</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spacing w:after="80" w:before="280" w:lineRule="auto"/>
        <w:rPr/>
      </w:pPr>
      <w:r w:rsidDel="00000000" w:rsidR="00000000" w:rsidRPr="00000000">
        <w:rPr>
          <w:rFonts w:ascii="Arial" w:cs="Arial" w:eastAsia="Arial" w:hAnsi="Arial"/>
          <w:b w:val="1"/>
          <w:bCs w:val="1"/>
          <w:color w:val="333333"/>
          <w:sz w:val="24"/>
          <w:szCs w:val="24"/>
          <w:rtl w:val="0"/>
        </w:rPr>
        <w:t xml:space="preserve">Phase 1 — Dataset Curation and </w:t>
      </w:r>
      <w:sdt>
        <w:sdtPr>
          <w:id w:val="-1339452062"/>
          <w:tag w:val="goog_rdk_0"/>
        </w:sdtPr>
        <w:sdtContent>
          <w:commentRangeStart w:id="0"/>
        </w:sdtContent>
      </w:sdt>
      <w:sdt>
        <w:sdtPr>
          <w:id w:val="-979756965"/>
          <w:tag w:val="goog_rdk_1"/>
        </w:sdtPr>
        <w:sdtContent>
          <w:commentRangeStart w:id="1"/>
        </w:sdtContent>
      </w:sdt>
      <w:r w:rsidDel="00000000" w:rsidR="00000000" w:rsidRPr="00000000">
        <w:rPr>
          <w:rFonts w:ascii="Arial" w:cs="Arial" w:eastAsia="Arial" w:hAnsi="Arial"/>
          <w:b w:val="1"/>
          <w:bCs w:val="1"/>
          <w:color w:val="333333"/>
          <w:sz w:val="24"/>
          <w:szCs w:val="24"/>
          <w:rtl w:val="0"/>
        </w:rPr>
        <w:t xml:space="preserve">Group Identification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2"/>
          <w:szCs w:val="22"/>
          <w:rtl w:val="0"/>
        </w:rPr>
        <w:t xml:space="preserve">Before writing a single screener, use an LLM to identify 4–5 groups per topic whose lived experience, social position, or direct exposure would lead to systematically different interpretations of the annotation task. This makes the group selection theoretically principled rather than researcher-imposed.</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200.0" w:type="dxa"/>
              <w:bottom w:w="120.0" w:type="dxa"/>
              <w:right w:w="200.0" w:type="dxa"/>
            </w:tcMar>
          </w:tcPr>
          <w:p w:rsidR="00000000" w:rsidDel="00000000" w:rsidP="00000000" w:rsidRDefault="00000000" w:rsidRPr="00000000" w14:paraId="0000001F">
            <w:pPr>
              <w:spacing w:after="60" w:before="0" w:lineRule="auto"/>
              <w:rPr/>
            </w:pPr>
            <w:r w:rsidDel="00000000" w:rsidR="00000000" w:rsidRPr="00000000">
              <w:rPr>
                <w:rFonts w:ascii="Arial" w:cs="Arial" w:eastAsia="Arial" w:hAnsi="Arial"/>
                <w:b w:val="1"/>
                <w:bCs w:val="1"/>
                <w:color w:val="333333"/>
                <w:sz w:val="22"/>
                <w:szCs w:val="22"/>
                <w:rtl w:val="0"/>
              </w:rPr>
              <w:t xml:space="preserve">LLM prompting template for group identification</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Fonts w:ascii="Arial" w:cs="Arial" w:eastAsia="Arial" w:hAnsi="Arial"/>
                <w:i w:val="1"/>
                <w:iCs w:val="1"/>
                <w:sz w:val="20"/>
                <w:szCs w:val="20"/>
                <w:rtl w:val="0"/>
              </w:rPr>
              <w:t xml:space="preserve">For the following annotation task [insert task + codebook description], identify 4–5 distinct social groups whose lived experience, social position, or direct exposure to this topic would lead to systematically different interpretations. For each group: (a) describe the nature of their connection — participation (direct), advocacy (proxy), or expertise (professional); (b) identify a specific value or interpretive frame that would shape their labeling; and (c) give one example of a data item where that group would diverge from a majority response.</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sz w:val="22"/>
          <w:szCs w:val="22"/>
          <w:rtl w:val="0"/>
        </w:rPr>
        <w:t xml:space="preserve">This output becomes the blueprint for Prolific screener criteria AND for the experience-match binary vector in the alignment scoring function. Curate 2 datasets for the initial study (see Section 5 for recommendations). Target: 30–40 items per dataset, drawn from natural sources (Reddit, Twitter/X, news comments) where the subjective interpretive dimension is irreducibly tied to experience.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spacing w:after="80" w:before="280" w:lineRule="auto"/>
        <w:rPr/>
      </w:pPr>
      <w:r w:rsidDel="00000000" w:rsidR="00000000" w:rsidRPr="00000000">
        <w:rPr>
          <w:rFonts w:ascii="Arial" w:cs="Arial" w:eastAsia="Arial" w:hAnsi="Arial"/>
          <w:b w:val="1"/>
          <w:bCs w:val="1"/>
          <w:color w:val="333333"/>
          <w:sz w:val="24"/>
          <w:szCs w:val="24"/>
          <w:rtl w:val="0"/>
        </w:rPr>
        <w:t xml:space="preserve">Phase 2 — Prolific Recruitment</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sz w:val="22"/>
          <w:szCs w:val="22"/>
          <w:rtl w:val="0"/>
        </w:rPr>
        <w:t xml:space="preserve">Use a two-stage process that separates broad targeting (Stage 1) from positionality capture (Stage 2).</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spacing w:after="60" w:before="200" w:lineRule="auto"/>
        <w:rPr/>
      </w:pPr>
      <w:r w:rsidDel="00000000" w:rsidR="00000000" w:rsidRPr="00000000">
        <w:rPr>
          <w:rFonts w:ascii="Arial" w:cs="Arial" w:eastAsia="Arial" w:hAnsi="Arial"/>
          <w:b w:val="1"/>
          <w:bCs w:val="1"/>
          <w:color w:val="555555"/>
          <w:sz w:val="22"/>
          <w:szCs w:val="22"/>
          <w:rtl w:val="0"/>
        </w:rPr>
        <w:t xml:space="preserve">Stage 1 — Prolific pre-screeners</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sz w:val="22"/>
          <w:szCs w:val="22"/>
          <w:rtl w:val="0"/>
        </w:rPr>
        <w:t xml:space="preserve">Recruit ~140–160 participants distributed across your 4–5 theoretically identified groups (~30–40 per group), plus a random-sample baseline stratum (~30 participants) with no topical pre-filter. Use Prolific's custom screener feature to target relevant groups rather than demographic buckets. For immigration datasets: target participants born outside their current country of residence, or with close family members who were. Do not pre-label participants as high/low LE — this is computed after Phase 3.</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spacing w:after="60" w:before="200" w:lineRule="auto"/>
        <w:rPr/>
      </w:pPr>
      <w:r w:rsidDel="00000000" w:rsidR="00000000" w:rsidRPr="00000000">
        <w:rPr>
          <w:rFonts w:ascii="Arial" w:cs="Arial" w:eastAsia="Arial" w:hAnsi="Arial"/>
          <w:b w:val="1"/>
          <w:bCs w:val="1"/>
          <w:color w:val="555555"/>
          <w:sz w:val="22"/>
          <w:szCs w:val="22"/>
          <w:rtl w:val="0"/>
        </w:rPr>
        <w:t xml:space="preserve">Stage 2 — Self-disclosure survey (entry to elicitation)</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sz w:val="22"/>
          <w:szCs w:val="22"/>
          <w:rtl w:val="0"/>
        </w:rPr>
        <w:t xml:space="preserve">Before accessing the LLM elicitation interface, all participants complete a brief self-disclosure instrument. This serves three functions simultaneously: it captures positionality metadata, it ethically respects participant framing, and it primes participants to approach the elicitation reflectively. Collect: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type: how are you connected to this topic? (direct personal experience / caregiver or advocate / professional expertise / no direct connection)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recency and duration: how long has this topic intersected with your life?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One-sentence voluntary disclosure: in your own words, briefly describe how this topic relates to your life (optional).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sz w:val="22"/>
          <w:szCs w:val="22"/>
          <w:rtl w:val="0"/>
        </w:rPr>
        <w:t xml:space="preserve">Self-disclosure is ethicized in feminist HCI as a mechanism for respecting participant agency over their own narrative — participants define their own connection rather than being categorized. It also enables a future analysis of the gap between researcher-assigned group and participant-defined connection type.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spacing w:after="80" w:before="280" w:lineRule="auto"/>
        <w:rPr/>
      </w:pPr>
      <w:r w:rsidDel="00000000" w:rsidR="00000000" w:rsidRPr="00000000">
        <w:rPr>
          <w:rFonts w:ascii="Arial" w:cs="Arial" w:eastAsia="Arial" w:hAnsi="Arial"/>
          <w:b w:val="1"/>
          <w:bCs w:val="1"/>
          <w:color w:val="333333"/>
          <w:sz w:val="24"/>
          <w:szCs w:val="24"/>
          <w:rtl w:val="0"/>
        </w:rPr>
        <w:t xml:space="preserve">Phase 3 — AI-Guided Lived Experience Elicitation</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sz w:val="22"/>
          <w:szCs w:val="22"/>
          <w:rtl w:val="0"/>
        </w:rPr>
        <w:t xml:space="preserve">Participants interact with a Streamlit-based LLM interface designed to extract rich, qualitative positionality. The interface runs two passes.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spacing w:after="60" w:before="200" w:lineRule="auto"/>
        <w:rPr/>
      </w:pPr>
      <w:r w:rsidDel="00000000" w:rsidR="00000000" w:rsidRPr="00000000">
        <w:rPr>
          <w:rFonts w:ascii="Arial" w:cs="Arial" w:eastAsia="Arial" w:hAnsi="Arial"/>
          <w:b w:val="1"/>
          <w:bCs w:val="1"/>
          <w:color w:val="555555"/>
          <w:sz w:val="22"/>
          <w:szCs w:val="22"/>
          <w:rtl w:val="0"/>
        </w:rPr>
        <w:t xml:space="preserve">Pass 1 — Scenario injection and extractive questioning</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Fonts w:ascii="Arial" w:cs="Arial" w:eastAsia="Arial" w:hAnsi="Arial"/>
          <w:sz w:val="22"/>
          <w:szCs w:val="22"/>
          <w:rtl w:val="0"/>
        </w:rPr>
        <w:t xml:space="preserve">Present a hypothetical vignette drawn from the dataset's domain that is rich enough to surface interpretive differences but neutral enough not to prime a particular label. Then ask open-ended questions: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aspects of this situation stand out most to you, and why?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remind you of anything in your own life or someone close to you? You don't need to share specifics.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values or principles guide how you'd evaluate whether something like this is harmful or supportive?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spacing w:after="60" w:before="200" w:lineRule="auto"/>
        <w:rPr/>
      </w:pPr>
      <w:r w:rsidDel="00000000" w:rsidR="00000000" w:rsidRPr="00000000">
        <w:rPr>
          <w:rFonts w:ascii="Arial" w:cs="Arial" w:eastAsia="Arial" w:hAnsi="Arial"/>
          <w:b w:val="1"/>
          <w:bCs w:val="1"/>
          <w:color w:val="555555"/>
          <w:sz w:val="22"/>
          <w:szCs w:val="22"/>
          <w:rtl w:val="0"/>
        </w:rPr>
        <w:t xml:space="preserve">Pass 2 — Authority rationale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Directly addresses the advisor note: 'rationale for why you're the right person to talk about this.' After Pass 1, ask: 'Based on what you've shared, in your own words, what gives you standing to interpret content like this? What makes your perspective valuable or specific here?' This generates the expertise-claim that feeds the ReasoningQuality component of the alignment score.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The LLM synthesizes both passes into a structured micronarrative: a 200–300 word positionality profile per annotator. Store the full transcript AND the micronarrative. The micronarrative is used in Phase 4 for scoring; the full transcript becomes a qualitative resource for the paper's close-reading section.</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5efe5" w:val="clear"/>
            <w:tcMar>
              <w:top w:w="120.0" w:type="dxa"/>
              <w:left w:w="200.0" w:type="dxa"/>
              <w:bottom w:w="120.0" w:type="dxa"/>
              <w:right w:w="200.0" w:type="dxa"/>
            </w:tcMar>
          </w:tcPr>
          <w:p w:rsidR="00000000" w:rsidDel="00000000" w:rsidP="00000000" w:rsidRDefault="00000000" w:rsidRPr="00000000" w14:paraId="00000040">
            <w:pPr>
              <w:spacing w:after="60" w:before="0" w:lineRule="auto"/>
              <w:rPr/>
            </w:pPr>
            <w:r w:rsidDel="00000000" w:rsidR="00000000" w:rsidRPr="00000000">
              <w:rPr>
                <w:rFonts w:ascii="Arial" w:cs="Arial" w:eastAsia="Arial" w:hAnsi="Arial"/>
                <w:b w:val="1"/>
                <w:bCs w:val="1"/>
                <w:color w:val="333333"/>
                <w:sz w:val="22"/>
                <w:szCs w:val="22"/>
                <w:rtl w:val="0"/>
              </w:rPr>
              <w:t xml:space="preserve">Connection to The Consensus Trap</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Arial" w:cs="Arial" w:eastAsia="Arial" w:hAnsi="Arial"/>
                <w:i w:val="1"/>
                <w:iCs w:val="1"/>
                <w:sz w:val="20"/>
                <w:szCs w:val="20"/>
                <w:rtl w:val="0"/>
              </w:rPr>
              <w:t xml:space="preserve">The consensus trap review identifies narrative elicitation as the primary recommendation for overcoming identity reductionism: 'Rather than utilizing sterile buckets that strip away context, practitioners should adopt narrative elicitation methods, prioritizing rich, qualitative accounts to preserve intersectional nuance that standardized surveys omit.' This phase is the direct operationalization of that recommendation.</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spacing w:after="80" w:before="280" w:lineRule="auto"/>
        <w:rPr/>
      </w:pPr>
      <w:r w:rsidDel="00000000" w:rsidR="00000000" w:rsidRPr="00000000">
        <w:rPr>
          <w:rFonts w:ascii="Arial" w:cs="Arial" w:eastAsia="Arial" w:hAnsi="Arial"/>
          <w:b w:val="1"/>
          <w:bCs w:val="1"/>
          <w:color w:val="333333"/>
          <w:sz w:val="24"/>
          <w:szCs w:val="24"/>
          <w:rtl w:val="0"/>
        </w:rPr>
        <w:t xml:space="preserve">Phase 4 —</w:t>
      </w:r>
      <w:sdt>
        <w:sdtPr>
          <w:id w:val="1181588584"/>
          <w:tag w:val="goog_rdk_2"/>
        </w:sdtPr>
        <w:sdtContent>
          <w:commentRangeStart w:id="2"/>
        </w:sdtContent>
      </w:sdt>
      <w:r w:rsidDel="00000000" w:rsidR="00000000" w:rsidRPr="00000000">
        <w:rPr>
          <w:rFonts w:ascii="Arial" w:cs="Arial" w:eastAsia="Arial" w:hAnsi="Arial"/>
          <w:b w:val="1"/>
          <w:bCs w:val="1"/>
          <w:color w:val="333333"/>
          <w:sz w:val="24"/>
          <w:szCs w:val="24"/>
          <w:rtl w:val="0"/>
        </w:rPr>
        <w:t xml:space="preserve"> Alignment Scoring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Fonts w:ascii="Arial" w:cs="Arial" w:eastAsia="Arial" w:hAnsi="Arial"/>
          <w:sz w:val="22"/>
          <w:szCs w:val="22"/>
          <w:rtl w:val="0"/>
        </w:rPr>
        <w:t xml:space="preserve">This is the methodological core. Replace the single cosine similarity score from the original draft with a multi-component composite, where each component captures a distinct dimension of annotator-task fit. Use SBERT (all-mpnet-base-v2 or multi-qa-mpnet-base-cos-v1) rather than general OpenAI embeddings — these models are fine-tuned for meaning-closeness and produce normalized vectors, making cosine equivalent to dot product.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Arial" w:cs="Arial" w:eastAsia="Arial" w:hAnsi="Arial"/>
          <w:sz w:val="22"/>
          <w:szCs w:val="22"/>
          <w:rtl w:val="0"/>
        </w:rPr>
        <w:t xml:space="preserve">Final score: Score(a, t) = w1 * S_semantic + w2 * S_experience + w3 * S_perspective + w4 * S_reasoning</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sz w:val="20"/>
                <w:szCs w:val="20"/>
                <w:rtl w:val="0"/>
              </w:rPr>
              <w:t xml:space="preserve">S_semantic (w1)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SBERT cosine similarity between the task description + codebook embedding (V_data) and the full micronarrative embedding (V_annot). Captures direct topic relevance. Model: all-mpnet-base-v2.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fe5" w:val="clear"/>
            <w:tcMar>
              <w:top w:w="100.0" w:type="dxa"/>
              <w:left w:w="160.0" w:type="dxa"/>
              <w:bottom w:w="100.0" w:type="dxa"/>
              <w:right w:w="16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z w:val="20"/>
                <w:szCs w:val="20"/>
                <w:rtl w:val="0"/>
              </w:rPr>
              <w:t xml:space="preserve">S_experience (w2)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Binary vector dot product between task-relevant experience signals and annotator-reported experience. Example: [immigrant=1, discrimination=1, healthcare=0] for both task and annotator. Captures hard lived-experience overlap. Defined per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d" w:val="clear"/>
            <w:tcMar>
              <w:top w:w="100.0" w:type="dxa"/>
              <w:left w:w="160.0" w:type="dxa"/>
              <w:bottom w:w="100.0" w:type="dxa"/>
              <w:right w:w="16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sz w:val="20"/>
                <w:szCs w:val="20"/>
                <w:rtl w:val="0"/>
              </w:rPr>
              <w:t xml:space="preserve">S_perspective (w3)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LLM-extracted stance vector cosine. Extract annotator stances on topic-relevant value dimensions (e.g., harm_sensitivity, institutional_trust, in-group_solidarity) from Pass 1 responses, scored 0–1. Compute cosine against a dataset-defined reference stance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20"/>
                <w:szCs w:val="20"/>
                <w:rtl w:val="0"/>
              </w:rPr>
              <w:t xml:space="preserve">S_reasoning (w4)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LLM-evaluated reasoning quality. Score the micronarrative on depth (does experience connect to a concrete interpretive consequence?), consistency (is stated connection coherent with labels?), and contextual specificity (specific situations vs. generalizations). Average of three 1–5 scores, normalized to 0–1.</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sz w:val="22"/>
          <w:szCs w:val="22"/>
          <w:rtl w:val="0"/>
        </w:rPr>
        <w:t xml:space="preserve">Run initial weights equally (w1=w2=w3=w4=0.25). Include an ablation across weight configurations as a robustness check. Validate the scoring function by having two researchers independently rate a 20-participant subset for 'depth of connection' and checking correlation with 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spacing w:after="80" w:before="280" w:lineRule="auto"/>
        <w:rPr/>
      </w:pPr>
      <w:r w:rsidDel="00000000" w:rsidR="00000000" w:rsidRPr="00000000">
        <w:rPr>
          <w:rFonts w:ascii="Arial" w:cs="Arial" w:eastAsia="Arial" w:hAnsi="Arial"/>
          <w:b w:val="1"/>
          <w:bCs w:val="1"/>
          <w:color w:val="333333"/>
          <w:sz w:val="24"/>
          <w:szCs w:val="24"/>
          <w:rtl w:val="0"/>
        </w:rPr>
        <w:t xml:space="preserve">Phase 5 — Annotation Collection</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Arial" w:cs="Arial" w:eastAsia="Arial" w:hAnsi="Arial"/>
          <w:sz w:val="22"/>
          <w:szCs w:val="22"/>
          <w:rtl w:val="0"/>
        </w:rPr>
        <w:t xml:space="preserve">Each participant annotates 30–40 items from their assigned dataset. For each item, collect four outputs: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the primary categorical annotation (e.g., supportive / neutral / harmful; inclusive / excluding / ambiguous).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2–4 sentences explaining the label decision. Prompt: 'In your own words, explain why you chose this label. What in the text led you to this interpretation?'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1–5 Likert scale.</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Positionality salience: 1–5 Likert. 'How much did your own experience or background influence this particular judgment?'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sz w:val="22"/>
          <w:szCs w:val="22"/>
          <w:rtl w:val="0"/>
        </w:rPr>
        <w:t xml:space="preserve">The rationale field is critical — it is the raw material for the future rationale-clustering aggregation project. It also enables the qualitative component of the analysis (close reading of high vs. low alignment rationales), which gives the paper its 'striking cases' evidence for the feminist HCI argument.</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spacing w:after="80" w:before="280" w:lineRule="auto"/>
        <w:rPr/>
      </w:pPr>
      <w:r w:rsidDel="00000000" w:rsidR="00000000" w:rsidRPr="00000000">
        <w:rPr>
          <w:rFonts w:ascii="Arial" w:cs="Arial" w:eastAsia="Arial" w:hAnsi="Arial"/>
          <w:b w:val="1"/>
          <w:bCs w:val="1"/>
          <w:color w:val="333333"/>
          <w:sz w:val="24"/>
          <w:szCs w:val="24"/>
          <w:rtl w:val="0"/>
        </w:rPr>
        <w:t xml:space="preserve">Phase 6 — Analysis</w:t>
      </w:r>
      <w:r w:rsidDel="00000000" w:rsidR="00000000" w:rsidRPr="00000000">
        <w:rPr>
          <w:rtl w:val="0"/>
        </w:rPr>
      </w:r>
    </w:p>
    <w:p w:rsidR="00000000" w:rsidDel="00000000" w:rsidP="00000000" w:rsidRDefault="00000000" w:rsidRPr="00000000" w14:paraId="0000005D">
      <w:pPr>
        <w:pStyle w:val="Heading3"/>
        <w:spacing w:after="60" w:before="200" w:lineRule="auto"/>
        <w:rPr/>
      </w:pPr>
      <w:r w:rsidDel="00000000" w:rsidR="00000000" w:rsidRPr="00000000">
        <w:rPr>
          <w:rFonts w:ascii="Arial" w:cs="Arial" w:eastAsia="Arial" w:hAnsi="Arial"/>
          <w:b w:val="1"/>
          <w:bCs w:val="1"/>
          <w:color w:val="555555"/>
          <w:sz w:val="22"/>
          <w:szCs w:val="22"/>
          <w:rtl w:val="0"/>
        </w:rPr>
        <w:t xml:space="preserve">Primary quantitative analysis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Regress label distribution divergence (Jensen-Shannon divergence from the full-sample distribution) on alignment score S, controlling for self-reported confidence and task domain. This tests RQ1 continuously rather than via group comparison.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Krippendorff's alpha within alignment quartiles. Hypothesis: high-S participants show higher intra-group agreement on subjective labels, consistent with shared interpretive frameworks rather than noise.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LLM-score all rationales for depth, contextual specificity, and consistency. Regress rationale quality scores on S. This tests RQ2.</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spacing w:after="60" w:before="200" w:lineRule="auto"/>
        <w:rPr/>
      </w:pPr>
      <w:r w:rsidDel="00000000" w:rsidR="00000000" w:rsidRPr="00000000">
        <w:rPr>
          <w:rFonts w:ascii="Arial" w:cs="Arial" w:eastAsia="Arial" w:hAnsi="Arial"/>
          <w:b w:val="1"/>
          <w:bCs w:val="1"/>
          <w:color w:val="555555"/>
          <w:sz w:val="22"/>
          <w:szCs w:val="22"/>
          <w:rtl w:val="0"/>
        </w:rPr>
        <w:t xml:space="preserve">Secondary qualitative analysis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top 10% and bottom 10% of annotators by S score. Close-read their rationales for the 5 most disagreed-upon items. This gives concrete 'striking cases' where LE demonstrably shaped interpretation.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Examine the gap between Prolific-assigned group and self-disclosed connection type. This surfaces cases where researcher assumptions about who has LE are wrong — a methodological contribution in itself.</w:t>
      </w:r>
    </w:p>
    <w:p w:rsidR="00000000" w:rsidDel="00000000" w:rsidP="00000000" w:rsidRDefault="00000000" w:rsidRPr="00000000" w14:paraId="00000065">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d" w:val="clear"/>
            <w:tcMar>
              <w:top w:w="120.0" w:type="dxa"/>
              <w:left w:w="200.0" w:type="dxa"/>
              <w:bottom w:w="120.0" w:type="dxa"/>
              <w:right w:w="200.0" w:type="dxa"/>
            </w:tcMar>
          </w:tcPr>
          <w:p w:rsidR="00000000" w:rsidDel="00000000" w:rsidP="00000000" w:rsidRDefault="00000000" w:rsidRPr="00000000" w14:paraId="00000066">
            <w:pPr>
              <w:spacing w:after="60" w:before="0" w:lineRule="auto"/>
              <w:rPr/>
            </w:pPr>
            <w:r w:rsidDel="00000000" w:rsidR="00000000" w:rsidRPr="00000000">
              <w:rPr>
                <w:rFonts w:ascii="Arial" w:cs="Arial" w:eastAsia="Arial" w:hAnsi="Arial"/>
                <w:b w:val="1"/>
                <w:bCs w:val="1"/>
                <w:color w:val="333333"/>
                <w:sz w:val="22"/>
                <w:szCs w:val="22"/>
                <w:rtl w:val="0"/>
              </w:rPr>
              <w:t xml:space="preserve">Future-work layer: positionality collapse study (RQ3)</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Arial" w:cs="Arial" w:eastAsia="Arial" w:hAnsi="Arial"/>
                <w:i w:val="1"/>
                <w:iCs w:val="1"/>
                <w:sz w:val="20"/>
                <w:szCs w:val="20"/>
                <w:rtl w:val="0"/>
              </w:rPr>
              <w:t xml:space="preserve">Use the rationale corpus to run a three-way comparison: (A) human annotations from high-S annotators, (B) LLM annotations without any scaffolding, (C) LLM annotations prompted with the participant micronarrative. Test whether LLM annotations in condition B converge toward a majority-demographic response distribution, and whether condition C partially recovers the signal. This directly tests the algorithmic monoculture claim from The Consensus Trap.</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pBdr>
          <w:bottom w:color="2e5e9e" w:space="4" w:sz="6" w:val="single"/>
        </w:pBdr>
        <w:spacing w:after="120" w:before="360" w:lineRule="auto"/>
        <w:rPr/>
      </w:pPr>
      <w:r w:rsidDel="00000000" w:rsidR="00000000" w:rsidRPr="00000000">
        <w:rPr>
          <w:rFonts w:ascii="Arial" w:cs="Arial" w:eastAsia="Arial" w:hAnsi="Arial"/>
          <w:b w:val="1"/>
          <w:bCs w:val="1"/>
          <w:color w:val="2e5e9e"/>
          <w:sz w:val="28"/>
          <w:szCs w:val="28"/>
          <w:rtl w:val="0"/>
        </w:rPr>
        <w:t xml:space="preserve">4. Concrete Timeline to May Deadline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sz w:val="20"/>
                <w:szCs w:val="20"/>
                <w:rtl w:val="0"/>
              </w:rPr>
              <w:t xml:space="preserve">Weeks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Finalize 2 datasets + LLM group identification. Write ethics/IRB protocol. Build Prolific screener criteria. Confirm annotation codebooks.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fe5" w:val="clear"/>
            <w:tcMar>
              <w:top w:w="100.0" w:type="dxa"/>
              <w:left w:w="160.0" w:type="dxa"/>
              <w:bottom w:w="100.0" w:type="dxa"/>
              <w:right w:w="16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sz w:val="20"/>
                <w:szCs w:val="20"/>
                <w:rtl w:val="0"/>
              </w:rPr>
              <w:t xml:space="preserve">Weeks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Build Streamlit elicitation interface + SBERT scoring pipeline. Pilot with 10 participants (across 2–3 groups) to validate micronarrative quality and scoring function. Adjust prompts.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d" w:val="clear"/>
            <w:tcMar>
              <w:top w:w="100.0" w:type="dxa"/>
              <w:left w:w="160.0" w:type="dxa"/>
              <w:bottom w:w="100.0" w:type="dxa"/>
              <w:right w:w="16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Weeks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Full Prolific run: ~150 participants across 2 datasets. Run scoring pipeline; compute S for all participants.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z w:val="20"/>
                <w:szCs w:val="20"/>
                <w:rtl w:val="0"/>
              </w:rPr>
              <w:t xml:space="preserve">Weeks 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Annotation collection (separate Prolific task with rationale fields). Run quantitative analysis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z w:val="20"/>
                <w:szCs w:val="20"/>
                <w:rtl w:val="0"/>
              </w:rPr>
              <w:t xml:space="preserve">Weeks 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Write-up. Close reading. Figures. Submit.</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pBdr>
          <w:bottom w:color="2e5e9e" w:space="4" w:sz="6" w:val="single"/>
        </w:pBdr>
        <w:spacing w:after="120" w:before="360" w:lineRule="auto"/>
        <w:rPr/>
      </w:pPr>
      <w:r w:rsidDel="00000000" w:rsidR="00000000" w:rsidRPr="00000000">
        <w:rPr>
          <w:rFonts w:ascii="Arial" w:cs="Arial" w:eastAsia="Arial" w:hAnsi="Arial"/>
          <w:b w:val="1"/>
          <w:bCs w:val="1"/>
          <w:color w:val="2e5e9e"/>
          <w:sz w:val="28"/>
          <w:szCs w:val="28"/>
          <w:rtl w:val="0"/>
        </w:rPr>
        <w:t xml:space="preserve">5. </w:t>
      </w:r>
      <w:sdt>
        <w:sdtPr>
          <w:id w:val="-369893861"/>
          <w:tag w:val="goog_rdk_3"/>
        </w:sdtPr>
        <w:sdtContent>
          <w:commentRangeStart w:id="3"/>
        </w:sdtContent>
      </w:sdt>
      <w:sdt>
        <w:sdtPr>
          <w:id w:val="48802158"/>
          <w:tag w:val="goog_rdk_4"/>
        </w:sdtPr>
        <w:sdtContent>
          <w:commentRangeStart w:id="4"/>
        </w:sdtContent>
      </w:sdt>
      <w:sdt>
        <w:sdtPr>
          <w:id w:val="-2001940379"/>
          <w:tag w:val="goog_rdk_5"/>
        </w:sdtPr>
        <w:sdtContent>
          <w:commentRangeStart w:id="5"/>
        </w:sdtContent>
      </w:sdt>
      <w:r w:rsidDel="00000000" w:rsidR="00000000" w:rsidRPr="00000000">
        <w:rPr>
          <w:rFonts w:ascii="Arial" w:cs="Arial" w:eastAsia="Arial" w:hAnsi="Arial"/>
          <w:b w:val="1"/>
          <w:bCs w:val="1"/>
          <w:color w:val="2e5e9e"/>
          <w:sz w:val="28"/>
          <w:szCs w:val="28"/>
          <w:rtl w:val="0"/>
        </w:rPr>
        <w:t xml:space="preserve">Dataset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Fonts w:ascii="Arial" w:cs="Arial" w:eastAsia="Arial" w:hAnsi="Arial"/>
          <w:b w:val="1"/>
          <w:bCs w:val="1"/>
          <w:color w:val="2e5e9e"/>
          <w:sz w:val="28"/>
          <w:szCs w:val="28"/>
          <w:rtl w:val="0"/>
        </w:rPr>
        <w:t xml:space="preserve"> Recommendations</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Fonts w:ascii="Arial" w:cs="Arial" w:eastAsia="Arial" w:hAnsi="Arial"/>
          <w:sz w:val="22"/>
          <w:szCs w:val="22"/>
          <w:rtl w:val="0"/>
        </w:rPr>
        <w:t xml:space="preserve">Key selection criterion: the lived experience dimension must be orthogonal to demographic proxies available in Prolific. A dataset qualifies if someone's relevant experience cannot be inferred from their age, gender, or ethnicity alone. Start with two datasets; the design supports extension.</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760"/>
        <w:gridCol w:w="2000"/>
        <w:tblGridChange w:id="0">
          <w:tblGrid>
            <w:gridCol w:w="2200"/>
            <w:gridCol w:w="2400"/>
            <w:gridCol w:w="27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e9e"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Dataset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9e"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Connection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9e"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Annotation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9e"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LE Orthogonality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shd w:fill="fff2cc" w:val="clear"/>
              </w:rPr>
            </w:pPr>
            <w:r w:rsidDel="00000000" w:rsidR="00000000" w:rsidRPr="00000000">
              <w:rPr>
                <w:rFonts w:ascii="Arial" w:cs="Arial" w:eastAsia="Arial" w:hAnsi="Arial"/>
                <w:sz w:val="19"/>
                <w:szCs w:val="19"/>
                <w:shd w:fill="fff2cc" w:val="clear"/>
                <w:rtl w:val="0"/>
              </w:rPr>
              <w:t xml:space="preserve">Immigration + belonging (</w:t>
            </w:r>
            <w:sdt>
              <w:sdtPr>
                <w:id w:val="9932732"/>
                <w:tag w:val="goog_rdk_6"/>
              </w:sdtPr>
              <w:sdtContent>
                <w:commentRangeStart w:id="6"/>
              </w:sdtContent>
            </w:sdt>
            <w:r w:rsidDel="00000000" w:rsidR="00000000" w:rsidRPr="00000000">
              <w:rPr>
                <w:rFonts w:ascii="Arial" w:cs="Arial" w:eastAsia="Arial" w:hAnsi="Arial"/>
                <w:sz w:val="19"/>
                <w:szCs w:val="19"/>
                <w:shd w:fill="fff2cc" w:val="clear"/>
                <w:rtl w:val="0"/>
              </w:rPr>
              <w:t xml:space="preserve">Canada</w:t>
            </w:r>
            <w:commentRangeEnd w:id="6"/>
            <w:r w:rsidDel="00000000" w:rsidR="00000000" w:rsidRPr="00000000">
              <w:commentReference w:id="6"/>
            </w:r>
            <w:r w:rsidDel="00000000" w:rsidR="00000000" w:rsidRPr="00000000">
              <w:rPr>
                <w:rFonts w:ascii="Arial" w:cs="Arial" w:eastAsia="Arial" w:hAnsi="Arial"/>
                <w:sz w:val="19"/>
                <w:szCs w:val="19"/>
                <w:shd w:fill="fff2cc" w:val="clear"/>
                <w:rtl w:val="0"/>
              </w:rPr>
              <w:t xml:space="preserve">-relevant)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shd w:fill="fff2cc" w:val="clear"/>
              </w:rPr>
            </w:pPr>
            <w:r w:rsidDel="00000000" w:rsidR="00000000" w:rsidRPr="00000000">
              <w:rPr>
                <w:rFonts w:ascii="Arial" w:cs="Arial" w:eastAsia="Arial" w:hAnsi="Arial"/>
                <w:sz w:val="19"/>
                <w:szCs w:val="19"/>
                <w:shd w:fill="fff2cc" w:val="clear"/>
                <w:rtl w:val="0"/>
              </w:rPr>
              <w:t xml:space="preserve">Recent immigrants / second-gen Canadians / immigration lawyers / lifelong residents / refugees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shd w:fill="fff2cc" w:val="clear"/>
              </w:rPr>
            </w:pPr>
            <w:r w:rsidDel="00000000" w:rsidR="00000000" w:rsidRPr="00000000">
              <w:rPr>
                <w:rFonts w:ascii="Arial" w:cs="Arial" w:eastAsia="Arial" w:hAnsi="Arial"/>
                <w:sz w:val="19"/>
                <w:szCs w:val="19"/>
                <w:shd w:fill="fff2cc" w:val="clear"/>
                <w:rtl w:val="0"/>
              </w:rPr>
              <w:t xml:space="preserve">Classify whether a comment reflects inclusion, othering, or ambiguity. Identify whether language signals belonging or exclusion.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shd w:fill="fff2cc" w:val="clear"/>
              </w:rPr>
            </w:pPr>
            <w:r w:rsidDel="00000000" w:rsidR="00000000" w:rsidRPr="00000000">
              <w:rPr>
                <w:rFonts w:ascii="Arial" w:cs="Arial" w:eastAsia="Arial" w:hAnsi="Arial"/>
                <w:sz w:val="19"/>
                <w:szCs w:val="19"/>
                <w:shd w:fill="fff2cc" w:val="clear"/>
                <w:rtl w:val="0"/>
              </w:rPr>
              <w:t xml:space="preserve">Born in Canada != has grappled with belonging. Relevant axis is experience of otherness, not citizenship.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19"/>
                <w:szCs w:val="19"/>
                <w:rtl w:val="0"/>
              </w:rPr>
              <w:t xml:space="preserve">Mental health language in online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19"/>
                <w:szCs w:val="19"/>
                <w:rtl w:val="0"/>
              </w:rPr>
              <w:t xml:space="preserve">People with lived mental health experience / therapists / suicide attempt survivors / caregivers / general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19"/>
                <w:szCs w:val="19"/>
                <w:rtl w:val="0"/>
              </w:rPr>
              <w:t xml:space="preserve">Assess whether a response to a distress post is helpful, harmful, or neutral. Identify toxic positivity vs. genuine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19"/>
                <w:szCs w:val="19"/>
                <w:rtl w:val="0"/>
              </w:rPr>
              <w:t xml:space="preserve">Gender, age cannot predict whether someone has navigated mental health crises. Experience is the axis.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shd w:fill="fff2cc" w:val="clear"/>
              </w:rPr>
            </w:pPr>
            <w:r w:rsidDel="00000000" w:rsidR="00000000" w:rsidRPr="00000000">
              <w:rPr>
                <w:rFonts w:ascii="Arial" w:cs="Arial" w:eastAsia="Arial" w:hAnsi="Arial"/>
                <w:sz w:val="19"/>
                <w:szCs w:val="19"/>
                <w:shd w:fill="fff2cc" w:val="clear"/>
                <w:rtl w:val="0"/>
              </w:rPr>
              <w:t xml:space="preserve">Chronic pain and invisible disability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shd w:fill="fff2cc" w:val="clear"/>
              </w:rPr>
            </w:pPr>
            <w:r w:rsidDel="00000000" w:rsidR="00000000" w:rsidRPr="00000000">
              <w:rPr>
                <w:rFonts w:ascii="Arial" w:cs="Arial" w:eastAsia="Arial" w:hAnsi="Arial"/>
                <w:sz w:val="19"/>
                <w:szCs w:val="19"/>
                <w:shd w:fill="fff2cc" w:val="clear"/>
                <w:rtl w:val="0"/>
              </w:rPr>
              <w:t xml:space="preserve">People with chronic pain / caregivers / medical professionals / recovered from acute injury / no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shd w:fill="fff2cc" w:val="clear"/>
              </w:rPr>
            </w:pPr>
            <w:r w:rsidDel="00000000" w:rsidR="00000000" w:rsidRPr="00000000">
              <w:rPr>
                <w:rFonts w:ascii="Arial" w:cs="Arial" w:eastAsia="Arial" w:hAnsi="Arial"/>
                <w:sz w:val="19"/>
                <w:szCs w:val="19"/>
                <w:shd w:fill="fff2cc" w:val="clear"/>
                <w:rtl w:val="0"/>
              </w:rPr>
              <w:t xml:space="preserve">Distinguish genuine support from toxic positivity; classify whether a medical response is validating or dismissive.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shd w:fill="fff2cc" w:val="clear"/>
              </w:rPr>
            </w:pPr>
            <w:r w:rsidDel="00000000" w:rsidR="00000000" w:rsidRPr="00000000">
              <w:rPr>
                <w:rFonts w:ascii="Arial" w:cs="Arial" w:eastAsia="Arial" w:hAnsi="Arial"/>
                <w:sz w:val="19"/>
                <w:szCs w:val="19"/>
                <w:shd w:fill="fff2cc" w:val="clear"/>
                <w:rtl w:val="0"/>
              </w:rPr>
              <w:t xml:space="preserve">35-year-old woman could be a skeptic or a sufferer. No demographic proxy covers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19"/>
                <w:szCs w:val="19"/>
                <w:rtl w:val="0"/>
              </w:rPr>
              <w:t xml:space="preserve">Trans/non-binary institutional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19"/>
                <w:szCs w:val="19"/>
                <w:rtl w:val="0"/>
              </w:rPr>
              <w:t xml:space="preserve">Trans people / non-binary people / trans healthcare providers / parents of trans youth / cis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19"/>
                <w:szCs w:val="19"/>
                <w:rtl w:val="0"/>
              </w:rPr>
              <w:t xml:space="preserve">Label whether institutional language (healthcare, legal) is inclusive, excluding, or ambiguous.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19"/>
                <w:szCs w:val="19"/>
                <w:rtl w:val="0"/>
              </w:rPr>
              <w:t xml:space="preserve">Cis/trans axis is relevant but even within trans community, pre/post transition shapes interpretation differently.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19"/>
                <w:szCs w:val="19"/>
                <w:rtl w:val="0"/>
              </w:rPr>
              <w:t xml:space="preserve">Gig economy and algorithmic fairness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19"/>
                <w:szCs w:val="19"/>
                <w:rtl w:val="0"/>
              </w:rPr>
              <w:t xml:space="preserve">Gig workers / platform managers / labor organizers / traditional employees / academics who study labor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19"/>
                <w:szCs w:val="19"/>
                <w:rtl w:val="0"/>
              </w:rPr>
              <w:t xml:space="preserve">Classify whether a described platform policy is fair, exploitative, or ambiguous.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19"/>
                <w:szCs w:val="19"/>
                <w:rtl w:val="0"/>
              </w:rPr>
              <w:t xml:space="preserve">No Prolific demographic filter captures gig worker identity or algorithmic precarity experience.</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Fonts w:ascii="Arial" w:cs="Arial" w:eastAsia="Arial" w:hAnsi="Arial"/>
          <w:sz w:val="22"/>
          <w:szCs w:val="22"/>
          <w:rtl w:val="0"/>
        </w:rPr>
        <w:t xml:space="preserve">Recommended launch pair: Immigration (dataset 1) + Mental health (dataset 2). Both are Reddit/social media accessible, have clean Prolific screener criteria, and represent the participation vs. advocacy split well.</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pBdr>
          <w:bottom w:color="2e5e9e" w:space="4" w:sz="6" w:val="single"/>
        </w:pBdr>
        <w:spacing w:after="120" w:before="360" w:lineRule="auto"/>
        <w:rPr/>
      </w:pPr>
      <w:r w:rsidDel="00000000" w:rsidR="00000000" w:rsidRPr="00000000">
        <w:rPr>
          <w:rFonts w:ascii="Arial" w:cs="Arial" w:eastAsia="Arial" w:hAnsi="Arial"/>
          <w:b w:val="1"/>
          <w:bCs w:val="1"/>
          <w:color w:val="2e5e9e"/>
          <w:sz w:val="28"/>
          <w:szCs w:val="28"/>
          <w:rtl w:val="0"/>
        </w:rPr>
        <w:t xml:space="preserve">6. Key Papers to Read</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spacing w:after="80" w:before="280" w:lineRule="auto"/>
        <w:rPr/>
      </w:pPr>
      <w:r w:rsidDel="00000000" w:rsidR="00000000" w:rsidRPr="00000000">
        <w:rPr>
          <w:rFonts w:ascii="Arial" w:cs="Arial" w:eastAsia="Arial" w:hAnsi="Arial"/>
          <w:b w:val="1"/>
          <w:bCs w:val="1"/>
          <w:color w:val="333333"/>
          <w:sz w:val="24"/>
          <w:szCs w:val="24"/>
          <w:rtl w:val="0"/>
        </w:rPr>
        <w:t xml:space="preserve">Theoretical foundations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5e"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5e"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19"/>
                <w:szCs w:val="19"/>
                <w:rtl w:val="0"/>
              </w:rPr>
              <w:t xml:space="preserve">Haraway (1988). Situated Knowledges. Feminist Studies.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19"/>
                <w:szCs w:val="19"/>
                <w:rtl w:val="0"/>
              </w:rPr>
              <w:t xml:space="preserve">The ur-text for the argument that all knowledge is produced from a specific social position. Read in full — this is the philosophical spine of the project's feminist HCI 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19"/>
                <w:szCs w:val="19"/>
                <w:rtl w:val="0"/>
              </w:rPr>
              <w:t xml:space="preserve">Bardzell (2010). Feminist HCI: Taking Stock. CHI.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19"/>
                <w:szCs w:val="19"/>
                <w:rtl w:val="0"/>
              </w:rPr>
              <w:t xml:space="preserve">Primary feminist HCI theory paper. Establishes what feminist methods mean for system design and data collection.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19"/>
                <w:szCs w:val="19"/>
                <w:rtl w:val="0"/>
              </w:rPr>
              <w:t xml:space="preserve">D'Ignazio &amp; Klein (2020). Data Feminism. MIT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19"/>
                <w:szCs w:val="19"/>
                <w:rtl w:val="0"/>
              </w:rPr>
              <w:t xml:space="preserve">Provides the data feminism framing. The 'power chapter' is essential for why annotation is a political act, not a technical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19"/>
                <w:szCs w:val="19"/>
                <w:rtl w:val="0"/>
              </w:rPr>
              <w:t xml:space="preserve">Sen (2009). The Idea of Justice. Belknap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19"/>
                <w:szCs w:val="19"/>
                <w:rtl w:val="0"/>
              </w:rPr>
              <w:t xml:space="preserve">Source of the niti/nyaya distinction used in The Consensus Trap and relevant to framing procedural vs. substantive justice in annotation.</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spacing w:after="80" w:before="280" w:lineRule="auto"/>
        <w:rPr/>
      </w:pPr>
      <w:r w:rsidDel="00000000" w:rsidR="00000000" w:rsidRPr="00000000">
        <w:rPr>
          <w:rFonts w:ascii="Arial" w:cs="Arial" w:eastAsia="Arial" w:hAnsi="Arial"/>
          <w:b w:val="1"/>
          <w:bCs w:val="1"/>
          <w:color w:val="333333"/>
          <w:sz w:val="24"/>
          <w:szCs w:val="24"/>
          <w:rtl w:val="0"/>
        </w:rPr>
        <w:t xml:space="preserve">Positionality in annotation — direct precedents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5e"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5e"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19"/>
                <w:szCs w:val="19"/>
                <w:rtl w:val="0"/>
              </w:rPr>
              <w:t xml:space="preserve">Santy et al. (2023). NLPositionality: Characterizing Design Biases. ACL.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19"/>
                <w:szCs w:val="19"/>
                <w:rtl w:val="0"/>
              </w:rPr>
              <w:t xml:space="preserve">Closest empirical precedent. Shows annotators perceive content as offensive or benign depending on social positioning. Key citation for RQ1.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19"/>
                <w:szCs w:val="19"/>
                <w:rtl w:val="0"/>
              </w:rPr>
              <w:t xml:space="preserve">Sap et al. (2022). Annotators with Attitudes. NAACL.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19"/>
                <w:szCs w:val="19"/>
                <w:rtl w:val="0"/>
              </w:rPr>
              <w:t xml:space="preserve">Labeling behavior in toxicity detection correlates deeply with annotator identity and harm sensitivity. Direct support for your theoretical 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19"/>
                <w:szCs w:val="19"/>
                <w:rtl w:val="0"/>
              </w:rPr>
              <w:t xml:space="preserve">Patton et al. (2019). Annotating Twitter Data from Vulnerable Populations. HICSS.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19"/>
                <w:szCs w:val="19"/>
                <w:rtl w:val="0"/>
              </w:rPr>
              <w:t xml:space="preserve">Empirical case showing community members vs. student annotators systematically diverged on aggression labeling. Cited in The Consensus Trap — this is your most vivid precedent.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19"/>
                <w:szCs w:val="19"/>
                <w:rtl w:val="0"/>
              </w:rPr>
              <w:t xml:space="preserve">Skeggs et al. (2025). Micro-narratives. CHI.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19"/>
                <w:szCs w:val="19"/>
                <w:rtl w:val="0"/>
              </w:rPr>
              <w:t xml:space="preserve">Establishes micro-narrative elicitation as a scalable, validated method for capturing lived experience. Methodological grounding for Phase 3.</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spacing w:after="80" w:before="280" w:lineRule="auto"/>
        <w:rPr/>
      </w:pPr>
      <w:r w:rsidDel="00000000" w:rsidR="00000000" w:rsidRPr="00000000">
        <w:rPr>
          <w:rFonts w:ascii="Arial" w:cs="Arial" w:eastAsia="Arial" w:hAnsi="Arial"/>
          <w:b w:val="1"/>
          <w:bCs w:val="1"/>
          <w:color w:val="333333"/>
          <w:sz w:val="24"/>
          <w:szCs w:val="24"/>
          <w:rtl w:val="0"/>
        </w:rPr>
        <w:t xml:space="preserve">Perspectivist NLP — treating disagreement as signal</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5e"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5e"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19"/>
                <w:szCs w:val="19"/>
                <w:rtl w:val="0"/>
              </w:rPr>
              <w:t xml:space="preserve">Frenda et al. (2024). Perspectivist Approaches to NLP: A Survey. Language Resources and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19"/>
                <w:szCs w:val="19"/>
                <w:rtl w:val="0"/>
              </w:rPr>
              <w:t xml:space="preserve">Best overview of the field. Covers the full landscape of datasets and methods for perspectivism. Read before writing the related work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19"/>
                <w:szCs w:val="19"/>
                <w:rtl w:val="0"/>
              </w:rPr>
              <w:t xml:space="preserve">Mostafazadeh Davani et al. (2022). Dealing with Disagreements. TACL.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19"/>
                <w:szCs w:val="19"/>
                <w:rtl w:val="0"/>
              </w:rPr>
              <w:t xml:space="preserve">Multi-task learning framework for modeling individual annotators. The technical baseline you are improving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19"/>
                <w:szCs w:val="19"/>
                <w:rtl w:val="0"/>
              </w:rPr>
              <w:t xml:space="preserve">Gordon et al. (2022). Jury Learning. CHI.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19"/>
                <w:szCs w:val="19"/>
                <w:rtl w:val="0"/>
              </w:rPr>
              <w:t xml:space="preserve">Demonstrates that changing the demographic composition of an annotation jury shifts 14% of toxicity outcomes. Empirical support for the claim that 'truth is relational.'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19"/>
                <w:szCs w:val="19"/>
                <w:rtl w:val="0"/>
              </w:rPr>
              <w:t xml:space="preserve">Nishio et al. (2025). Rationale-aware Label Aggregation.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19"/>
                <w:szCs w:val="19"/>
                <w:rtl w:val="0"/>
              </w:rPr>
              <w:t xml:space="preserve">RAAG approach: treats rationales as first-class data points for aggregation. This is the direct technical predecessor to your future-work rationale-clustering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19"/>
                <w:szCs w:val="19"/>
                <w:rtl w:val="0"/>
              </w:rPr>
              <w:t xml:space="preserve">Xu &amp; Jurgens (2026). Beyond Consensus. arXiv.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19"/>
                <w:szCs w:val="19"/>
                <w:rtl w:val="0"/>
              </w:rPr>
              <w:t xml:space="preserve">Most up-to-date survey of disagreement-aware NLP. Read for taxonomy of disagreement sources and for framing RQ1 in NLP terms.</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spacing w:after="80" w:before="280" w:lineRule="auto"/>
        <w:rPr/>
      </w:pPr>
      <w:r w:rsidDel="00000000" w:rsidR="00000000" w:rsidRPr="00000000">
        <w:rPr>
          <w:rFonts w:ascii="Arial" w:cs="Arial" w:eastAsia="Arial" w:hAnsi="Arial"/>
          <w:b w:val="1"/>
          <w:bCs w:val="1"/>
          <w:color w:val="333333"/>
          <w:sz w:val="24"/>
          <w:szCs w:val="24"/>
          <w:rtl w:val="0"/>
        </w:rPr>
        <w:t xml:space="preserve">Annotation methodology and crowdsourcing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5e"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5e"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19"/>
                <w:szCs w:val="19"/>
                <w:rtl w:val="0"/>
              </w:rPr>
              <w:t xml:space="preserve">Kapania, Taylor &amp; Wang (2023). A Hunt for the Snark: Annotator Diversity. CHI.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19"/>
                <w:szCs w:val="19"/>
                <w:rtl w:val="0"/>
              </w:rPr>
              <w:t xml:space="preserve">By your advisor — directly relevant. Documents practitioners' resistance to diverse annotator pools and the operational barriers to pluralism.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19"/>
                <w:szCs w:val="19"/>
                <w:rtl w:val="0"/>
              </w:rPr>
              <w:t xml:space="preserve">Sambasivan et al. (2021). Data Cascades in High-Stakes AI. CHI.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19"/>
                <w:szCs w:val="19"/>
                <w:rtl w:val="0"/>
              </w:rPr>
              <w:t xml:space="preserve">Shows how upstream annotation decisions propagate into downstream model failures. Supports the claim that LE matters for AI systems, not just for the annotation 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19"/>
                <w:szCs w:val="19"/>
                <w:rtl w:val="0"/>
              </w:rPr>
              <w:t xml:space="preserve">Wan, Kim &amp; Kang (2023). Everyone's Voice Matters. AAAI.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19"/>
                <w:szCs w:val="19"/>
                <w:rtl w:val="0"/>
              </w:rPr>
              <w:t xml:space="preserve">Uses demographic information to quantify annotation disagreement. Methodological precedent — you extend this to LE-based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19"/>
                <w:szCs w:val="19"/>
                <w:rtl w:val="0"/>
              </w:rPr>
              <w:t xml:space="preserve">Denton et al. (2021). Whose Ground Truth? Accounting for Identities. arXiv.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19"/>
                <w:szCs w:val="19"/>
                <w:rtl w:val="0"/>
              </w:rPr>
              <w:t xml:space="preserve">Directly argues for replacing demographic proxies with richer annotator identity capture. Your project operationalizes this argument.</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spacing w:after="80" w:before="280" w:lineRule="auto"/>
        <w:rPr/>
      </w:pPr>
      <w:r w:rsidDel="00000000" w:rsidR="00000000" w:rsidRPr="00000000">
        <w:rPr>
          <w:rFonts w:ascii="Arial" w:cs="Arial" w:eastAsia="Arial" w:hAnsi="Arial"/>
          <w:b w:val="1"/>
          <w:bCs w:val="1"/>
          <w:color w:val="333333"/>
          <w:sz w:val="24"/>
          <w:szCs w:val="24"/>
          <w:rtl w:val="0"/>
        </w:rPr>
        <w:t xml:space="preserve">LLM vs. human annotation — for RQ3 framing</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5e"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5e"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19"/>
                <w:szCs w:val="19"/>
                <w:rtl w:val="0"/>
              </w:rPr>
              <w:t xml:space="preserve">Gilardi et al. (2023). ChatGPT Outperforms Crowd Workers. PNAS.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19"/>
                <w:szCs w:val="19"/>
                <w:rtl w:val="0"/>
              </w:rPr>
              <w:t xml:space="preserve">The counter-argument you need to engage with. Claims LLMs are better annotators — your project challenges this by showing LLMs collapse positionality.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19"/>
                <w:szCs w:val="19"/>
                <w:rtl w:val="0"/>
              </w:rPr>
              <w:t xml:space="preserve">Kapania et al. (2025). Examining the Expanding Role of Synthetic Data. FAccT.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19"/>
                <w:szCs w:val="19"/>
                <w:rtl w:val="0"/>
              </w:rPr>
              <w:t xml:space="preserve">By your advisor — examines how synthetic data throughout the pipeline risks monoculture. Directly relevant to RQ3.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19"/>
                <w:szCs w:val="19"/>
                <w:rtl w:val="0"/>
              </w:rPr>
              <w:t xml:space="preserve">Aoyagui et al. (2025). A Matter of Perspective(s): Contrasting Human and LLM Argumentation. CHI.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19"/>
                <w:szCs w:val="19"/>
                <w:rtl w:val="0"/>
              </w:rPr>
              <w:t xml:space="preserve">Directly compares human and LLM argumentation in subjective decision-making on subtle sexism. Very close to your RQ3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19"/>
                <w:szCs w:val="19"/>
                <w:rtl w:val="0"/>
              </w:rPr>
              <w:t xml:space="preserve">Phutane, Seelam &amp; Vashistha (2025). Cold, Calculated, and Condescending. FAccT.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19"/>
                <w:szCs w:val="19"/>
                <w:rtl w:val="0"/>
              </w:rPr>
              <w:t xml:space="preserve">Shows LLMs systematically underestimate ableist microaggressions that community members flag — concrete evidence of positionality collapse by modality.</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pBdr>
          <w:bottom w:color="2e5e9e" w:space="4" w:sz="6" w:val="single"/>
        </w:pBdr>
        <w:spacing w:after="120" w:before="360" w:lineRule="auto"/>
        <w:rPr/>
      </w:pPr>
      <w:r w:rsidDel="00000000" w:rsidR="00000000" w:rsidRPr="00000000">
        <w:rPr>
          <w:rFonts w:ascii="Arial" w:cs="Arial" w:eastAsia="Arial" w:hAnsi="Arial"/>
          <w:b w:val="1"/>
          <w:bCs w:val="1"/>
          <w:color w:val="2e5e9e"/>
          <w:sz w:val="28"/>
          <w:szCs w:val="28"/>
          <w:rtl w:val="0"/>
        </w:rPr>
        <w:t xml:space="preserve">7. Advisor Notes — Addressed</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z w:val="20"/>
                <w:szCs w:val="20"/>
                <w:rtl w:val="0"/>
              </w:rPr>
              <w:t xml:space="preserve">Ask how participant is connected to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Addressed in Phase 2 Stage 2: self-disclosure instrument collects connection type (direct / advocacy / expertise) and duration before elicitation begins. This also ties into self-disclosure as a feminist research ethics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fe5" w:val="clear"/>
            <w:tcMar>
              <w:top w:w="100.0" w:type="dxa"/>
              <w:left w:w="160.0" w:type="dxa"/>
              <w:bottom w:w="100.0" w:type="dxa"/>
              <w:right w:w="16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z w:val="20"/>
                <w:szCs w:val="20"/>
                <w:rtl w:val="0"/>
              </w:rPr>
              <w:t xml:space="preserve">Label AND rationale — justify label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Addressed in Phase 5: annotation collection explicitly gathers free-text rationale for every labeled item, alongside confidence and positionality salience. Rationale is treated as a first-class data point, not a side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d" w:val="clear"/>
            <w:tcMar>
              <w:top w:w="100.0" w:type="dxa"/>
              <w:left w:w="160.0" w:type="dxa"/>
              <w:bottom w:w="100.0" w:type="dxa"/>
              <w:right w:w="16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z w:val="20"/>
                <w:szCs w:val="20"/>
                <w:rtl w:val="0"/>
              </w:rPr>
              <w:t xml:space="preserve">Questions related to lived experiences (immigrants, nuanced 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Addressed in Phase 3 Pass 1: scenario injection uses domain-specific vignettes designed to surface experiential divergence. Dataset 1 (immigration/belonging) is directly responsive to this 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sz w:val="20"/>
                <w:szCs w:val="20"/>
                <w:rtl w:val="0"/>
              </w:rPr>
              <w:t xml:space="preserve">Rationale for why you're the right person to annotate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Addressed in Phase 3 Pass 2: dedicated 'authority rationale' prompt explicitly asks participants to articulate their epistemic standing. This feeds the ReasoningQuality component of the alignment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fe5" w:val="clear"/>
            <w:tcMar>
              <w:top w:w="100.0" w:type="dxa"/>
              <w:left w:w="160.0" w:type="dxa"/>
              <w:bottom w:w="100.0" w:type="dxa"/>
              <w:right w:w="16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z w:val="20"/>
                <w:szCs w:val="20"/>
                <w:rtl w:val="0"/>
              </w:rPr>
              <w:t xml:space="preserve">Feminist argument for LE — cases where it strikingly matters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Addressed in Phase 6 secondary analysis: close reading of top 10% and bottom 10% alignment annotators on the most contested items. Also addressed in dataset selection — mental health and immigration are chosen precisely because the LE dimension is most strikingly divergent.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d" w:val="clear"/>
            <w:tcMar>
              <w:top w:w="100.0" w:type="dxa"/>
              <w:left w:w="160.0" w:type="dxa"/>
              <w:bottom w:w="100.0" w:type="dxa"/>
              <w:right w:w="16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sz w:val="20"/>
                <w:szCs w:val="20"/>
                <w:rtl w:val="0"/>
              </w:rPr>
              <w:t xml:space="preserve">Participation / advocacy / expertise — 4-5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Addressed in Phase 1: LLM-guided group identification generates 4–5 groups per topic with theoretically justified distinctions between participation, advocacy, and expertise. Groups become Prolific screener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z w:val="20"/>
                <w:szCs w:val="20"/>
                <w:rtl w:val="0"/>
              </w:rPr>
              <w:t xml:space="preserve">Multiple Prolific hiring: relevant groups + random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Addressed in Phase 2: two strata — 4–5 targeted groups (~30–40 each) plus a random-sample baseline stratum (~30) with no topical pre-filter.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fe5" w:val="clear"/>
            <w:tcMar>
              <w:top w:w="100.0" w:type="dxa"/>
              <w:left w:w="160.0" w:type="dxa"/>
              <w:bottom w:w="100.0" w:type="dxa"/>
              <w:right w:w="16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sz w:val="20"/>
                <w:szCs w:val="20"/>
                <w:rtl w:val="0"/>
              </w:rPr>
              <w:t xml:space="preserve">Visualization of experiment vs. MTurk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Described in Phase 3: the Streamlit LLM interface with two-pass elicitation is the value-guided annotation platform that contrasts with standard MTurk task design. Diagram provided in the companion pipeline visual.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d" w:val="clear"/>
            <w:tcMar>
              <w:top w:w="100.0" w:type="dxa"/>
              <w:left w:w="160.0" w:type="dxa"/>
              <w:bottom w:w="100.0" w:type="dxa"/>
              <w:right w:w="16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sz w:val="20"/>
                <w:szCs w:val="20"/>
                <w:rtl w:val="0"/>
              </w:rPr>
              <w:t xml:space="preserve">No need for control/non-control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Addressed in the overall design: alignment score S is treated as a continuous predictor variable, not a group variable. Every participant is informative. Group membership (from Prolific screeners) is a covariate for robustness, not the primary analysis unit.</w:t>
            </w:r>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Bdr>
          <w:top w:color="cccccc" w:space="4" w:sz="4" w:val="single"/>
        </w:pBdr>
        <w:spacing w:after="0" w:before="360" w:lineRule="auto"/>
        <w:rPr>
          <w:rFonts w:ascii="Arial" w:cs="Arial" w:eastAsia="Arial" w:hAnsi="Arial"/>
          <w:i w:val="1"/>
          <w:iCs w:val="1"/>
          <w:color w:val="888888"/>
          <w:sz w:val="18"/>
          <w:szCs w:val="18"/>
        </w:rPr>
      </w:pPr>
      <w:r w:rsidDel="00000000" w:rsidR="00000000" w:rsidRPr="00000000">
        <w:rPr>
          <w:rFonts w:ascii="Arial" w:cs="Arial" w:eastAsia="Arial" w:hAnsi="Arial"/>
          <w:i w:val="1"/>
          <w:iCs w:val="1"/>
          <w:color w:val="888888"/>
          <w:sz w:val="18"/>
          <w:szCs w:val="18"/>
          <w:rtl w:val="0"/>
        </w:rPr>
        <w:t xml:space="preserve">This document was generated as a working research design document. All claims and recommendations should be verified against primary sources before submission. See The Consensus Trap (Munir et al., FAccT 2026) for the systematic review grounding the theoretical claims above.</w:t>
      </w:r>
    </w:p>
    <w:p w:rsidR="00000000" w:rsidDel="00000000" w:rsidP="00000000" w:rsidRDefault="00000000" w:rsidRPr="00000000" w14:paraId="000000EB">
      <w:pPr>
        <w:pBdr>
          <w:top w:color="cccccc" w:space="4" w:sz="4" w:val="single"/>
        </w:pBdr>
        <w:spacing w:after="0" w:before="360" w:lineRule="auto"/>
        <w:rPr>
          <w:i w:val="1"/>
          <w:iCs w:val="1"/>
          <w:color w:val="888888"/>
          <w:sz w:val="18"/>
          <w:szCs w:val="18"/>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eza Munir" w:id="0" w:date="2026-03-29T05:28:31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effects of pre-filtering</w:t>
      </w:r>
    </w:p>
  </w:comment>
  <w:comment w:author="Sheza Munir" w:id="1" w:date="2026-03-29T05:28:39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really be random w this</w:t>
      </w:r>
    </w:p>
  </w:comment>
  <w:comment w:author="Sheza Munir" w:id="6" w:date="2026-03-30T16:55:03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canada? easier to recruit. sample IRB doc?</w:t>
      </w:r>
    </w:p>
  </w:comment>
  <w:comment w:author="Sheza Munir" w:id="2" w:date="2026-03-30T16:34:23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w:t>
      </w:r>
    </w:p>
  </w:comment>
  <w:comment w:author="Sheza Munir" w:id="3" w:date="2026-03-30T16:35:11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w:t>
      </w:r>
    </w:p>
  </w:comment>
  <w:comment w:author="Sheza Munir" w:id="4" w:date="2026-03-30T16:44:50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 vs creating own set of datapoints</w:t>
      </w:r>
    </w:p>
  </w:comment>
  <w:comment w:author="Sheza Munir" w:id="5" w:date="2026-03-30T17:55:08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haw many annotators, how many datapoints?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C" w15:done="0"/>
  <w15:commentEx w15:paraId="000000ED" w15:paraIdParent="000000EC" w15:done="0"/>
  <w15:commentEx w15:paraId="000000EE" w15:done="0"/>
  <w15:commentEx w15:paraId="000000EF" w15:done="0"/>
  <w15:commentEx w15:paraId="000000F0" w15:done="0"/>
  <w15:commentEx w15:paraId="000000F1" w15:paraIdParent="000000F0" w15:done="0"/>
  <w15:commentEx w15:paraId="000000F2" w15:paraIdParent="000000F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2e5e9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55555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6X8w9v5ID+h++w9o8SesTWQAcw==">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2026-03-28T23:27:29.493Z</dcterms:created>
  <dc:creator>Un-named</dc:creator>
</cp:coreProperties>
</file>

<file path=docProps/custom.xml><?xml version="1.0" encoding="utf-8"?>
<Properties xmlns="http://schemas.openxmlformats.org/officeDocument/2006/custom-properties" xmlns:vt="http://schemas.openxmlformats.org/officeDocument/2006/docPropsVTypes"/>
</file>