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2D0AD" w14:textId="420441EC" w:rsidR="0A878293" w:rsidRDefault="0A878293" w:rsidP="62668BC8">
      <w:pPr>
        <w:rPr>
          <w:u w:val="single"/>
        </w:rPr>
      </w:pPr>
      <w:r w:rsidRPr="62668BC8">
        <w:rPr>
          <w:u w:val="single"/>
        </w:rPr>
        <w:t>*WADI code file name*</w:t>
      </w:r>
      <w:r w:rsidR="253F12B6" w:rsidRPr="62668BC8">
        <w:rPr>
          <w:u w:val="single"/>
        </w:rPr>
        <w:t xml:space="preserve"> (Note:  variables adjusted during algorithm assessment and code may not run without c</w:t>
      </w:r>
      <w:r w:rsidR="43366A80" w:rsidRPr="62668BC8">
        <w:rPr>
          <w:u w:val="single"/>
        </w:rPr>
        <w:t>hanging variable names</w:t>
      </w:r>
      <w:r w:rsidR="19D56B54" w:rsidRPr="62668BC8">
        <w:rPr>
          <w:u w:val="single"/>
        </w:rPr>
        <w:t>.  Best to run cell by cell to adjust variables as needed</w:t>
      </w:r>
      <w:r w:rsidR="25C5DA98" w:rsidRPr="62668BC8">
        <w:rPr>
          <w:u w:val="single"/>
        </w:rPr>
        <w:t>.  Required packages and libraries listed in cells</w:t>
      </w:r>
      <w:r w:rsidR="43366A80" w:rsidRPr="62668BC8">
        <w:rPr>
          <w:u w:val="single"/>
        </w:rPr>
        <w:t>)</w:t>
      </w:r>
    </w:p>
    <w:p w14:paraId="5821BACF" w14:textId="2AC6C892" w:rsidR="253F12B6" w:rsidRDefault="253F12B6" w:rsidP="62668BC8">
      <w:pPr>
        <w:pStyle w:val="ListParagraph"/>
        <w:numPr>
          <w:ilvl w:val="0"/>
          <w:numId w:val="3"/>
        </w:numPr>
      </w:pPr>
      <w:r>
        <w:t>KMEANS</w:t>
      </w:r>
      <w:r w:rsidR="73B339BA">
        <w:t>_</w:t>
      </w:r>
      <w:proofErr w:type="gramStart"/>
      <w:r w:rsidR="73B339BA">
        <w:t>WADI</w:t>
      </w:r>
      <w:r w:rsidR="5F74F78E">
        <w:t xml:space="preserve">, </w:t>
      </w:r>
      <w:r w:rsidR="68F7DE92">
        <w:t xml:space="preserve"> </w:t>
      </w:r>
      <w:r w:rsidR="74746602">
        <w:t>(</w:t>
      </w:r>
      <w:proofErr w:type="spellStart"/>
      <w:proofErr w:type="gramEnd"/>
      <w:r w:rsidR="74746602">
        <w:t>KMeans.ipynb</w:t>
      </w:r>
      <w:proofErr w:type="spellEnd"/>
      <w:r w:rsidR="74746602">
        <w:t>, KMeans2.ipynb, KMeans3.ipynb)</w:t>
      </w:r>
      <w:r w:rsidR="68F7DE92">
        <w:t>– novelty detection, subsystem grouping</w:t>
      </w:r>
      <w:r w:rsidR="04676BB5">
        <w:t xml:space="preserve"> </w:t>
      </w:r>
      <w:r w:rsidR="04ECA671">
        <w:t xml:space="preserve">on </w:t>
      </w:r>
      <w:r w:rsidR="04676BB5">
        <w:t>WADI</w:t>
      </w:r>
      <w:r w:rsidR="217451A6">
        <w:t xml:space="preserve"> data set</w:t>
      </w:r>
    </w:p>
    <w:p w14:paraId="73291567" w14:textId="3A021940" w:rsidR="1E5771A4" w:rsidRDefault="1E5771A4" w:rsidP="62668BC8">
      <w:pPr>
        <w:pStyle w:val="ListParagraph"/>
        <w:numPr>
          <w:ilvl w:val="1"/>
          <w:numId w:val="3"/>
        </w:numPr>
      </w:pPr>
      <w:r>
        <w:t xml:space="preserve">Ensure that “WADI_14days_new.csv” and “WADI_attackdataLABLE.csv </w:t>
      </w:r>
      <w:proofErr w:type="gramStart"/>
      <w:r>
        <w:t>“ are</w:t>
      </w:r>
      <w:proofErr w:type="gramEnd"/>
      <w:r>
        <w:t xml:space="preserve"> available.</w:t>
      </w:r>
    </w:p>
    <w:p w14:paraId="6D22C7F0" w14:textId="14C4AA93" w:rsidR="47A8AA90" w:rsidRDefault="47A8AA90" w:rsidP="62668BC8">
      <w:pPr>
        <w:pStyle w:val="ListParagraph"/>
        <w:numPr>
          <w:ilvl w:val="0"/>
          <w:numId w:val="3"/>
        </w:numPr>
      </w:pPr>
      <w:r>
        <w:t>SWAT_2015_</w:t>
      </w:r>
      <w:r w:rsidR="61314E82">
        <w:t>CUSUM</w:t>
      </w:r>
      <w:r w:rsidR="0A70D485">
        <w:t xml:space="preserve"> </w:t>
      </w:r>
      <w:r w:rsidR="2069BA2A">
        <w:t xml:space="preserve">(SWAT_2015_CUSUM.ipynb) – CUSUM </w:t>
      </w:r>
      <w:r w:rsidR="0A70D485">
        <w:t>anomaly detection on SWAT 2015</w:t>
      </w:r>
    </w:p>
    <w:p w14:paraId="4D5F4459" w14:textId="306A44B5" w:rsidR="00DD1B9E" w:rsidRDefault="00DD1B9E" w:rsidP="62668BC8">
      <w:pPr>
        <w:pStyle w:val="ListParagraph"/>
        <w:numPr>
          <w:ilvl w:val="1"/>
          <w:numId w:val="3"/>
        </w:numPr>
      </w:pPr>
      <w:r>
        <w:t>Ensure that “</w:t>
      </w:r>
      <w:r w:rsidR="68CF5873">
        <w:t xml:space="preserve">SWaT_Dataset_Attack_v0.csv” is available.  </w:t>
      </w:r>
      <w:r w:rsidR="27743DA5">
        <w:t xml:space="preserve">Initial code for </w:t>
      </w:r>
      <w:proofErr w:type="spellStart"/>
      <w:r w:rsidR="27743DA5">
        <w:t>KMeans</w:t>
      </w:r>
      <w:proofErr w:type="spellEnd"/>
      <w:r w:rsidR="27743DA5">
        <w:t xml:space="preserve"> not used for project.</w:t>
      </w:r>
    </w:p>
    <w:p w14:paraId="58F649CA" w14:textId="41F66038" w:rsidR="040D532D" w:rsidRDefault="040D532D" w:rsidP="62668BC8">
      <w:pPr>
        <w:pStyle w:val="ListParagraph"/>
        <w:numPr>
          <w:ilvl w:val="0"/>
          <w:numId w:val="3"/>
        </w:numPr>
      </w:pPr>
      <w:r>
        <w:t xml:space="preserve">LSTM_KNN </w:t>
      </w:r>
      <w:r w:rsidR="68AF9D7E">
        <w:t>(</w:t>
      </w:r>
      <w:proofErr w:type="spellStart"/>
      <w:r w:rsidR="68AF9D7E">
        <w:t>EDA_LSTM.ipynb</w:t>
      </w:r>
      <w:proofErr w:type="spellEnd"/>
      <w:r w:rsidR="68AF9D7E">
        <w:t xml:space="preserve">, </w:t>
      </w:r>
      <w:proofErr w:type="spellStart"/>
      <w:r w:rsidR="68AF9D7E">
        <w:t>LSTM.ipynb</w:t>
      </w:r>
      <w:proofErr w:type="spellEnd"/>
      <w:r w:rsidR="68AF9D7E">
        <w:t xml:space="preserve">, LSTM2.ipynb, </w:t>
      </w:r>
      <w:proofErr w:type="spellStart"/>
      <w:r w:rsidR="68AF9D7E">
        <w:t>PyOD.ipynb</w:t>
      </w:r>
      <w:proofErr w:type="spellEnd"/>
      <w:r w:rsidR="68AF9D7E">
        <w:t>, PyOD2.ipynb, PyOD3.ipynb)</w:t>
      </w:r>
      <w:r w:rsidR="0EC28D64">
        <w:t xml:space="preserve"> </w:t>
      </w:r>
      <w:proofErr w:type="gramStart"/>
      <w:r w:rsidR="0EC28D64">
        <w:t xml:space="preserve">- </w:t>
      </w:r>
      <w:r w:rsidR="68AF9D7E">
        <w:t xml:space="preserve"> </w:t>
      </w:r>
      <w:r>
        <w:t>LSTM</w:t>
      </w:r>
      <w:proofErr w:type="gramEnd"/>
      <w:r>
        <w:t xml:space="preserve"> and KNN anomaly detection WADI (EDA included)</w:t>
      </w:r>
    </w:p>
    <w:p w14:paraId="5BA1CEA5" w14:textId="02CE0ED3" w:rsidR="389E68A7" w:rsidRDefault="389E68A7" w:rsidP="62668BC8">
      <w:pPr>
        <w:pStyle w:val="ListParagraph"/>
        <w:numPr>
          <w:ilvl w:val="1"/>
          <w:numId w:val="3"/>
        </w:numPr>
      </w:pPr>
      <w:r>
        <w:t xml:space="preserve">Ensure that “WADI_14days_new.csv” and “WADI_attackdataLABLE.csv </w:t>
      </w:r>
      <w:proofErr w:type="gramStart"/>
      <w:r>
        <w:t>“ are</w:t>
      </w:r>
      <w:proofErr w:type="gramEnd"/>
      <w:r>
        <w:t xml:space="preserve"> available.</w:t>
      </w:r>
    </w:p>
    <w:p w14:paraId="4B2FFAB6" w14:textId="369BC000" w:rsidR="62668BC8" w:rsidRDefault="62668BC8" w:rsidP="62668BC8"/>
    <w:p w14:paraId="2869406F" w14:textId="41B06F64" w:rsidR="7D37CC7C" w:rsidRDefault="7D37CC7C" w:rsidP="62668BC8">
      <w:pPr>
        <w:rPr>
          <w:b/>
          <w:bCs/>
          <w:u w:val="single"/>
        </w:rPr>
      </w:pPr>
      <w:r w:rsidRPr="62668BC8">
        <w:rPr>
          <w:b/>
          <w:bCs/>
          <w:u w:val="single"/>
        </w:rPr>
        <w:t>main_Clustering.py</w:t>
      </w:r>
    </w:p>
    <w:p w14:paraId="1AFBDFA3" w14:textId="3DA9BAFB" w:rsidR="7134129A" w:rsidRDefault="7134129A" w:rsidP="62668BC8">
      <w:r>
        <w:t>Usage: main_Clustering.py</w:t>
      </w:r>
    </w:p>
    <w:p w14:paraId="6CDCB7F3" w14:textId="22CBF07E" w:rsidR="5B973D76" w:rsidRDefault="5B973D76" w:rsidP="62668BC8">
      <w:r>
        <w:t xml:space="preserve">The main_Clustering.py will run on </w:t>
      </w:r>
      <w:proofErr w:type="spellStart"/>
      <w:r>
        <w:t>SWaT</w:t>
      </w:r>
      <w:proofErr w:type="spellEnd"/>
      <w:r>
        <w:t xml:space="preserve"> 201</w:t>
      </w:r>
      <w:r w:rsidR="5C1B6F98">
        <w:t>5</w:t>
      </w:r>
      <w:r>
        <w:t xml:space="preserve"> and </w:t>
      </w:r>
      <w:proofErr w:type="spellStart"/>
      <w:r>
        <w:t>SWaT</w:t>
      </w:r>
      <w:proofErr w:type="spellEnd"/>
      <w:r>
        <w:t xml:space="preserve"> 201</w:t>
      </w:r>
      <w:r w:rsidR="47699505">
        <w:t>9</w:t>
      </w:r>
      <w:r w:rsidR="6AEAE781">
        <w:t xml:space="preserve"> datasets with the below inputs and variable changes. The script is designed to run single or numerous test cases and produce visualization and metrics to assess the performance of the PCA and K-Means clustering outlier detection </w:t>
      </w:r>
      <w:r w:rsidR="20A2B90C">
        <w:t>implementation.</w:t>
      </w:r>
    </w:p>
    <w:p w14:paraId="51EDC1F6" w14:textId="37E19FCA" w:rsidR="7134129A" w:rsidRDefault="7134129A" w:rsidP="62668BC8">
      <w:r>
        <w:t>Input</w:t>
      </w:r>
      <w:r w:rsidR="108E6C99">
        <w:t>:</w:t>
      </w:r>
    </w:p>
    <w:p w14:paraId="5A28731E" w14:textId="24B50797" w:rsidR="513466DD" w:rsidRDefault="513466DD" w:rsidP="62668BC8">
      <w:pPr>
        <w:pStyle w:val="ListParagraph"/>
        <w:numPr>
          <w:ilvl w:val="0"/>
          <w:numId w:val="2"/>
        </w:numPr>
      </w:pPr>
      <w:r>
        <w:t>Modify the “</w:t>
      </w:r>
      <w:proofErr w:type="spellStart"/>
      <w:r>
        <w:t>test_cases_</w:t>
      </w:r>
      <w:proofErr w:type="gramStart"/>
      <w:r>
        <w:t>str</w:t>
      </w:r>
      <w:proofErr w:type="spellEnd"/>
      <w:r>
        <w:t>”  variable</w:t>
      </w:r>
      <w:proofErr w:type="gramEnd"/>
      <w:r>
        <w:t xml:space="preserve"> to a .csv  with </w:t>
      </w:r>
      <w:r w:rsidR="5C833659">
        <w:t>desired test cases to execut</w:t>
      </w:r>
      <w:r w:rsidR="3086D976">
        <w:t>e</w:t>
      </w:r>
      <w:r w:rsidR="69506321">
        <w:t xml:space="preserve">. The Columns and rows of the .csv as formatted as follows: </w:t>
      </w:r>
    </w:p>
    <w:tbl>
      <w:tblPr>
        <w:tblStyle w:val="TableGrid"/>
        <w:tblW w:w="0" w:type="auto"/>
        <w:jc w:val="right"/>
        <w:tblLayout w:type="fixed"/>
        <w:tblLook w:val="06A0" w:firstRow="1" w:lastRow="0" w:firstColumn="1" w:lastColumn="0" w:noHBand="1" w:noVBand="1"/>
      </w:tblPr>
      <w:tblGrid>
        <w:gridCol w:w="2340"/>
        <w:gridCol w:w="2340"/>
        <w:gridCol w:w="2340"/>
        <w:gridCol w:w="2340"/>
      </w:tblGrid>
      <w:tr w:rsidR="62668BC8" w14:paraId="7C3AC7F8" w14:textId="77777777" w:rsidTr="62668BC8">
        <w:trPr>
          <w:trHeight w:val="300"/>
          <w:jc w:val="right"/>
        </w:trPr>
        <w:tc>
          <w:tcPr>
            <w:tcW w:w="2340" w:type="dxa"/>
          </w:tcPr>
          <w:p w14:paraId="79B20BBC" w14:textId="33CC743B" w:rsidR="69506321" w:rsidRDefault="69506321" w:rsidP="62668BC8">
            <w:pPr>
              <w:rPr>
                <w:rFonts w:ascii="Calibri" w:eastAsia="Calibri" w:hAnsi="Calibri" w:cs="Calibri"/>
              </w:rPr>
            </w:pPr>
            <w:r w:rsidRPr="62668BC8">
              <w:rPr>
                <w:rFonts w:ascii="Calibri" w:eastAsia="Calibri" w:hAnsi="Calibri" w:cs="Calibri"/>
              </w:rPr>
              <w:t>Case</w:t>
            </w:r>
          </w:p>
        </w:tc>
        <w:tc>
          <w:tcPr>
            <w:tcW w:w="2340" w:type="dxa"/>
          </w:tcPr>
          <w:p w14:paraId="73A69804" w14:textId="3026F2AF" w:rsidR="69506321" w:rsidRDefault="69506321" w:rsidP="62668BC8">
            <w:pPr>
              <w:rPr>
                <w:rFonts w:ascii="Calibri" w:eastAsia="Calibri" w:hAnsi="Calibri" w:cs="Calibri"/>
              </w:rPr>
            </w:pPr>
            <w:r w:rsidRPr="62668BC8">
              <w:rPr>
                <w:rFonts w:ascii="Calibri" w:eastAsia="Calibri" w:hAnsi="Calibri" w:cs="Calibri"/>
              </w:rPr>
              <w:t>clusters</w:t>
            </w:r>
          </w:p>
        </w:tc>
        <w:tc>
          <w:tcPr>
            <w:tcW w:w="2340" w:type="dxa"/>
          </w:tcPr>
          <w:p w14:paraId="26CA392E" w14:textId="30830E91" w:rsidR="69506321" w:rsidRDefault="69506321" w:rsidP="62668BC8">
            <w:pPr>
              <w:rPr>
                <w:rFonts w:ascii="Calibri" w:eastAsia="Calibri" w:hAnsi="Calibri" w:cs="Calibri"/>
              </w:rPr>
            </w:pPr>
            <w:proofErr w:type="spellStart"/>
            <w:r w:rsidRPr="62668BC8">
              <w:rPr>
                <w:rFonts w:ascii="Calibri" w:eastAsia="Calibri" w:hAnsi="Calibri" w:cs="Calibri"/>
              </w:rPr>
              <w:t>PCA_Components</w:t>
            </w:r>
            <w:proofErr w:type="spellEnd"/>
          </w:p>
        </w:tc>
        <w:tc>
          <w:tcPr>
            <w:tcW w:w="2340" w:type="dxa"/>
          </w:tcPr>
          <w:p w14:paraId="5BA442FA" w14:textId="68B5E22C" w:rsidR="69506321" w:rsidRDefault="69506321" w:rsidP="62668BC8">
            <w:pPr>
              <w:rPr>
                <w:rFonts w:ascii="Calibri" w:eastAsia="Calibri" w:hAnsi="Calibri" w:cs="Calibri"/>
              </w:rPr>
            </w:pPr>
            <w:r w:rsidRPr="62668BC8">
              <w:rPr>
                <w:rFonts w:ascii="Calibri" w:eastAsia="Calibri" w:hAnsi="Calibri" w:cs="Calibri"/>
              </w:rPr>
              <w:t>Threshold</w:t>
            </w:r>
          </w:p>
        </w:tc>
      </w:tr>
      <w:tr w:rsidR="62668BC8" w14:paraId="1B035014" w14:textId="77777777" w:rsidTr="62668BC8">
        <w:trPr>
          <w:trHeight w:val="300"/>
          <w:jc w:val="right"/>
        </w:trPr>
        <w:tc>
          <w:tcPr>
            <w:tcW w:w="2340" w:type="dxa"/>
          </w:tcPr>
          <w:p w14:paraId="0F4215E5" w14:textId="7B0DFCEC" w:rsidR="69506321" w:rsidRDefault="69506321" w:rsidP="62668BC8">
            <w:pPr>
              <w:rPr>
                <w:rFonts w:ascii="Calibri" w:eastAsia="Calibri" w:hAnsi="Calibri" w:cs="Calibri"/>
              </w:rPr>
            </w:pPr>
            <w:r w:rsidRPr="62668BC8">
              <w:rPr>
                <w:rFonts w:ascii="Calibri" w:eastAsia="Calibri" w:hAnsi="Calibri" w:cs="Calibri"/>
              </w:rPr>
              <w:t>1</w:t>
            </w:r>
          </w:p>
        </w:tc>
        <w:tc>
          <w:tcPr>
            <w:tcW w:w="2340" w:type="dxa"/>
          </w:tcPr>
          <w:p w14:paraId="64394A61" w14:textId="3F072F83" w:rsidR="69506321" w:rsidRDefault="69506321" w:rsidP="62668BC8">
            <w:pPr>
              <w:rPr>
                <w:rFonts w:ascii="Calibri" w:eastAsia="Calibri" w:hAnsi="Calibri" w:cs="Calibri"/>
              </w:rPr>
            </w:pPr>
            <w:r w:rsidRPr="62668BC8">
              <w:rPr>
                <w:rFonts w:ascii="Calibri" w:eastAsia="Calibri" w:hAnsi="Calibri" w:cs="Calibri"/>
              </w:rPr>
              <w:t>5</w:t>
            </w:r>
          </w:p>
        </w:tc>
        <w:tc>
          <w:tcPr>
            <w:tcW w:w="2340" w:type="dxa"/>
          </w:tcPr>
          <w:p w14:paraId="38D2ECA7" w14:textId="78E34FF8" w:rsidR="69506321" w:rsidRDefault="69506321" w:rsidP="62668BC8">
            <w:pPr>
              <w:rPr>
                <w:rFonts w:ascii="Calibri" w:eastAsia="Calibri" w:hAnsi="Calibri" w:cs="Calibri"/>
              </w:rPr>
            </w:pPr>
            <w:r w:rsidRPr="62668BC8">
              <w:rPr>
                <w:rFonts w:ascii="Calibri" w:eastAsia="Calibri" w:hAnsi="Calibri" w:cs="Calibri"/>
              </w:rPr>
              <w:t>5</w:t>
            </w:r>
          </w:p>
        </w:tc>
        <w:tc>
          <w:tcPr>
            <w:tcW w:w="2340" w:type="dxa"/>
          </w:tcPr>
          <w:p w14:paraId="2F1E8BE8" w14:textId="79424FE9" w:rsidR="69506321" w:rsidRDefault="69506321" w:rsidP="62668BC8">
            <w:pPr>
              <w:rPr>
                <w:rFonts w:ascii="Calibri" w:eastAsia="Calibri" w:hAnsi="Calibri" w:cs="Calibri"/>
              </w:rPr>
            </w:pPr>
            <w:r w:rsidRPr="62668BC8">
              <w:rPr>
                <w:rFonts w:ascii="Calibri" w:eastAsia="Calibri" w:hAnsi="Calibri" w:cs="Calibri"/>
              </w:rPr>
              <w:t>2.5</w:t>
            </w:r>
          </w:p>
        </w:tc>
      </w:tr>
      <w:tr w:rsidR="62668BC8" w14:paraId="3CDF13B8" w14:textId="77777777" w:rsidTr="62668BC8">
        <w:trPr>
          <w:trHeight w:val="300"/>
          <w:jc w:val="right"/>
        </w:trPr>
        <w:tc>
          <w:tcPr>
            <w:tcW w:w="2340" w:type="dxa"/>
          </w:tcPr>
          <w:p w14:paraId="3875D360" w14:textId="352CF4E7" w:rsidR="69506321" w:rsidRDefault="69506321" w:rsidP="62668BC8">
            <w:pPr>
              <w:rPr>
                <w:rFonts w:ascii="Calibri" w:eastAsia="Calibri" w:hAnsi="Calibri" w:cs="Calibri"/>
              </w:rPr>
            </w:pPr>
            <w:r w:rsidRPr="62668BC8">
              <w:rPr>
                <w:rFonts w:ascii="Calibri" w:eastAsia="Calibri" w:hAnsi="Calibri" w:cs="Calibri"/>
              </w:rPr>
              <w:t>2</w:t>
            </w:r>
          </w:p>
        </w:tc>
        <w:tc>
          <w:tcPr>
            <w:tcW w:w="2340" w:type="dxa"/>
          </w:tcPr>
          <w:p w14:paraId="12DD350C" w14:textId="4C042244" w:rsidR="69506321" w:rsidRDefault="69506321" w:rsidP="62668BC8">
            <w:pPr>
              <w:rPr>
                <w:rFonts w:ascii="Calibri" w:eastAsia="Calibri" w:hAnsi="Calibri" w:cs="Calibri"/>
              </w:rPr>
            </w:pPr>
            <w:r w:rsidRPr="62668BC8">
              <w:rPr>
                <w:rFonts w:ascii="Calibri" w:eastAsia="Calibri" w:hAnsi="Calibri" w:cs="Calibri"/>
              </w:rPr>
              <w:t>6</w:t>
            </w:r>
          </w:p>
        </w:tc>
        <w:tc>
          <w:tcPr>
            <w:tcW w:w="2340" w:type="dxa"/>
          </w:tcPr>
          <w:p w14:paraId="1F646D6C" w14:textId="4FFA9384" w:rsidR="69506321" w:rsidRDefault="69506321" w:rsidP="62668BC8">
            <w:pPr>
              <w:rPr>
                <w:rFonts w:ascii="Calibri" w:eastAsia="Calibri" w:hAnsi="Calibri" w:cs="Calibri"/>
              </w:rPr>
            </w:pPr>
            <w:r w:rsidRPr="62668BC8">
              <w:rPr>
                <w:rFonts w:ascii="Calibri" w:eastAsia="Calibri" w:hAnsi="Calibri" w:cs="Calibri"/>
              </w:rPr>
              <w:t>5</w:t>
            </w:r>
          </w:p>
        </w:tc>
        <w:tc>
          <w:tcPr>
            <w:tcW w:w="2340" w:type="dxa"/>
          </w:tcPr>
          <w:p w14:paraId="45334591" w14:textId="23B1C26E" w:rsidR="69506321" w:rsidRDefault="69506321" w:rsidP="62668BC8">
            <w:pPr>
              <w:rPr>
                <w:rFonts w:ascii="Calibri" w:eastAsia="Calibri" w:hAnsi="Calibri" w:cs="Calibri"/>
              </w:rPr>
            </w:pPr>
            <w:r w:rsidRPr="62668BC8">
              <w:rPr>
                <w:rFonts w:ascii="Calibri" w:eastAsia="Calibri" w:hAnsi="Calibri" w:cs="Calibri"/>
              </w:rPr>
              <w:t>2.5</w:t>
            </w:r>
          </w:p>
        </w:tc>
      </w:tr>
      <w:tr w:rsidR="62668BC8" w14:paraId="50DCB817" w14:textId="77777777" w:rsidTr="62668BC8">
        <w:trPr>
          <w:trHeight w:val="300"/>
          <w:jc w:val="right"/>
        </w:trPr>
        <w:tc>
          <w:tcPr>
            <w:tcW w:w="2340" w:type="dxa"/>
          </w:tcPr>
          <w:p w14:paraId="5366262F" w14:textId="5C912A7A" w:rsidR="69506321" w:rsidRDefault="69506321" w:rsidP="62668BC8">
            <w:pPr>
              <w:rPr>
                <w:rFonts w:ascii="Calibri" w:eastAsia="Calibri" w:hAnsi="Calibri" w:cs="Calibri"/>
              </w:rPr>
            </w:pPr>
            <w:r w:rsidRPr="62668BC8">
              <w:rPr>
                <w:rFonts w:ascii="Calibri" w:eastAsia="Calibri" w:hAnsi="Calibri" w:cs="Calibri"/>
              </w:rPr>
              <w:t>3</w:t>
            </w:r>
          </w:p>
        </w:tc>
        <w:tc>
          <w:tcPr>
            <w:tcW w:w="2340" w:type="dxa"/>
          </w:tcPr>
          <w:p w14:paraId="23BA2EC3" w14:textId="415AFF70" w:rsidR="69506321" w:rsidRDefault="69506321" w:rsidP="62668BC8">
            <w:pPr>
              <w:rPr>
                <w:rFonts w:ascii="Calibri" w:eastAsia="Calibri" w:hAnsi="Calibri" w:cs="Calibri"/>
              </w:rPr>
            </w:pPr>
            <w:r w:rsidRPr="62668BC8">
              <w:rPr>
                <w:rFonts w:ascii="Calibri" w:eastAsia="Calibri" w:hAnsi="Calibri" w:cs="Calibri"/>
              </w:rPr>
              <w:t>7</w:t>
            </w:r>
          </w:p>
        </w:tc>
        <w:tc>
          <w:tcPr>
            <w:tcW w:w="2340" w:type="dxa"/>
          </w:tcPr>
          <w:p w14:paraId="3A93D516" w14:textId="4A4D51C9" w:rsidR="69506321" w:rsidRDefault="69506321" w:rsidP="62668BC8">
            <w:pPr>
              <w:rPr>
                <w:rFonts w:ascii="Calibri" w:eastAsia="Calibri" w:hAnsi="Calibri" w:cs="Calibri"/>
              </w:rPr>
            </w:pPr>
            <w:r w:rsidRPr="62668BC8">
              <w:rPr>
                <w:rFonts w:ascii="Calibri" w:eastAsia="Calibri" w:hAnsi="Calibri" w:cs="Calibri"/>
              </w:rPr>
              <w:t>5</w:t>
            </w:r>
          </w:p>
        </w:tc>
        <w:tc>
          <w:tcPr>
            <w:tcW w:w="2340" w:type="dxa"/>
          </w:tcPr>
          <w:p w14:paraId="66AB53EF" w14:textId="73E4853D" w:rsidR="69506321" w:rsidRDefault="69506321" w:rsidP="62668BC8">
            <w:pPr>
              <w:rPr>
                <w:rFonts w:ascii="Calibri" w:eastAsia="Calibri" w:hAnsi="Calibri" w:cs="Calibri"/>
              </w:rPr>
            </w:pPr>
            <w:r w:rsidRPr="62668BC8">
              <w:rPr>
                <w:rFonts w:ascii="Calibri" w:eastAsia="Calibri" w:hAnsi="Calibri" w:cs="Calibri"/>
              </w:rPr>
              <w:t>2.5</w:t>
            </w:r>
          </w:p>
        </w:tc>
      </w:tr>
    </w:tbl>
    <w:p w14:paraId="4A08BC0C" w14:textId="460B27E7" w:rsidR="12209160" w:rsidRDefault="12209160" w:rsidP="62668BC8">
      <w:pPr>
        <w:pStyle w:val="ListParagraph"/>
        <w:numPr>
          <w:ilvl w:val="0"/>
          <w:numId w:val="2"/>
        </w:numPr>
      </w:pPr>
      <w:r>
        <w:t xml:space="preserve">Modify </w:t>
      </w:r>
      <w:r w:rsidR="0903C55F">
        <w:t>“</w:t>
      </w:r>
      <w:proofErr w:type="spellStart"/>
      <w:r>
        <w:t>sub_folder</w:t>
      </w:r>
      <w:proofErr w:type="spellEnd"/>
      <w:r w:rsidR="056B1296">
        <w:t>”</w:t>
      </w:r>
      <w:r>
        <w:t xml:space="preserve"> variable to directory where data file exists.</w:t>
      </w:r>
    </w:p>
    <w:p w14:paraId="743BB975" w14:textId="6AAD56BD" w:rsidR="12209160" w:rsidRDefault="12209160" w:rsidP="62668BC8">
      <w:pPr>
        <w:pStyle w:val="ListParagraph"/>
        <w:numPr>
          <w:ilvl w:val="1"/>
          <w:numId w:val="2"/>
        </w:numPr>
      </w:pPr>
      <w:r>
        <w:t>Example: “/SWAt2019/”</w:t>
      </w:r>
    </w:p>
    <w:p w14:paraId="69F65C2A" w14:textId="7EF525F6" w:rsidR="7F9EE14B" w:rsidRDefault="7F9EE14B" w:rsidP="62668BC8">
      <w:pPr>
        <w:pStyle w:val="ListParagraph"/>
        <w:numPr>
          <w:ilvl w:val="0"/>
          <w:numId w:val="2"/>
        </w:numPr>
      </w:pPr>
      <w:r>
        <w:t>Modify “</w:t>
      </w:r>
      <w:proofErr w:type="spellStart"/>
      <w:r>
        <w:t>file_name</w:t>
      </w:r>
      <w:proofErr w:type="spellEnd"/>
      <w:r>
        <w:t>” variable to specific data file in directory above</w:t>
      </w:r>
    </w:p>
    <w:p w14:paraId="631F1885" w14:textId="74B6345C" w:rsidR="7F9EE14B" w:rsidRDefault="7F9EE14B" w:rsidP="62668BC8">
      <w:pPr>
        <w:pStyle w:val="ListParagraph"/>
        <w:numPr>
          <w:ilvl w:val="1"/>
          <w:numId w:val="2"/>
        </w:numPr>
      </w:pPr>
      <w:r>
        <w:t>Example: "SWaT_Dataset_2019.csv"</w:t>
      </w:r>
    </w:p>
    <w:p w14:paraId="2744B565" w14:textId="2C37F599" w:rsidR="373AD57F" w:rsidRDefault="373AD57F" w:rsidP="62668BC8">
      <w:pPr>
        <w:pStyle w:val="ListParagraph"/>
        <w:numPr>
          <w:ilvl w:val="0"/>
          <w:numId w:val="2"/>
        </w:numPr>
      </w:pPr>
      <w:r>
        <w:t>Modify “trial” variable to sp</w:t>
      </w:r>
      <w:r w:rsidR="0CB42626">
        <w:t xml:space="preserve">ecify if “test case” functions will run vs. </w:t>
      </w:r>
      <w:r w:rsidR="4FD97DAE">
        <w:t>A</w:t>
      </w:r>
      <w:r w:rsidR="5D9AC0F9">
        <w:t>ll</w:t>
      </w:r>
      <w:r w:rsidR="4FD97DAE">
        <w:t xml:space="preserve"> </w:t>
      </w:r>
      <w:r w:rsidR="0CB42626">
        <w:t xml:space="preserve">functions will </w:t>
      </w:r>
      <w:proofErr w:type="gramStart"/>
      <w:r w:rsidR="0CB42626">
        <w:t>run</w:t>
      </w:r>
      <w:proofErr w:type="gramEnd"/>
    </w:p>
    <w:p w14:paraId="186EBF5F" w14:textId="724C77BB" w:rsidR="0CB42626" w:rsidRDefault="0CB42626" w:rsidP="62668BC8">
      <w:pPr>
        <w:pStyle w:val="ListParagraph"/>
        <w:numPr>
          <w:ilvl w:val="1"/>
          <w:numId w:val="2"/>
        </w:numPr>
      </w:pPr>
      <w:r>
        <w:t xml:space="preserve">If trial = True, </w:t>
      </w:r>
      <w:proofErr w:type="gramStart"/>
      <w:r>
        <w:t>an</w:t>
      </w:r>
      <w:proofErr w:type="gramEnd"/>
      <w:r>
        <w:t xml:space="preserve"> variable labeled “options” is set to equal an array as follows: [False, False, False, False, False, True, False]</w:t>
      </w:r>
    </w:p>
    <w:p w14:paraId="0D3978AD" w14:textId="4874280F" w:rsidR="31091E4D" w:rsidRDefault="31091E4D" w:rsidP="62668BC8">
      <w:pPr>
        <w:pStyle w:val="ListParagraph"/>
        <w:numPr>
          <w:ilvl w:val="2"/>
          <w:numId w:val="2"/>
        </w:numPr>
      </w:pPr>
      <w:r>
        <w:t xml:space="preserve">This will execute only the confusion matrix scripts to grade the accuracy of all test </w:t>
      </w:r>
      <w:proofErr w:type="gramStart"/>
      <w:r>
        <w:t>cases</w:t>
      </w:r>
      <w:proofErr w:type="gramEnd"/>
      <w:r>
        <w:t xml:space="preserve"> </w:t>
      </w:r>
    </w:p>
    <w:p w14:paraId="4B1E1DC3" w14:textId="3314130C" w:rsidR="5832DCCE" w:rsidRDefault="5832DCCE" w:rsidP="62668BC8">
      <w:pPr>
        <w:pStyle w:val="ListParagraph"/>
        <w:numPr>
          <w:ilvl w:val="1"/>
          <w:numId w:val="2"/>
        </w:numPr>
      </w:pPr>
      <w:r>
        <w:t>If Trial = False, the “options” is set to equal [True, True, True, True, True, True, True, True], indicating all functions and below plots will be produced.</w:t>
      </w:r>
    </w:p>
    <w:p w14:paraId="77CBB2D8" w14:textId="19BBBDA3" w:rsidR="7134129A" w:rsidRDefault="7134129A" w:rsidP="62668BC8">
      <w:r>
        <w:t>Output</w:t>
      </w:r>
      <w:r w:rsidR="1AC6E001">
        <w:t>:</w:t>
      </w:r>
    </w:p>
    <w:p w14:paraId="1B49C3E2" w14:textId="53DE5527" w:rsidR="1AC6E001" w:rsidRDefault="1AC6E001" w:rsidP="62668BC8">
      <w:pPr>
        <w:pStyle w:val="ListParagraph"/>
        <w:numPr>
          <w:ilvl w:val="0"/>
          <w:numId w:val="1"/>
        </w:numPr>
      </w:pPr>
      <w:r>
        <w:lastRenderedPageBreak/>
        <w:t>For each True/False value in the options array, the below outputs will be produced:</w:t>
      </w:r>
    </w:p>
    <w:tbl>
      <w:tblPr>
        <w:tblStyle w:val="TableGrid"/>
        <w:tblW w:w="0" w:type="auto"/>
        <w:tblInd w:w="720" w:type="dxa"/>
        <w:tblLayout w:type="fixed"/>
        <w:tblLook w:val="06A0" w:firstRow="1" w:lastRow="0" w:firstColumn="1" w:lastColumn="0" w:noHBand="1" w:noVBand="1"/>
      </w:tblPr>
      <w:tblGrid>
        <w:gridCol w:w="2880"/>
        <w:gridCol w:w="2880"/>
        <w:gridCol w:w="2880"/>
      </w:tblGrid>
      <w:tr w:rsidR="62668BC8" w14:paraId="0747E299" w14:textId="77777777" w:rsidTr="62668BC8">
        <w:trPr>
          <w:trHeight w:val="300"/>
        </w:trPr>
        <w:tc>
          <w:tcPr>
            <w:tcW w:w="2880" w:type="dxa"/>
          </w:tcPr>
          <w:p w14:paraId="2B8993AE" w14:textId="5299F939" w:rsidR="1AC6E001" w:rsidRDefault="1AC6E001" w:rsidP="62668BC8">
            <w:r>
              <w:t>Index</w:t>
            </w:r>
          </w:p>
        </w:tc>
        <w:tc>
          <w:tcPr>
            <w:tcW w:w="2880" w:type="dxa"/>
          </w:tcPr>
          <w:p w14:paraId="618B1481" w14:textId="7D3A095C" w:rsidR="1AC6E001" w:rsidRDefault="1AC6E001" w:rsidP="62668BC8">
            <w:r>
              <w:t>Option array value</w:t>
            </w:r>
          </w:p>
        </w:tc>
        <w:tc>
          <w:tcPr>
            <w:tcW w:w="2880" w:type="dxa"/>
          </w:tcPr>
          <w:p w14:paraId="5A316825" w14:textId="38B0C9F7" w:rsidR="1AC6E001" w:rsidRDefault="1AC6E001" w:rsidP="62668BC8">
            <w:r>
              <w:t>Output</w:t>
            </w:r>
          </w:p>
        </w:tc>
      </w:tr>
      <w:tr w:rsidR="62668BC8" w14:paraId="2352F9B9" w14:textId="77777777" w:rsidTr="62668BC8">
        <w:trPr>
          <w:trHeight w:val="300"/>
        </w:trPr>
        <w:tc>
          <w:tcPr>
            <w:tcW w:w="2880" w:type="dxa"/>
          </w:tcPr>
          <w:p w14:paraId="0AF649BD" w14:textId="5E3EF35D" w:rsidR="1AC6E001" w:rsidRDefault="1AC6E001" w:rsidP="62668BC8">
            <w:r>
              <w:t>0</w:t>
            </w:r>
          </w:p>
        </w:tc>
        <w:tc>
          <w:tcPr>
            <w:tcW w:w="2880" w:type="dxa"/>
          </w:tcPr>
          <w:p w14:paraId="3D832ADB" w14:textId="5E2E9662" w:rsidR="1AC6E001" w:rsidRDefault="1AC6E001" w:rsidP="62668BC8">
            <w:r>
              <w:t>True</w:t>
            </w:r>
          </w:p>
        </w:tc>
        <w:tc>
          <w:tcPr>
            <w:tcW w:w="2880" w:type="dxa"/>
          </w:tcPr>
          <w:p w14:paraId="5B288FD9" w14:textId="4A4577B7" w:rsidR="1AC6E001" w:rsidRDefault="1AC6E001" w:rsidP="62668BC8">
            <w:r>
              <w:t>Variance vs. PCA</w:t>
            </w:r>
            <w:r w:rsidR="415F8219">
              <w:t xml:space="preserve"> plot, PCA 1 vs. PCA 2 plot</w:t>
            </w:r>
          </w:p>
        </w:tc>
      </w:tr>
      <w:tr w:rsidR="62668BC8" w14:paraId="4B4AB1DF" w14:textId="77777777" w:rsidTr="62668BC8">
        <w:trPr>
          <w:trHeight w:val="300"/>
        </w:trPr>
        <w:tc>
          <w:tcPr>
            <w:tcW w:w="2880" w:type="dxa"/>
          </w:tcPr>
          <w:p w14:paraId="099E03DF" w14:textId="5F26B623" w:rsidR="1AC6E001" w:rsidRDefault="1AC6E001" w:rsidP="62668BC8">
            <w:r>
              <w:t>1</w:t>
            </w:r>
          </w:p>
        </w:tc>
        <w:tc>
          <w:tcPr>
            <w:tcW w:w="2880" w:type="dxa"/>
          </w:tcPr>
          <w:p w14:paraId="766CD049" w14:textId="598D3055" w:rsidR="1AC6E001" w:rsidRDefault="1AC6E001" w:rsidP="62668BC8">
            <w:r>
              <w:t>True</w:t>
            </w:r>
          </w:p>
        </w:tc>
        <w:tc>
          <w:tcPr>
            <w:tcW w:w="2880" w:type="dxa"/>
          </w:tcPr>
          <w:p w14:paraId="602D0A3F" w14:textId="613BB41D" w:rsidR="0817CC7C" w:rsidRDefault="0817CC7C" w:rsidP="62668BC8">
            <w:r>
              <w:t>Cluster vs. Inertia Plot (Elbow Plot)</w:t>
            </w:r>
          </w:p>
        </w:tc>
      </w:tr>
      <w:tr w:rsidR="62668BC8" w14:paraId="72EB8936" w14:textId="77777777" w:rsidTr="62668BC8">
        <w:trPr>
          <w:trHeight w:val="300"/>
        </w:trPr>
        <w:tc>
          <w:tcPr>
            <w:tcW w:w="2880" w:type="dxa"/>
          </w:tcPr>
          <w:p w14:paraId="62B830EA" w14:textId="3D3E2672" w:rsidR="1AC6E001" w:rsidRDefault="1AC6E001" w:rsidP="62668BC8">
            <w:r>
              <w:t>2</w:t>
            </w:r>
          </w:p>
        </w:tc>
        <w:tc>
          <w:tcPr>
            <w:tcW w:w="2880" w:type="dxa"/>
          </w:tcPr>
          <w:p w14:paraId="3406DB6D" w14:textId="17CEBAC5" w:rsidR="1AC6E001" w:rsidRDefault="1AC6E001" w:rsidP="62668BC8">
            <w:r>
              <w:t>True</w:t>
            </w:r>
          </w:p>
        </w:tc>
        <w:tc>
          <w:tcPr>
            <w:tcW w:w="2880" w:type="dxa"/>
          </w:tcPr>
          <w:p w14:paraId="7AAC2F58" w14:textId="7896713D" w:rsidR="67EE7136" w:rsidRDefault="67EE7136" w:rsidP="62668BC8">
            <w:r>
              <w:t>PCA 1 vs. PCA 2 plot, PCA 2 vs. PCA 3 plot</w:t>
            </w:r>
            <w:r w:rsidR="3AB88BEE">
              <w:t xml:space="preserve"> seaborn plots</w:t>
            </w:r>
          </w:p>
        </w:tc>
      </w:tr>
      <w:tr w:rsidR="62668BC8" w14:paraId="0F84716D" w14:textId="77777777" w:rsidTr="62668BC8">
        <w:trPr>
          <w:trHeight w:val="300"/>
        </w:trPr>
        <w:tc>
          <w:tcPr>
            <w:tcW w:w="2880" w:type="dxa"/>
          </w:tcPr>
          <w:p w14:paraId="6FB98642" w14:textId="46E69495" w:rsidR="1AC6E001" w:rsidRDefault="1AC6E001" w:rsidP="62668BC8">
            <w:r>
              <w:t>3</w:t>
            </w:r>
          </w:p>
        </w:tc>
        <w:tc>
          <w:tcPr>
            <w:tcW w:w="2880" w:type="dxa"/>
          </w:tcPr>
          <w:p w14:paraId="0A088B3F" w14:textId="7AC108BF" w:rsidR="1AC6E001" w:rsidRDefault="1AC6E001" w:rsidP="62668BC8">
            <w:r>
              <w:t>True</w:t>
            </w:r>
          </w:p>
        </w:tc>
        <w:tc>
          <w:tcPr>
            <w:tcW w:w="2880" w:type="dxa"/>
          </w:tcPr>
          <w:p w14:paraId="01831AC9" w14:textId="5711AC21" w:rsidR="5E4D7313" w:rsidRDefault="5E4D7313" w:rsidP="62668BC8">
            <w:r>
              <w:t>3D Scatter Plot of clusters out of K-Means Model</w:t>
            </w:r>
          </w:p>
        </w:tc>
      </w:tr>
      <w:tr w:rsidR="62668BC8" w14:paraId="339278EA" w14:textId="77777777" w:rsidTr="62668BC8">
        <w:trPr>
          <w:trHeight w:val="300"/>
        </w:trPr>
        <w:tc>
          <w:tcPr>
            <w:tcW w:w="2880" w:type="dxa"/>
          </w:tcPr>
          <w:p w14:paraId="498A1F8B" w14:textId="2E603AF4" w:rsidR="1AC6E001" w:rsidRDefault="1AC6E001" w:rsidP="62668BC8">
            <w:r>
              <w:t>4</w:t>
            </w:r>
          </w:p>
        </w:tc>
        <w:tc>
          <w:tcPr>
            <w:tcW w:w="2880" w:type="dxa"/>
          </w:tcPr>
          <w:p w14:paraId="75D42068" w14:textId="3A0BB49E" w:rsidR="1AC6E001" w:rsidRDefault="1AC6E001" w:rsidP="62668BC8">
            <w:r>
              <w:t>True</w:t>
            </w:r>
          </w:p>
        </w:tc>
        <w:tc>
          <w:tcPr>
            <w:tcW w:w="2880" w:type="dxa"/>
          </w:tcPr>
          <w:p w14:paraId="5698B654" w14:textId="0EF8A073" w:rsidR="70FD041D" w:rsidRDefault="70FD041D" w:rsidP="62668BC8">
            <w:r>
              <w:t>3D Scatter Plot of original Normal vs. Attack data points/labels</w:t>
            </w:r>
          </w:p>
        </w:tc>
      </w:tr>
      <w:tr w:rsidR="62668BC8" w14:paraId="641F2E3C" w14:textId="77777777" w:rsidTr="62668BC8">
        <w:trPr>
          <w:trHeight w:val="300"/>
        </w:trPr>
        <w:tc>
          <w:tcPr>
            <w:tcW w:w="2880" w:type="dxa"/>
          </w:tcPr>
          <w:p w14:paraId="1765C36D" w14:textId="2DE66F87" w:rsidR="1AC6E001" w:rsidRDefault="1AC6E001" w:rsidP="62668BC8">
            <w:r>
              <w:t>5</w:t>
            </w:r>
          </w:p>
        </w:tc>
        <w:tc>
          <w:tcPr>
            <w:tcW w:w="2880" w:type="dxa"/>
          </w:tcPr>
          <w:p w14:paraId="219574D1" w14:textId="2E61BC0B" w:rsidR="1AC6E001" w:rsidRDefault="1AC6E001" w:rsidP="62668BC8">
            <w:r>
              <w:t>True</w:t>
            </w:r>
          </w:p>
        </w:tc>
        <w:tc>
          <w:tcPr>
            <w:tcW w:w="2880" w:type="dxa"/>
          </w:tcPr>
          <w:p w14:paraId="220E947D" w14:textId="142CAD11" w:rsidR="5288AA8F" w:rsidRDefault="5288AA8F" w:rsidP="62668BC8">
            <w:r>
              <w:t xml:space="preserve">Execute </w:t>
            </w:r>
            <w:proofErr w:type="spellStart"/>
            <w:r>
              <w:t>grade_Outlier</w:t>
            </w:r>
            <w:proofErr w:type="spellEnd"/>
            <w:r>
              <w:t xml:space="preserve"> function that will create confusion matrix with </w:t>
            </w:r>
            <w:proofErr w:type="gramStart"/>
            <w:r>
              <w:t>TP,TN</w:t>
            </w:r>
            <w:proofErr w:type="gramEnd"/>
            <w:r>
              <w:t>,FP,FN and accuracy metrics</w:t>
            </w:r>
          </w:p>
        </w:tc>
      </w:tr>
      <w:tr w:rsidR="62668BC8" w14:paraId="4143E540" w14:textId="77777777" w:rsidTr="62668BC8">
        <w:trPr>
          <w:trHeight w:val="300"/>
        </w:trPr>
        <w:tc>
          <w:tcPr>
            <w:tcW w:w="2880" w:type="dxa"/>
          </w:tcPr>
          <w:p w14:paraId="0E721AF8" w14:textId="36F9E8D8" w:rsidR="1AC6E001" w:rsidRDefault="1AC6E001" w:rsidP="62668BC8">
            <w:r>
              <w:t>6</w:t>
            </w:r>
          </w:p>
        </w:tc>
        <w:tc>
          <w:tcPr>
            <w:tcW w:w="2880" w:type="dxa"/>
          </w:tcPr>
          <w:p w14:paraId="79ED8F1F" w14:textId="63A4C1D2" w:rsidR="1AC6E001" w:rsidRDefault="1AC6E001" w:rsidP="62668BC8">
            <w:r>
              <w:t>True</w:t>
            </w:r>
          </w:p>
        </w:tc>
        <w:tc>
          <w:tcPr>
            <w:tcW w:w="2880" w:type="dxa"/>
          </w:tcPr>
          <w:p w14:paraId="69CC048C" w14:textId="2F07168B" w:rsidR="470772C3" w:rsidRDefault="470772C3" w:rsidP="62668BC8">
            <w:r>
              <w:t>Produce Results.csv with confusion matrix and accuracy metrics</w:t>
            </w:r>
          </w:p>
        </w:tc>
      </w:tr>
    </w:tbl>
    <w:p w14:paraId="33664CF3" w14:textId="78426116" w:rsidR="62668BC8" w:rsidRDefault="62668BC8" w:rsidP="62668BC8">
      <w:pPr>
        <w:pStyle w:val="ListParagraph"/>
      </w:pPr>
    </w:p>
    <w:p w14:paraId="698E8F00" w14:textId="263FF02A" w:rsidR="3381DFBA" w:rsidRDefault="3381DFBA" w:rsidP="62668BC8">
      <w:pPr>
        <w:rPr>
          <w:b/>
          <w:bCs/>
          <w:u w:val="single"/>
        </w:rPr>
      </w:pPr>
      <w:r w:rsidRPr="62668BC8">
        <w:rPr>
          <w:b/>
          <w:bCs/>
          <w:u w:val="single"/>
        </w:rPr>
        <w:t>“</w:t>
      </w:r>
      <w:r w:rsidR="500516C8" w:rsidRPr="62668BC8">
        <w:rPr>
          <w:b/>
          <w:bCs/>
          <w:u w:val="single"/>
        </w:rPr>
        <w:t>SWaTJUL2019_EDA_CUSUM_K-means_</w:t>
      </w:r>
      <w:proofErr w:type="gramStart"/>
      <w:r w:rsidR="500516C8" w:rsidRPr="62668BC8">
        <w:rPr>
          <w:b/>
          <w:bCs/>
          <w:u w:val="single"/>
        </w:rPr>
        <w:t>match</w:t>
      </w:r>
      <w:r w:rsidR="1F5F4434" w:rsidRPr="62668BC8">
        <w:rPr>
          <w:b/>
          <w:bCs/>
          <w:u w:val="single"/>
        </w:rPr>
        <w:t>.ipynb</w:t>
      </w:r>
      <w:proofErr w:type="gramEnd"/>
      <w:r w:rsidRPr="62668BC8">
        <w:rPr>
          <w:b/>
          <w:bCs/>
          <w:u w:val="single"/>
        </w:rPr>
        <w:t>”</w:t>
      </w:r>
    </w:p>
    <w:p w14:paraId="4AFD9B4E" w14:textId="7DCE15BE" w:rsidR="3381DFBA" w:rsidRDefault="3381DFBA" w:rsidP="62668BC8">
      <w:pPr>
        <w:pStyle w:val="ListParagraph"/>
        <w:numPr>
          <w:ilvl w:val="0"/>
          <w:numId w:val="3"/>
        </w:numPr>
      </w:pPr>
      <w:r>
        <w:t>Ensure that you have both "</w:t>
      </w:r>
      <w:proofErr w:type="spellStart"/>
      <w:r>
        <w:t>SWaT_dataset_Jul</w:t>
      </w:r>
      <w:proofErr w:type="spellEnd"/>
      <w:r>
        <w:t xml:space="preserve"> 19 v5_Sean (Name &amp; Type &amp; Numeric).csv" and “SWaT_clusters_2019.csv” loaded in the same working directory as this </w:t>
      </w:r>
      <w:proofErr w:type="gramStart"/>
      <w:r>
        <w:t>file</w:t>
      </w:r>
      <w:proofErr w:type="gramEnd"/>
    </w:p>
    <w:p w14:paraId="1EA66743" w14:textId="0751B725" w:rsidR="3381DFBA" w:rsidRDefault="3381DFBA" w:rsidP="62668BC8">
      <w:pPr>
        <w:pStyle w:val="ListParagraph"/>
        <w:numPr>
          <w:ilvl w:val="0"/>
          <w:numId w:val="3"/>
        </w:numPr>
      </w:pPr>
      <w:r>
        <w:t xml:space="preserve"> Press “run all” to view </w:t>
      </w:r>
      <w:proofErr w:type="spellStart"/>
      <w:r>
        <w:t>dataframe</w:t>
      </w:r>
      <w:proofErr w:type="spellEnd"/>
      <w:r>
        <w:t xml:space="preserve"> clean up, normalization/standardization, early data analysis, CUSUM for SWaT2019, and CUSUM + K-means time matching for </w:t>
      </w:r>
      <w:proofErr w:type="gramStart"/>
      <w:r>
        <w:t>SWaT2019</w:t>
      </w:r>
      <w:proofErr w:type="gramEnd"/>
    </w:p>
    <w:p w14:paraId="04FA8110" w14:textId="0B5A9631" w:rsidR="3381DFBA" w:rsidRDefault="3381DFBA" w:rsidP="62668BC8">
      <w:pPr>
        <w:rPr>
          <w:b/>
          <w:bCs/>
          <w:u w:val="single"/>
        </w:rPr>
      </w:pPr>
      <w:r w:rsidRPr="62668BC8">
        <w:rPr>
          <w:b/>
          <w:bCs/>
          <w:u w:val="single"/>
        </w:rPr>
        <w:t>“</w:t>
      </w:r>
      <w:r w:rsidR="5611A6C7" w:rsidRPr="62668BC8">
        <w:rPr>
          <w:b/>
          <w:bCs/>
          <w:u w:val="single"/>
        </w:rPr>
        <w:t>SWaTDEC2015_CUSUM_K-Mean_</w:t>
      </w:r>
      <w:proofErr w:type="gramStart"/>
      <w:r w:rsidR="5611A6C7" w:rsidRPr="62668BC8">
        <w:rPr>
          <w:b/>
          <w:bCs/>
          <w:u w:val="single"/>
        </w:rPr>
        <w:t>match</w:t>
      </w:r>
      <w:r w:rsidR="4CE3E28A" w:rsidRPr="62668BC8">
        <w:rPr>
          <w:b/>
          <w:bCs/>
          <w:u w:val="single"/>
        </w:rPr>
        <w:t>.ipynb</w:t>
      </w:r>
      <w:proofErr w:type="gramEnd"/>
      <w:r w:rsidRPr="62668BC8">
        <w:rPr>
          <w:b/>
          <w:bCs/>
          <w:u w:val="single"/>
        </w:rPr>
        <w:t>"</w:t>
      </w:r>
    </w:p>
    <w:p w14:paraId="43B06612" w14:textId="7568220B" w:rsidR="3381DFBA" w:rsidRDefault="3381DFBA" w:rsidP="62668BC8">
      <w:pPr>
        <w:pStyle w:val="ListParagraph"/>
        <w:numPr>
          <w:ilvl w:val="0"/>
          <w:numId w:val="3"/>
        </w:numPr>
      </w:pPr>
      <w:r>
        <w:t xml:space="preserve">Ensure that you have "SWaT_Dataset_Attack_v0.csv", "SWaT_Dataset_Normal_v0.csv", and "Case_0_SWaT2015_P1_clusters.csv" loaded in the same working directory as this </w:t>
      </w:r>
      <w:proofErr w:type="gramStart"/>
      <w:r>
        <w:t>file</w:t>
      </w:r>
      <w:proofErr w:type="gramEnd"/>
    </w:p>
    <w:p w14:paraId="7CC022F0" w14:textId="738FD4E1" w:rsidR="3381DFBA" w:rsidRDefault="3381DFBA" w:rsidP="62668BC8">
      <w:pPr>
        <w:pStyle w:val="ListParagraph"/>
        <w:numPr>
          <w:ilvl w:val="0"/>
          <w:numId w:val="3"/>
        </w:numPr>
      </w:pPr>
      <w:r>
        <w:t xml:space="preserve">Press “run all” to view CUSUM for SWaT2015, and CUSUM + K-means time matching for </w:t>
      </w:r>
      <w:proofErr w:type="gramStart"/>
      <w:r>
        <w:t>SWaT2015</w:t>
      </w:r>
      <w:proofErr w:type="gramEnd"/>
    </w:p>
    <w:p w14:paraId="0D0CDB7A" w14:textId="79171B1A" w:rsidR="62668BC8" w:rsidRDefault="62668BC8" w:rsidP="62668BC8">
      <w:pPr>
        <w:pStyle w:val="ListParagraph"/>
      </w:pPr>
    </w:p>
    <w:sectPr w:rsidR="62668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A6E53"/>
    <w:multiLevelType w:val="hybridMultilevel"/>
    <w:tmpl w:val="4BAEEAEE"/>
    <w:lvl w:ilvl="0" w:tplc="49440D74">
      <w:start w:val="1"/>
      <w:numFmt w:val="bullet"/>
      <w:lvlText w:val=""/>
      <w:lvlJc w:val="left"/>
      <w:pPr>
        <w:ind w:left="720" w:hanging="360"/>
      </w:pPr>
      <w:rPr>
        <w:rFonts w:ascii="Symbol" w:hAnsi="Symbol" w:hint="default"/>
      </w:rPr>
    </w:lvl>
    <w:lvl w:ilvl="1" w:tplc="719858D0">
      <w:start w:val="1"/>
      <w:numFmt w:val="bullet"/>
      <w:lvlText w:val="o"/>
      <w:lvlJc w:val="left"/>
      <w:pPr>
        <w:ind w:left="1440" w:hanging="360"/>
      </w:pPr>
      <w:rPr>
        <w:rFonts w:ascii="Courier New" w:hAnsi="Courier New" w:hint="default"/>
      </w:rPr>
    </w:lvl>
    <w:lvl w:ilvl="2" w:tplc="B0008D56">
      <w:start w:val="1"/>
      <w:numFmt w:val="bullet"/>
      <w:lvlText w:val=""/>
      <w:lvlJc w:val="left"/>
      <w:pPr>
        <w:ind w:left="2160" w:hanging="360"/>
      </w:pPr>
      <w:rPr>
        <w:rFonts w:ascii="Wingdings" w:hAnsi="Wingdings" w:hint="default"/>
      </w:rPr>
    </w:lvl>
    <w:lvl w:ilvl="3" w:tplc="8760D35C">
      <w:start w:val="1"/>
      <w:numFmt w:val="bullet"/>
      <w:lvlText w:val=""/>
      <w:lvlJc w:val="left"/>
      <w:pPr>
        <w:ind w:left="2880" w:hanging="360"/>
      </w:pPr>
      <w:rPr>
        <w:rFonts w:ascii="Symbol" w:hAnsi="Symbol" w:hint="default"/>
      </w:rPr>
    </w:lvl>
    <w:lvl w:ilvl="4" w:tplc="2278D1BC">
      <w:start w:val="1"/>
      <w:numFmt w:val="bullet"/>
      <w:lvlText w:val="o"/>
      <w:lvlJc w:val="left"/>
      <w:pPr>
        <w:ind w:left="3600" w:hanging="360"/>
      </w:pPr>
      <w:rPr>
        <w:rFonts w:ascii="Courier New" w:hAnsi="Courier New" w:hint="default"/>
      </w:rPr>
    </w:lvl>
    <w:lvl w:ilvl="5" w:tplc="9BD84AC2">
      <w:start w:val="1"/>
      <w:numFmt w:val="bullet"/>
      <w:lvlText w:val=""/>
      <w:lvlJc w:val="left"/>
      <w:pPr>
        <w:ind w:left="4320" w:hanging="360"/>
      </w:pPr>
      <w:rPr>
        <w:rFonts w:ascii="Wingdings" w:hAnsi="Wingdings" w:hint="default"/>
      </w:rPr>
    </w:lvl>
    <w:lvl w:ilvl="6" w:tplc="7B50103C">
      <w:start w:val="1"/>
      <w:numFmt w:val="bullet"/>
      <w:lvlText w:val=""/>
      <w:lvlJc w:val="left"/>
      <w:pPr>
        <w:ind w:left="5040" w:hanging="360"/>
      </w:pPr>
      <w:rPr>
        <w:rFonts w:ascii="Symbol" w:hAnsi="Symbol" w:hint="default"/>
      </w:rPr>
    </w:lvl>
    <w:lvl w:ilvl="7" w:tplc="2B781F94">
      <w:start w:val="1"/>
      <w:numFmt w:val="bullet"/>
      <w:lvlText w:val="o"/>
      <w:lvlJc w:val="left"/>
      <w:pPr>
        <w:ind w:left="5760" w:hanging="360"/>
      </w:pPr>
      <w:rPr>
        <w:rFonts w:ascii="Courier New" w:hAnsi="Courier New" w:hint="default"/>
      </w:rPr>
    </w:lvl>
    <w:lvl w:ilvl="8" w:tplc="E402AC30">
      <w:start w:val="1"/>
      <w:numFmt w:val="bullet"/>
      <w:lvlText w:val=""/>
      <w:lvlJc w:val="left"/>
      <w:pPr>
        <w:ind w:left="6480" w:hanging="360"/>
      </w:pPr>
      <w:rPr>
        <w:rFonts w:ascii="Wingdings" w:hAnsi="Wingdings" w:hint="default"/>
      </w:rPr>
    </w:lvl>
  </w:abstractNum>
  <w:abstractNum w:abstractNumId="1" w15:restartNumberingAfterBreak="0">
    <w:nsid w:val="24FCA363"/>
    <w:multiLevelType w:val="hybridMultilevel"/>
    <w:tmpl w:val="70AE279E"/>
    <w:lvl w:ilvl="0" w:tplc="396C3134">
      <w:start w:val="1"/>
      <w:numFmt w:val="bullet"/>
      <w:lvlText w:val=""/>
      <w:lvlJc w:val="left"/>
      <w:pPr>
        <w:ind w:left="720" w:hanging="360"/>
      </w:pPr>
      <w:rPr>
        <w:rFonts w:ascii="Symbol" w:hAnsi="Symbol" w:hint="default"/>
      </w:rPr>
    </w:lvl>
    <w:lvl w:ilvl="1" w:tplc="DFA4479E">
      <w:start w:val="1"/>
      <w:numFmt w:val="bullet"/>
      <w:lvlText w:val="o"/>
      <w:lvlJc w:val="left"/>
      <w:pPr>
        <w:ind w:left="1440" w:hanging="360"/>
      </w:pPr>
      <w:rPr>
        <w:rFonts w:ascii="Courier New" w:hAnsi="Courier New" w:hint="default"/>
      </w:rPr>
    </w:lvl>
    <w:lvl w:ilvl="2" w:tplc="C758F76E">
      <w:start w:val="1"/>
      <w:numFmt w:val="bullet"/>
      <w:lvlText w:val=""/>
      <w:lvlJc w:val="left"/>
      <w:pPr>
        <w:ind w:left="2160" w:hanging="360"/>
      </w:pPr>
      <w:rPr>
        <w:rFonts w:ascii="Wingdings" w:hAnsi="Wingdings" w:hint="default"/>
      </w:rPr>
    </w:lvl>
    <w:lvl w:ilvl="3" w:tplc="D5C46EA4">
      <w:start w:val="1"/>
      <w:numFmt w:val="bullet"/>
      <w:lvlText w:val=""/>
      <w:lvlJc w:val="left"/>
      <w:pPr>
        <w:ind w:left="2880" w:hanging="360"/>
      </w:pPr>
      <w:rPr>
        <w:rFonts w:ascii="Symbol" w:hAnsi="Symbol" w:hint="default"/>
      </w:rPr>
    </w:lvl>
    <w:lvl w:ilvl="4" w:tplc="022E16E4">
      <w:start w:val="1"/>
      <w:numFmt w:val="bullet"/>
      <w:lvlText w:val="o"/>
      <w:lvlJc w:val="left"/>
      <w:pPr>
        <w:ind w:left="3600" w:hanging="360"/>
      </w:pPr>
      <w:rPr>
        <w:rFonts w:ascii="Courier New" w:hAnsi="Courier New" w:hint="default"/>
      </w:rPr>
    </w:lvl>
    <w:lvl w:ilvl="5" w:tplc="6E984CDA">
      <w:start w:val="1"/>
      <w:numFmt w:val="bullet"/>
      <w:lvlText w:val=""/>
      <w:lvlJc w:val="left"/>
      <w:pPr>
        <w:ind w:left="4320" w:hanging="360"/>
      </w:pPr>
      <w:rPr>
        <w:rFonts w:ascii="Wingdings" w:hAnsi="Wingdings" w:hint="default"/>
      </w:rPr>
    </w:lvl>
    <w:lvl w:ilvl="6" w:tplc="A56CB58C">
      <w:start w:val="1"/>
      <w:numFmt w:val="bullet"/>
      <w:lvlText w:val=""/>
      <w:lvlJc w:val="left"/>
      <w:pPr>
        <w:ind w:left="5040" w:hanging="360"/>
      </w:pPr>
      <w:rPr>
        <w:rFonts w:ascii="Symbol" w:hAnsi="Symbol" w:hint="default"/>
      </w:rPr>
    </w:lvl>
    <w:lvl w:ilvl="7" w:tplc="6F50D9A0">
      <w:start w:val="1"/>
      <w:numFmt w:val="bullet"/>
      <w:lvlText w:val="o"/>
      <w:lvlJc w:val="left"/>
      <w:pPr>
        <w:ind w:left="5760" w:hanging="360"/>
      </w:pPr>
      <w:rPr>
        <w:rFonts w:ascii="Courier New" w:hAnsi="Courier New" w:hint="default"/>
      </w:rPr>
    </w:lvl>
    <w:lvl w:ilvl="8" w:tplc="8CA8B2D6">
      <w:start w:val="1"/>
      <w:numFmt w:val="bullet"/>
      <w:lvlText w:val=""/>
      <w:lvlJc w:val="left"/>
      <w:pPr>
        <w:ind w:left="6480" w:hanging="360"/>
      </w:pPr>
      <w:rPr>
        <w:rFonts w:ascii="Wingdings" w:hAnsi="Wingdings" w:hint="default"/>
      </w:rPr>
    </w:lvl>
  </w:abstractNum>
  <w:abstractNum w:abstractNumId="2" w15:restartNumberingAfterBreak="0">
    <w:nsid w:val="58FCA325"/>
    <w:multiLevelType w:val="hybridMultilevel"/>
    <w:tmpl w:val="08924752"/>
    <w:lvl w:ilvl="0" w:tplc="66EA7C5C">
      <w:start w:val="1"/>
      <w:numFmt w:val="bullet"/>
      <w:lvlText w:val=""/>
      <w:lvlJc w:val="left"/>
      <w:pPr>
        <w:ind w:left="720" w:hanging="360"/>
      </w:pPr>
      <w:rPr>
        <w:rFonts w:ascii="Symbol" w:hAnsi="Symbol" w:hint="default"/>
      </w:rPr>
    </w:lvl>
    <w:lvl w:ilvl="1" w:tplc="68528B00">
      <w:start w:val="1"/>
      <w:numFmt w:val="bullet"/>
      <w:lvlText w:val="o"/>
      <w:lvlJc w:val="left"/>
      <w:pPr>
        <w:ind w:left="1440" w:hanging="360"/>
      </w:pPr>
      <w:rPr>
        <w:rFonts w:ascii="Courier New" w:hAnsi="Courier New" w:hint="default"/>
      </w:rPr>
    </w:lvl>
    <w:lvl w:ilvl="2" w:tplc="09EE6AF8">
      <w:start w:val="1"/>
      <w:numFmt w:val="bullet"/>
      <w:lvlText w:val=""/>
      <w:lvlJc w:val="left"/>
      <w:pPr>
        <w:ind w:left="2160" w:hanging="360"/>
      </w:pPr>
      <w:rPr>
        <w:rFonts w:ascii="Wingdings" w:hAnsi="Wingdings" w:hint="default"/>
      </w:rPr>
    </w:lvl>
    <w:lvl w:ilvl="3" w:tplc="4768D798">
      <w:start w:val="1"/>
      <w:numFmt w:val="bullet"/>
      <w:lvlText w:val=""/>
      <w:lvlJc w:val="left"/>
      <w:pPr>
        <w:ind w:left="2880" w:hanging="360"/>
      </w:pPr>
      <w:rPr>
        <w:rFonts w:ascii="Symbol" w:hAnsi="Symbol" w:hint="default"/>
      </w:rPr>
    </w:lvl>
    <w:lvl w:ilvl="4" w:tplc="9F8C4C4E">
      <w:start w:val="1"/>
      <w:numFmt w:val="bullet"/>
      <w:lvlText w:val="o"/>
      <w:lvlJc w:val="left"/>
      <w:pPr>
        <w:ind w:left="3600" w:hanging="360"/>
      </w:pPr>
      <w:rPr>
        <w:rFonts w:ascii="Courier New" w:hAnsi="Courier New" w:hint="default"/>
      </w:rPr>
    </w:lvl>
    <w:lvl w:ilvl="5" w:tplc="CF02F5E6">
      <w:start w:val="1"/>
      <w:numFmt w:val="bullet"/>
      <w:lvlText w:val=""/>
      <w:lvlJc w:val="left"/>
      <w:pPr>
        <w:ind w:left="4320" w:hanging="360"/>
      </w:pPr>
      <w:rPr>
        <w:rFonts w:ascii="Wingdings" w:hAnsi="Wingdings" w:hint="default"/>
      </w:rPr>
    </w:lvl>
    <w:lvl w:ilvl="6" w:tplc="3A008896">
      <w:start w:val="1"/>
      <w:numFmt w:val="bullet"/>
      <w:lvlText w:val=""/>
      <w:lvlJc w:val="left"/>
      <w:pPr>
        <w:ind w:left="5040" w:hanging="360"/>
      </w:pPr>
      <w:rPr>
        <w:rFonts w:ascii="Symbol" w:hAnsi="Symbol" w:hint="default"/>
      </w:rPr>
    </w:lvl>
    <w:lvl w:ilvl="7" w:tplc="737AA1B6">
      <w:start w:val="1"/>
      <w:numFmt w:val="bullet"/>
      <w:lvlText w:val="o"/>
      <w:lvlJc w:val="left"/>
      <w:pPr>
        <w:ind w:left="5760" w:hanging="360"/>
      </w:pPr>
      <w:rPr>
        <w:rFonts w:ascii="Courier New" w:hAnsi="Courier New" w:hint="default"/>
      </w:rPr>
    </w:lvl>
    <w:lvl w:ilvl="8" w:tplc="2BB66B54">
      <w:start w:val="1"/>
      <w:numFmt w:val="bullet"/>
      <w:lvlText w:val=""/>
      <w:lvlJc w:val="left"/>
      <w:pPr>
        <w:ind w:left="6480" w:hanging="360"/>
      </w:pPr>
      <w:rPr>
        <w:rFonts w:ascii="Wingdings" w:hAnsi="Wingdings" w:hint="default"/>
      </w:rPr>
    </w:lvl>
  </w:abstractNum>
  <w:num w:numId="1" w16cid:durableId="1111243746">
    <w:abstractNumId w:val="1"/>
  </w:num>
  <w:num w:numId="2" w16cid:durableId="412122461">
    <w:abstractNumId w:val="2"/>
  </w:num>
  <w:num w:numId="3" w16cid:durableId="1997146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E5766E"/>
    <w:rsid w:val="00C33A15"/>
    <w:rsid w:val="00DD1B9E"/>
    <w:rsid w:val="01803224"/>
    <w:rsid w:val="035842A0"/>
    <w:rsid w:val="03B0C075"/>
    <w:rsid w:val="040D532D"/>
    <w:rsid w:val="045A887B"/>
    <w:rsid w:val="04676BB5"/>
    <w:rsid w:val="04ECA671"/>
    <w:rsid w:val="056B1296"/>
    <w:rsid w:val="05B4EDC2"/>
    <w:rsid w:val="05CE161F"/>
    <w:rsid w:val="0714E3AA"/>
    <w:rsid w:val="0750BE23"/>
    <w:rsid w:val="0817CC7C"/>
    <w:rsid w:val="081AFCA8"/>
    <w:rsid w:val="0903C55F"/>
    <w:rsid w:val="0905B6E1"/>
    <w:rsid w:val="0A70D485"/>
    <w:rsid w:val="0A878293"/>
    <w:rsid w:val="0AA18742"/>
    <w:rsid w:val="0CB42626"/>
    <w:rsid w:val="0DA2F0B3"/>
    <w:rsid w:val="0DBFFFA7"/>
    <w:rsid w:val="0E826EFA"/>
    <w:rsid w:val="0EC28D64"/>
    <w:rsid w:val="108E6C99"/>
    <w:rsid w:val="10DA6A37"/>
    <w:rsid w:val="11EB635C"/>
    <w:rsid w:val="12209160"/>
    <w:rsid w:val="1462CB6D"/>
    <w:rsid w:val="18295140"/>
    <w:rsid w:val="185AA4E0"/>
    <w:rsid w:val="19D56B54"/>
    <w:rsid w:val="1AB8E494"/>
    <w:rsid w:val="1AC6E001"/>
    <w:rsid w:val="1B60F202"/>
    <w:rsid w:val="1D360389"/>
    <w:rsid w:val="1E5771A4"/>
    <w:rsid w:val="1ED1D3EA"/>
    <w:rsid w:val="1F5F4434"/>
    <w:rsid w:val="204D8B82"/>
    <w:rsid w:val="2069BA2A"/>
    <w:rsid w:val="206E138A"/>
    <w:rsid w:val="20A2B90C"/>
    <w:rsid w:val="210E5BAB"/>
    <w:rsid w:val="2115B1B9"/>
    <w:rsid w:val="217451A6"/>
    <w:rsid w:val="2223B83D"/>
    <w:rsid w:val="22AA2C0C"/>
    <w:rsid w:val="236C03E7"/>
    <w:rsid w:val="253F12B6"/>
    <w:rsid w:val="25C5DA98"/>
    <w:rsid w:val="25E1CCCE"/>
    <w:rsid w:val="25E5766E"/>
    <w:rsid w:val="25EC1739"/>
    <w:rsid w:val="27743DA5"/>
    <w:rsid w:val="29196D90"/>
    <w:rsid w:val="2B972E95"/>
    <w:rsid w:val="2BB056F2"/>
    <w:rsid w:val="2BCF9DD2"/>
    <w:rsid w:val="2D12E62D"/>
    <w:rsid w:val="2FFC69ED"/>
    <w:rsid w:val="3086D976"/>
    <w:rsid w:val="31091E4D"/>
    <w:rsid w:val="31983A4E"/>
    <w:rsid w:val="31E65750"/>
    <w:rsid w:val="321F9876"/>
    <w:rsid w:val="3381DFBA"/>
    <w:rsid w:val="338A1537"/>
    <w:rsid w:val="3585FC27"/>
    <w:rsid w:val="373AD57F"/>
    <w:rsid w:val="389E68A7"/>
    <w:rsid w:val="3AB88BEE"/>
    <w:rsid w:val="3B95271C"/>
    <w:rsid w:val="3DBB21C9"/>
    <w:rsid w:val="3E0B9213"/>
    <w:rsid w:val="4080C382"/>
    <w:rsid w:val="4141AA32"/>
    <w:rsid w:val="4142142C"/>
    <w:rsid w:val="414332D5"/>
    <w:rsid w:val="415F8219"/>
    <w:rsid w:val="41BC71C1"/>
    <w:rsid w:val="43366A80"/>
    <w:rsid w:val="43A03901"/>
    <w:rsid w:val="445963ED"/>
    <w:rsid w:val="447AD397"/>
    <w:rsid w:val="453C0962"/>
    <w:rsid w:val="45547BF3"/>
    <w:rsid w:val="462ECF3B"/>
    <w:rsid w:val="4640A18A"/>
    <w:rsid w:val="470772C3"/>
    <w:rsid w:val="47699505"/>
    <w:rsid w:val="47A8AA90"/>
    <w:rsid w:val="47CA9F9C"/>
    <w:rsid w:val="49A7DB17"/>
    <w:rsid w:val="4CE3E28A"/>
    <w:rsid w:val="4F89675F"/>
    <w:rsid w:val="4FBD863E"/>
    <w:rsid w:val="4FD97DAE"/>
    <w:rsid w:val="500516C8"/>
    <w:rsid w:val="50A1C92F"/>
    <w:rsid w:val="513466DD"/>
    <w:rsid w:val="52334F25"/>
    <w:rsid w:val="523D9990"/>
    <w:rsid w:val="5288AA8F"/>
    <w:rsid w:val="55753A52"/>
    <w:rsid w:val="5611A6C7"/>
    <w:rsid w:val="5627E411"/>
    <w:rsid w:val="57C3B472"/>
    <w:rsid w:val="5832DCCE"/>
    <w:rsid w:val="58A290A9"/>
    <w:rsid w:val="594FD756"/>
    <w:rsid w:val="5AFE5F79"/>
    <w:rsid w:val="5B973D76"/>
    <w:rsid w:val="5C1B6F98"/>
    <w:rsid w:val="5C833659"/>
    <w:rsid w:val="5CB47BD7"/>
    <w:rsid w:val="5D9AC0F9"/>
    <w:rsid w:val="5E4D7313"/>
    <w:rsid w:val="5F396BF6"/>
    <w:rsid w:val="5F74F78E"/>
    <w:rsid w:val="60583A16"/>
    <w:rsid w:val="609C178D"/>
    <w:rsid w:val="61314E82"/>
    <w:rsid w:val="61D27E27"/>
    <w:rsid w:val="62668BC8"/>
    <w:rsid w:val="63E5E560"/>
    <w:rsid w:val="659ADE1E"/>
    <w:rsid w:val="670B5911"/>
    <w:rsid w:val="67EE7136"/>
    <w:rsid w:val="68AF9D7E"/>
    <w:rsid w:val="68CF5873"/>
    <w:rsid w:val="68F306E8"/>
    <w:rsid w:val="68F7DE92"/>
    <w:rsid w:val="69506321"/>
    <w:rsid w:val="6AEAE781"/>
    <w:rsid w:val="6AF2DF4F"/>
    <w:rsid w:val="6BF0F745"/>
    <w:rsid w:val="6F289807"/>
    <w:rsid w:val="70CC55EE"/>
    <w:rsid w:val="70FD041D"/>
    <w:rsid w:val="7134129A"/>
    <w:rsid w:val="73B339BA"/>
    <w:rsid w:val="74746602"/>
    <w:rsid w:val="759FC711"/>
    <w:rsid w:val="7753C2B5"/>
    <w:rsid w:val="797A6A52"/>
    <w:rsid w:val="7C0F0895"/>
    <w:rsid w:val="7D37CC7C"/>
    <w:rsid w:val="7F9EE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5766E"/>
  <w15:chartTrackingRefBased/>
  <w15:docId w15:val="{0B258425-051F-4370-82BA-A3F3C57A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Mention">
    <w:name w:val="Mention"/>
    <w:basedOn w:val="DefaultParagraphFont"/>
    <w:uiPriority w:val="99"/>
    <w:unhideWhenUsed/>
    <w:rPr>
      <w:color w:val="2B579A"/>
      <w:shd w:val="clear" w:color="auto" w:fill="E6E6E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3B507701A26F7489B054D24E81B4439" ma:contentTypeVersion="2" ma:contentTypeDescription="Create a new document." ma:contentTypeScope="" ma:versionID="33264ec55a594f76857f5a9618b84840">
  <xsd:schema xmlns:xsd="http://www.w3.org/2001/XMLSchema" xmlns:xs="http://www.w3.org/2001/XMLSchema" xmlns:p="http://schemas.microsoft.com/office/2006/metadata/properties" xmlns:ns2="08054141-12af-441a-aa72-843b8923e939" targetNamespace="http://schemas.microsoft.com/office/2006/metadata/properties" ma:root="true" ma:fieldsID="7ad844282189c6bb9b56ea71248a5890" ns2:_="">
    <xsd:import namespace="08054141-12af-441a-aa72-843b8923e93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054141-12af-441a-aa72-843b8923e9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EC84C8-80D2-47C5-9299-651B4EA6C251}">
  <ds:schemaRefs>
    <ds:schemaRef ds:uri="http://schemas.microsoft.com/sharepoint/v3/contenttype/forms"/>
  </ds:schemaRefs>
</ds:datastoreItem>
</file>

<file path=customXml/itemProps2.xml><?xml version="1.0" encoding="utf-8"?>
<ds:datastoreItem xmlns:ds="http://schemas.openxmlformats.org/officeDocument/2006/customXml" ds:itemID="{6B5BB87F-4D41-4A84-BE41-66B7F0422C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054141-12af-441a-aa72-843b8923e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CE9F7C-4478-4F69-A2F8-551B5EB329E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Sean A</dc:creator>
  <cp:keywords/>
  <dc:description/>
  <cp:lastModifiedBy>Lee, Sean A</cp:lastModifiedBy>
  <cp:revision>2</cp:revision>
  <dcterms:created xsi:type="dcterms:W3CDTF">2022-11-28T01:18:00Z</dcterms:created>
  <dcterms:modified xsi:type="dcterms:W3CDTF">2023-01-13T20:24:00Z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0x010100F3B507701A26F7489B054D24E81B4439</vt:lpwstr>
  </property>
</Properties>
</file>