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8CFFFC">
      <w:pPr>
        <w:spacing w:before="480" w:after="480" w:line="288" w:lineRule="auto"/>
        <w:ind w:left="0"/>
      </w:pPr>
      <w:r>
        <w:rPr>
          <w:rFonts w:ascii="Arial" w:hAnsi="Arial" w:eastAsia="等线" w:cs="Arial"/>
          <w:b/>
          <w:sz w:val="52"/>
        </w:rPr>
        <w:t>2026年美赛（MCM/ICM）全维度赛题分析与选题指导</w:t>
      </w:r>
    </w:p>
    <w:p w14:paraId="47ECF5C5">
      <w:pPr>
        <w:spacing w:before="320" w:after="120" w:line="288" w:lineRule="auto"/>
        <w:ind w:left="0"/>
        <w:jc w:val="left"/>
        <w:outlineLvl w:val="1"/>
      </w:pPr>
      <w:bookmarkStart w:id="0" w:name="heading_0"/>
      <w:r>
        <w:rPr>
          <w:rFonts w:ascii="Arial" w:hAnsi="Arial" w:eastAsia="等线" w:cs="Arial"/>
          <w:b/>
          <w:sz w:val="32"/>
        </w:rPr>
        <w:t>一、ABCDEF各题专业翻译</w:t>
      </w:r>
      <w:bookmarkEnd w:id="0"/>
    </w:p>
    <w:p w14:paraId="59C7088D">
      <w:pPr>
        <w:spacing w:before="300" w:after="120" w:line="288" w:lineRule="auto"/>
        <w:ind w:left="0"/>
        <w:jc w:val="left"/>
        <w:outlineLvl w:val="2"/>
      </w:pPr>
      <w:bookmarkStart w:id="1" w:name="heading_1"/>
      <w:r>
        <w:rPr>
          <w:rFonts w:ascii="Arial" w:hAnsi="Arial" w:eastAsia="等线" w:cs="Arial"/>
          <w:b/>
          <w:sz w:val="30"/>
        </w:rPr>
        <w:t>MCM Problem A：智能手机电池耗电建模</w:t>
      </w:r>
      <w:bookmarkEnd w:id="1"/>
    </w:p>
    <w:p w14:paraId="56D63E3B">
      <w:pPr>
        <w:spacing w:before="120" w:after="120" w:line="288" w:lineRule="auto"/>
        <w:ind w:left="0"/>
        <w:jc w:val="left"/>
      </w:pPr>
      <w:r>
        <w:rPr>
          <w:rFonts w:ascii="Arial" w:hAnsi="Arial" w:eastAsia="等线" w:cs="Arial"/>
          <w:sz w:val="22"/>
        </w:rPr>
        <w:t>智能手机已成为现代生活中不可或缺的工具，但其电池表现往往难以预测。有时手机可续航一整天，有时却在午餐前就快速耗电。尽管部分用户将其归因于“重度使用”，但电池耗电的真正驱动因素更为复杂。耗电量取决于屏幕尺寸与亮度、处理器负载、网络活动以及即使设备看似闲置时仍持续耗电的后台应用程序之间的相互作用。温度等环境条件进一步加剧了复杂性：部分电池在寒冷天气下会损失有效容量，且在持续重度使用时可能过热。电池的表现还受其使用历史和充电方式的影响。</w:t>
      </w:r>
    </w:p>
    <w:p w14:paraId="29F5AC1C">
      <w:pPr>
        <w:spacing w:before="120" w:after="120" w:line="288" w:lineRule="auto"/>
        <w:ind w:left="0"/>
        <w:jc w:val="left"/>
      </w:pPr>
      <w:r>
        <w:rPr>
          <w:rFonts w:ascii="Arial" w:hAnsi="Arial" w:eastAsia="等线" w:cs="Arial"/>
          <w:sz w:val="22"/>
        </w:rPr>
        <w:t>你的任务是开发一个智能手机电池的连续时间数学模型，该模型能在真实使用条件下返回剩余电量（SOC）随时间变化的函数。该模型将用于预测不同条件下的剩余续航时间（Time-to-Empty）。你应假设手机配备锂离子电池。</w:t>
      </w:r>
    </w:p>
    <w:p w14:paraId="7EC9788B">
      <w:pPr>
        <w:spacing w:before="300" w:after="120" w:line="288" w:lineRule="auto"/>
        <w:ind w:left="0"/>
        <w:jc w:val="left"/>
        <w:outlineLvl w:val="9"/>
      </w:pPr>
      <w:bookmarkStart w:id="2" w:name="heading_2"/>
      <w:r>
        <w:rPr>
          <w:rFonts w:ascii="Arial" w:hAnsi="Arial" w:eastAsia="等线" w:cs="Arial"/>
          <w:b/>
          <w:sz w:val="30"/>
        </w:rPr>
        <w:t>要求：</w:t>
      </w:r>
      <w:bookmarkEnd w:id="2"/>
    </w:p>
    <w:p w14:paraId="628E8B3F">
      <w:pPr>
        <w:numPr>
          <w:ilvl w:val="0"/>
          <w:numId w:val="1"/>
        </w:numPr>
        <w:spacing w:before="120" w:after="120" w:line="288" w:lineRule="auto"/>
        <w:ind w:left="0"/>
        <w:jc w:val="left"/>
        <w:outlineLvl w:val="9"/>
      </w:pPr>
      <w:r>
        <w:rPr>
          <w:rFonts w:ascii="Arial" w:hAnsi="Arial" w:eastAsia="等线" w:cs="Arial"/>
          <w:sz w:val="22"/>
        </w:rPr>
        <w:t>连续时间模型：开发一个使用连续时间方程或方程组表示剩余电量的模型。你可以从电池耗电的最简单合理描述入手，然后扩展至包含屏幕使用、处理器负载、网络连接、GPS使用和其他后台任务等额外影响因素。</w:t>
      </w:r>
    </w:p>
    <w:p w14:paraId="58297891">
      <w:pPr>
        <w:numPr>
          <w:ilvl w:val="0"/>
          <w:numId w:val="2"/>
        </w:numPr>
        <w:spacing w:before="120" w:after="120" w:line="288" w:lineRule="auto"/>
        <w:ind w:left="453"/>
        <w:jc w:val="left"/>
        <w:outlineLvl w:val="9"/>
      </w:pPr>
      <w:r>
        <w:rPr>
          <w:rFonts w:ascii="Arial" w:hAnsi="Arial" w:eastAsia="等线" w:cs="Arial"/>
          <w:sz w:val="22"/>
        </w:rPr>
        <w:t>数据仅作为支撑而非替代：你可以收集或使用数据进行参数估计和验证。如果公开数据集有限，可使用已发表的测量结果或规格参数（需适当引用），但参数必须有明确依据并验证合理性。然而，仅基于离散曲线拟合、时间步回归或无明确连续时间模型的黑箱机器学习的项目将不符合本题要求。所有使用的数据必须有详细记录且可免费获取，并符合开源许可要求。</w:t>
      </w:r>
    </w:p>
    <w:p w14:paraId="47EF3B8C">
      <w:pPr>
        <w:numPr>
          <w:ilvl w:val="0"/>
          <w:numId w:val="3"/>
        </w:numPr>
        <w:spacing w:before="120" w:after="120" w:line="288" w:lineRule="auto"/>
        <w:ind w:left="0"/>
        <w:jc w:val="left"/>
        <w:outlineLvl w:val="9"/>
      </w:pPr>
      <w:r>
        <w:rPr>
          <w:rFonts w:ascii="Arial" w:hAnsi="Arial" w:eastAsia="等线" w:cs="Arial"/>
          <w:sz w:val="22"/>
        </w:rPr>
        <w:t>剩余续航时间预测：使用你的模型计算或近似不同初始电量水平和使用场景下的剩余续航时间。将预测结果与观察到的或合理的行为进行比较，量化不确定性，并明确模型表现优劣的场景。</w:t>
      </w:r>
    </w:p>
    <w:p w14:paraId="440F41AD">
      <w:pPr>
        <w:numPr>
          <w:ilvl w:val="0"/>
          <w:numId w:val="4"/>
        </w:numPr>
        <w:spacing w:before="120" w:after="120" w:line="288" w:lineRule="auto"/>
        <w:ind w:left="453"/>
        <w:jc w:val="left"/>
        <w:outlineLvl w:val="9"/>
      </w:pPr>
      <w:r>
        <w:rPr>
          <w:rFonts w:ascii="Arial" w:hAnsi="Arial" w:eastAsia="等线" w:cs="Arial"/>
          <w:sz w:val="22"/>
        </w:rPr>
        <w:t>展示你的模型如何解释这些结果的差异，并识别每种情况下电池快速耗电的具体驱动因素。</w:t>
      </w:r>
    </w:p>
    <w:p w14:paraId="12D6EA12">
      <w:pPr>
        <w:numPr>
          <w:ilvl w:val="0"/>
          <w:numId w:val="5"/>
        </w:numPr>
        <w:spacing w:before="120" w:after="120" w:line="288" w:lineRule="auto"/>
        <w:ind w:left="453"/>
        <w:jc w:val="left"/>
        <w:outlineLvl w:val="9"/>
      </w:pPr>
      <w:r>
        <w:rPr>
          <w:rFonts w:ascii="Arial" w:hAnsi="Arial" w:eastAsia="等线" w:cs="Arial"/>
          <w:sz w:val="22"/>
        </w:rPr>
        <w:t>哪些活动或条件会导致电池寿命最大程度缩短？哪些对模型的影响出人意料地小？</w:t>
      </w:r>
    </w:p>
    <w:p w14:paraId="096A2903">
      <w:pPr>
        <w:numPr>
          <w:ilvl w:val="0"/>
          <w:numId w:val="6"/>
        </w:numPr>
        <w:spacing w:before="120" w:after="120" w:line="288" w:lineRule="auto"/>
        <w:ind w:left="0"/>
        <w:jc w:val="left"/>
        <w:outlineLvl w:val="9"/>
      </w:pPr>
      <w:r>
        <w:rPr>
          <w:rFonts w:ascii="Arial" w:hAnsi="Arial" w:eastAsia="等线" w:cs="Arial"/>
          <w:sz w:val="22"/>
        </w:rPr>
        <w:t>敏感性与假设：分析建模假设、参数值和使用模式波动对预测结果的影响。</w:t>
      </w:r>
    </w:p>
    <w:p w14:paraId="5F0F9A3D">
      <w:pPr>
        <w:numPr>
          <w:ilvl w:val="0"/>
          <w:numId w:val="7"/>
        </w:numPr>
        <w:spacing w:before="120" w:after="120" w:line="288" w:lineRule="auto"/>
        <w:ind w:left="0"/>
        <w:jc w:val="left"/>
        <w:outlineLvl w:val="9"/>
      </w:pPr>
      <w:r>
        <w:rPr>
          <w:rFonts w:ascii="Arial" w:hAnsi="Arial" w:eastAsia="等线" w:cs="Arial"/>
          <w:sz w:val="22"/>
        </w:rPr>
        <w:t>建议：将你的发现转化为对手机用户的实用建议。例如，哪些用户行为（如降低亮度、禁用后台任务或切换网络模式）能最大程度延长电池寿命？操作系统如何基于你的模型见解实施更有效的省电策略？考虑电池老化对有效容量的影响，或你的建模框架如何推广到其他便携式设备。</w:t>
      </w:r>
    </w:p>
    <w:p w14:paraId="21C67953">
      <w:pPr>
        <w:spacing w:before="120" w:after="120" w:line="288" w:lineRule="auto"/>
        <w:ind w:left="0"/>
        <w:jc w:val="left"/>
        <w:outlineLvl w:val="9"/>
      </w:pPr>
      <w:r>
        <w:rPr>
          <w:rFonts w:ascii="Arial" w:hAnsi="Arial" w:eastAsia="等线" w:cs="Arial"/>
          <w:sz w:val="22"/>
        </w:rPr>
        <w:t>你的报告应包含：</w:t>
      </w:r>
    </w:p>
    <w:p w14:paraId="16A97A36">
      <w:pPr>
        <w:numPr>
          <w:ilvl w:val="0"/>
          <w:numId w:val="8"/>
        </w:numPr>
        <w:spacing w:before="120" w:after="120" w:line="288" w:lineRule="auto"/>
        <w:ind w:left="0"/>
        <w:jc w:val="left"/>
        <w:outlineLvl w:val="9"/>
      </w:pPr>
      <w:r>
        <w:rPr>
          <w:rFonts w:ascii="Arial" w:hAnsi="Arial" w:eastAsia="等线" w:cs="Arial"/>
          <w:sz w:val="22"/>
        </w:rPr>
        <w:t>模型及控制方程的清晰描述。</w:t>
      </w:r>
    </w:p>
    <w:p w14:paraId="17606C02">
      <w:pPr>
        <w:numPr>
          <w:ilvl w:val="0"/>
          <w:numId w:val="9"/>
        </w:numPr>
        <w:spacing w:before="120" w:after="120" w:line="288" w:lineRule="auto"/>
        <w:ind w:left="0"/>
        <w:jc w:val="left"/>
        <w:outlineLvl w:val="9"/>
      </w:pPr>
      <w:r>
        <w:rPr>
          <w:rFonts w:ascii="Arial" w:hAnsi="Arial" w:eastAsia="等线" w:cs="Arial"/>
          <w:sz w:val="22"/>
        </w:rPr>
        <w:t>设计选择背后的假设和理由。</w:t>
      </w:r>
    </w:p>
    <w:p w14:paraId="20F74654">
      <w:pPr>
        <w:numPr>
          <w:ilvl w:val="0"/>
          <w:numId w:val="10"/>
        </w:numPr>
        <w:spacing w:before="120" w:after="120" w:line="288" w:lineRule="auto"/>
        <w:ind w:left="0"/>
        <w:jc w:val="left"/>
        <w:outlineLvl w:val="9"/>
      </w:pPr>
      <w:r>
        <w:rPr>
          <w:rFonts w:ascii="Arial" w:hAnsi="Arial" w:eastAsia="等线" w:cs="Arial"/>
          <w:sz w:val="22"/>
        </w:rPr>
        <w:t>参数估计方法和验证结果。</w:t>
      </w:r>
    </w:p>
    <w:p w14:paraId="3D190870">
      <w:pPr>
        <w:numPr>
          <w:ilvl w:val="0"/>
          <w:numId w:val="11"/>
        </w:numPr>
        <w:spacing w:before="120" w:after="120" w:line="288" w:lineRule="auto"/>
        <w:ind w:left="0"/>
        <w:jc w:val="left"/>
        <w:outlineLvl w:val="9"/>
      </w:pPr>
      <w:r>
        <w:rPr>
          <w:rFonts w:ascii="Arial" w:hAnsi="Arial" w:eastAsia="等线" w:cs="Arial"/>
          <w:sz w:val="22"/>
        </w:rPr>
        <w:t>模型优势、局限性和可能的扩展方向讨论。</w:t>
      </w:r>
    </w:p>
    <w:p w14:paraId="4427C7D6">
      <w:pPr>
        <w:numPr>
          <w:ilvl w:val="0"/>
          <w:numId w:val="12"/>
        </w:numPr>
        <w:spacing w:before="120" w:after="120" w:line="288" w:lineRule="auto"/>
        <w:ind w:left="0"/>
        <w:jc w:val="left"/>
        <w:outlineLvl w:val="9"/>
      </w:pPr>
      <w:r>
        <w:rPr>
          <w:rFonts w:ascii="Arial" w:hAnsi="Arial" w:eastAsia="等线" w:cs="Arial"/>
          <w:sz w:val="22"/>
        </w:rPr>
        <w:t>突出主要结果、见解和建议的执行摘要。</w:t>
      </w:r>
    </w:p>
    <w:p w14:paraId="675843CE">
      <w:pPr>
        <w:spacing w:before="300" w:after="120" w:line="288" w:lineRule="auto"/>
        <w:ind w:left="0"/>
        <w:jc w:val="left"/>
        <w:outlineLvl w:val="9"/>
      </w:pPr>
      <w:bookmarkStart w:id="3" w:name="heading_3"/>
      <w:r>
        <w:rPr>
          <w:rFonts w:ascii="Arial" w:hAnsi="Arial" w:eastAsia="等线" w:cs="Arial"/>
          <w:b/>
          <w:sz w:val="30"/>
        </w:rPr>
        <w:t>重要提示：</w:t>
      </w:r>
      <w:bookmarkEnd w:id="3"/>
    </w:p>
    <w:p w14:paraId="648C5F69">
      <w:pPr>
        <w:spacing w:before="120" w:after="120" w:line="288" w:lineRule="auto"/>
        <w:ind w:left="0"/>
        <w:jc w:val="left"/>
        <w:outlineLvl w:val="9"/>
      </w:pPr>
      <w:r>
        <w:rPr>
          <w:rFonts w:ascii="Arial" w:hAnsi="Arial" w:eastAsia="等线" w:cs="Arial"/>
          <w:sz w:val="22"/>
        </w:rPr>
        <w:t>你的模型必须基于明确的物理或机械原理；与电池行为的明确连续时间描述脱节的离散曲线拟合或其他数学形式将不符合要求。仅依赖离散曲线拟合或统计回归而无明确构建的连续时间模型的项目将不符合本题要求。</w:t>
      </w:r>
    </w:p>
    <w:p w14:paraId="7D9E0E2C">
      <w:pPr>
        <w:spacing w:before="300" w:after="120" w:line="288" w:lineRule="auto"/>
        <w:ind w:left="0"/>
        <w:jc w:val="left"/>
        <w:outlineLvl w:val="2"/>
      </w:pPr>
      <w:bookmarkStart w:id="4" w:name="heading_4"/>
      <w:r>
        <w:rPr>
          <w:rFonts w:ascii="Arial" w:hAnsi="Arial" w:eastAsia="等线" w:cs="Arial"/>
          <w:b/>
          <w:sz w:val="30"/>
        </w:rPr>
        <w:t>MCM Problem B：利用太空电梯系统建立月球殖民地</w:t>
      </w:r>
      <w:bookmarkEnd w:id="4"/>
    </w:p>
    <w:p w14:paraId="1541B5C1">
      <w:pPr>
        <w:spacing w:before="120" w:after="120" w:line="288" w:lineRule="auto"/>
        <w:ind w:left="0"/>
        <w:jc w:val="left"/>
      </w:pPr>
      <w:r>
        <w:rPr>
          <w:rFonts w:ascii="Arial" w:hAnsi="Arial" w:eastAsia="等线" w:cs="Arial"/>
          <w:sz w:val="22"/>
        </w:rPr>
        <w:t>想象一个未来——任何人都可以从赤道乘坐舒适的观光舱前往地球轨道，然后搭乘常规、安全且经济的火箭航班前往月球、火星或更远的地方。在这个未来，我们可以建造拥有人工重力、郁郁葱葱、美丽宜人的太空栖息地，人们可以在那里度假、工作甚至居住。这些栖息地将缓解地球脆弱、超负荷且易受破坏的生态系统所面临的压力。实现这些目标的技术将为人类提供无限、安全、常规、环保、高效且全球性的太空通道。为实现这些目标，一些人设想了一种由电力驱动的太空电梯系统，为星际物流、商业和探索提供可扩展的基础设施。</w:t>
      </w:r>
    </w:p>
    <w:p w14:paraId="2635156F">
      <w:pPr>
        <w:spacing w:before="120" w:after="120" w:line="288" w:lineRule="auto"/>
        <w:ind w:left="0"/>
        <w:jc w:val="left"/>
      </w:pPr>
      <w:r>
        <w:rPr>
          <w:rFonts w:ascii="Arial" w:hAnsi="Arial" w:eastAsia="等线" w:cs="Arial"/>
          <w:sz w:val="22"/>
        </w:rPr>
        <w:t>在最终运行配置中，太空电梯系统将包括三个银河港（Galactic Harbours），理想情况下沿赤道间隔120度分布。每个银河港将包含一个地球港口，通过两条10万公里长的系绳连接到两个顶点锚（apex anchors），多个太空电梯协同运行，每个电梯每天能够将大量有效载荷从地球运送到地球同步轨道（GEO），并进一步运送到顶点锚，在那里可以将有效载荷装载到火箭上，使用更少的燃料运送到任何地方。</w:t>
      </w:r>
    </w:p>
    <w:p w14:paraId="23AE9D39">
      <w:pPr>
        <w:spacing w:before="120" w:after="120" w:line="288" w:lineRule="auto"/>
        <w:ind w:left="0"/>
        <w:jc w:val="left"/>
      </w:pPr>
      <w:r>
        <w:rPr>
          <w:rFonts w:ascii="Arial" w:hAnsi="Arial" w:eastAsia="等线" w:cs="Arial"/>
          <w:sz w:val="22"/>
        </w:rPr>
        <w:t>月球殖民地管理（MCM）机构计划在2050年太空电梯系统完工后，开始建造一个可容纳10万人的月球殖民地。据估计，该月球殖民地需要约1亿吨材料。此外，殖民地建成后，需要定期运送水和物资以维持月球居民的生活。要将物资运送到月球，银河港必须分两步进行：首先通过太空电梯将材料从地球港口运送到顶点锚，然后通过火箭从顶点锚运送到月球殖民地。MCM机构预计，银河港将提供先进的提升系统，每年能够运输17.9万吨材料，且不产生大气污染。</w:t>
      </w:r>
    </w:p>
    <w:p w14:paraId="5B04CFA6">
      <w:pPr>
        <w:spacing w:before="120" w:after="120" w:line="288" w:lineRule="auto"/>
        <w:ind w:left="0"/>
        <w:jc w:val="left"/>
      </w:pPr>
      <w:r>
        <w:rPr>
          <w:rFonts w:ascii="Arial" w:hAnsi="Arial" w:eastAsia="等线" w:cs="Arial"/>
          <w:sz w:val="22"/>
        </w:rPr>
        <w:t>该机构还在考虑使用传统火箭为月球殖民地的建设和物资供应运送材料。目前地球上有10个火箭发射场：美国的阿拉斯加、加利福尼亚、德克萨斯、佛罗里达和弗吉尼亚，哈萨克斯坦、法属圭亚那、印度的萨蒂什·达万航天中心、中国的太原卫星发射中心和新西兰的马希亚半岛。</w:t>
      </w:r>
    </w:p>
    <w:p w14:paraId="0D0A4D19">
      <w:pPr>
        <w:spacing w:before="120" w:after="120" w:line="288" w:lineRule="auto"/>
        <w:ind w:left="0"/>
        <w:jc w:val="left"/>
      </w:pPr>
      <w:r>
        <w:rPr>
          <w:rFonts w:ascii="Arial" w:hAnsi="Arial" w:eastAsia="等线" w:cs="Arial"/>
          <w:sz w:val="22"/>
        </w:rPr>
        <w:t>火箭只需一步即可从地球发射场直接运送到月球殖民地。据估计，到2050年，使用先进的猎鹰重型火箭发射，火箭将能够向月球运送100-150吨有效载荷。你可以假设银河港系统（如系绳无晃动）和火箭发射（如无发射失败）均处于理想条件。你需要考虑不同场景下将材料从地球表面运送到月球殖民地的成本和时间表。</w:t>
      </w:r>
    </w:p>
    <w:p w14:paraId="60C2406F">
      <w:pPr>
        <w:spacing w:before="300" w:after="120" w:line="288" w:lineRule="auto"/>
        <w:ind w:left="0"/>
        <w:jc w:val="left"/>
        <w:outlineLvl w:val="9"/>
      </w:pPr>
      <w:bookmarkStart w:id="5" w:name="heading_5"/>
      <w:r>
        <w:rPr>
          <w:rFonts w:ascii="Arial" w:hAnsi="Arial" w:eastAsia="等线" w:cs="Arial"/>
          <w:b/>
          <w:sz w:val="30"/>
        </w:rPr>
        <w:t>你的任务：</w:t>
      </w:r>
      <w:bookmarkEnd w:id="5"/>
    </w:p>
    <w:p w14:paraId="1D4AB5A7">
      <w:pPr>
        <w:spacing w:before="120" w:after="120" w:line="288" w:lineRule="auto"/>
        <w:ind w:left="0"/>
        <w:jc w:val="left"/>
        <w:outlineLvl w:val="9"/>
      </w:pPr>
      <w:r>
        <w:rPr>
          <w:rFonts w:ascii="Arial" w:hAnsi="Arial" w:eastAsia="等线" w:cs="Arial"/>
          <w:sz w:val="22"/>
        </w:rPr>
        <w:t>利用数学模型确定从2050年开始建造可容纳10万人的月球殖民地所需的运输成本和相关时间表。你需要比较现代太空电梯系统的三个银河港与从选定发射基地发射的传统火箭的运输方案。</w:t>
      </w:r>
    </w:p>
    <w:p w14:paraId="0D5A774E">
      <w:pPr>
        <w:spacing w:before="120" w:after="120" w:line="288" w:lineRule="auto"/>
        <w:ind w:left="0"/>
        <w:jc w:val="left"/>
        <w:outlineLvl w:val="9"/>
      </w:pPr>
      <w:r>
        <w:rPr>
          <w:rFonts w:ascii="Arial" w:hAnsi="Arial" w:eastAsia="等线" w:cs="Arial"/>
          <w:sz w:val="22"/>
        </w:rPr>
        <w:t>你的模型应包括：</w:t>
      </w:r>
    </w:p>
    <w:p w14:paraId="7EB645E9">
      <w:pPr>
        <w:numPr>
          <w:ilvl w:val="0"/>
          <w:numId w:val="13"/>
        </w:numPr>
        <w:spacing w:before="120" w:after="120" w:line="288" w:lineRule="auto"/>
        <w:ind w:left="0"/>
        <w:jc w:val="left"/>
        <w:outlineLvl w:val="9"/>
      </w:pPr>
      <w:r>
        <w:rPr>
          <w:rFonts w:ascii="Arial" w:hAnsi="Arial" w:eastAsia="等线" w:cs="Arial"/>
          <w:sz w:val="22"/>
        </w:rPr>
        <w:t>考虑三种不同的运输方案，将1亿吨材料运送到10万人的月球殖民地：</w:t>
      </w:r>
    </w:p>
    <w:p w14:paraId="1A377A42">
      <w:pPr>
        <w:spacing w:before="120" w:after="120" w:line="288" w:lineRule="auto"/>
        <w:ind w:left="0"/>
        <w:jc w:val="left"/>
        <w:outlineLvl w:val="9"/>
      </w:pPr>
      <w:r>
        <w:rPr>
          <w:rFonts w:ascii="Arial" w:hAnsi="Arial" w:eastAsia="等线" w:cs="Arial"/>
          <w:sz w:val="22"/>
        </w:rPr>
        <w:t>a. 仅使用太空电梯系统的三个银河港；</w:t>
      </w:r>
    </w:p>
    <w:p w14:paraId="358DA16E">
      <w:pPr>
        <w:spacing w:before="120" w:after="120" w:line="288" w:lineRule="auto"/>
        <w:ind w:left="0"/>
        <w:jc w:val="left"/>
        <w:outlineLvl w:val="9"/>
      </w:pPr>
      <w:r>
        <w:rPr>
          <w:rFonts w:ascii="Arial" w:hAnsi="Arial" w:eastAsia="等线" w:cs="Arial"/>
          <w:sz w:val="22"/>
        </w:rPr>
        <w:t>b. 仅使用现有基地的传统火箭发射（你可以选择使用哪些设施）；</w:t>
      </w:r>
    </w:p>
    <w:p w14:paraId="78BB93AD">
      <w:pPr>
        <w:spacing w:before="120" w:after="120" w:line="288" w:lineRule="auto"/>
        <w:ind w:left="0"/>
        <w:jc w:val="left"/>
        <w:outlineLvl w:val="9"/>
      </w:pPr>
      <w:r>
        <w:rPr>
          <w:rFonts w:ascii="Arial" w:hAnsi="Arial" w:eastAsia="等线" w:cs="Arial"/>
          <w:sz w:val="22"/>
        </w:rPr>
        <w:t>c. 两种方法的组合。</w:t>
      </w:r>
    </w:p>
    <w:p w14:paraId="7127B285">
      <w:pPr>
        <w:numPr>
          <w:ilvl w:val="0"/>
          <w:numId w:val="14"/>
        </w:numPr>
        <w:spacing w:before="120" w:after="120" w:line="288" w:lineRule="auto"/>
        <w:ind w:left="0"/>
        <w:jc w:val="left"/>
        <w:outlineLvl w:val="9"/>
      </w:pPr>
      <w:r>
        <w:rPr>
          <w:rFonts w:ascii="Arial" w:hAnsi="Arial" w:eastAsia="等线" w:cs="Arial"/>
          <w:sz w:val="22"/>
        </w:rPr>
        <w:t>如果运输系统并非处于理想工作状态（如系绳晃动、火箭故障、电梯故障等），你的解决方案会在多大程度上发生变化？</w:t>
      </w:r>
    </w:p>
    <w:p w14:paraId="46F7646E">
      <w:pPr>
        <w:numPr>
          <w:ilvl w:val="0"/>
          <w:numId w:val="15"/>
        </w:numPr>
        <w:spacing w:before="120" w:after="120" w:line="288" w:lineRule="auto"/>
        <w:ind w:left="0"/>
        <w:jc w:val="left"/>
        <w:outlineLvl w:val="9"/>
      </w:pPr>
      <w:r>
        <w:rPr>
          <w:rFonts w:ascii="Arial" w:hAnsi="Arial" w:eastAsia="等线" w:cs="Arial"/>
          <w:sz w:val="22"/>
        </w:rPr>
        <w:t>调查10万人月球殖民地全面运营后一年内的用水需求。使用你的运输模型了解确保殖民地在入住后一整年有足够用水所需的额外成本和时间表。</w:t>
      </w:r>
    </w:p>
    <w:p w14:paraId="7D88EF70">
      <w:pPr>
        <w:numPr>
          <w:ilvl w:val="0"/>
          <w:numId w:val="16"/>
        </w:numPr>
        <w:spacing w:before="120" w:after="120" w:line="288" w:lineRule="auto"/>
        <w:ind w:left="0"/>
        <w:jc w:val="left"/>
        <w:outlineLvl w:val="9"/>
      </w:pPr>
      <w:r>
        <w:rPr>
          <w:rFonts w:ascii="Arial" w:hAnsi="Arial" w:eastAsia="等线" w:cs="Arial"/>
          <w:sz w:val="22"/>
        </w:rPr>
        <w:t>讨论不同场景下建设10万人月球殖民地对地球环境的影响。你将如何调整模型以最大限度减少环境影响？</w:t>
      </w:r>
    </w:p>
    <w:p w14:paraId="26020AD7">
      <w:pPr>
        <w:numPr>
          <w:ilvl w:val="0"/>
          <w:numId w:val="17"/>
        </w:numPr>
        <w:spacing w:before="120" w:after="120" w:line="288" w:lineRule="auto"/>
        <w:ind w:left="0"/>
        <w:jc w:val="left"/>
        <w:outlineLvl w:val="9"/>
      </w:pPr>
      <w:r>
        <w:rPr>
          <w:rFonts w:ascii="Arial" w:hAnsi="Arial" w:eastAsia="等线" w:cs="Arial"/>
          <w:sz w:val="22"/>
        </w:rPr>
        <w:t>向虚构的MCM机构撰写一封一页纸的信件，推荐建设和维持10万人月球殖民地的行动方案。</w:t>
      </w:r>
    </w:p>
    <w:p w14:paraId="4BB46485">
      <w:pPr>
        <w:spacing w:before="300" w:after="120" w:line="288" w:lineRule="auto"/>
        <w:ind w:left="0"/>
        <w:jc w:val="left"/>
        <w:outlineLvl w:val="2"/>
      </w:pPr>
      <w:bookmarkStart w:id="6" w:name="heading_6"/>
      <w:bookmarkStart w:id="21" w:name="_GoBack"/>
      <w:bookmarkEnd w:id="21"/>
      <w:r>
        <w:rPr>
          <w:rFonts w:ascii="Arial" w:hAnsi="Arial" w:eastAsia="等线" w:cs="Arial"/>
          <w:b/>
          <w:sz w:val="30"/>
        </w:rPr>
        <w:t>MCM Problem C：与星共舞（DWTS）的数据建模</w:t>
      </w:r>
      <w:bookmarkEnd w:id="6"/>
    </w:p>
    <w:p w14:paraId="6DD27686">
      <w:pPr>
        <w:spacing w:before="120" w:after="120" w:line="288" w:lineRule="auto"/>
        <w:ind w:left="0"/>
        <w:jc w:val="left"/>
      </w:pPr>
      <w:r>
        <w:rPr>
          <w:rFonts w:ascii="Arial" w:hAnsi="Arial" w:eastAsia="等线" w:cs="Arial"/>
          <w:sz w:val="22"/>
        </w:rPr>
        <w:t>《与星共舞》（DWTS）是基于英国节目《舞动奇迹》（原名《来吧跳舞》）的国际电视节目特许经营权的美国版本。该节目的版本已在阿尔巴尼亚、阿根廷、澳大利亚、中国、法国、印度等多个国家推出。本题聚焦的美国版本已完成34季。</w:t>
      </w:r>
    </w:p>
    <w:p w14:paraId="1A2BF5B2">
      <w:pPr>
        <w:spacing w:before="120" w:after="120" w:line="288" w:lineRule="auto"/>
        <w:ind w:left="0"/>
        <w:jc w:val="left"/>
      </w:pPr>
      <w:r>
        <w:rPr>
          <w:rFonts w:ascii="Arial" w:hAnsi="Arial" w:eastAsia="等线" w:cs="Arial"/>
          <w:sz w:val="22"/>
        </w:rPr>
        <w:t>名人与专业舞者配对，每周进行舞蹈表演。专家评委团为每对舞者的表演打分，观众通过电话或在线投票支持他们当周最喜欢的情侣。观众每周可投票一次或多次，上限为当周公布的次数。此外，观众投票支持希望保留的明星，而非投票淘汰明星。评委和观众的投票结合起来决定当周淘汰哪对情侣（综合得分最低者）。三对（部分赛季为更多）情侣进入总决赛，总决赛当周结合观众和评委的得分将他们排名为第1至第3（或第4、第5）名。</w:t>
      </w:r>
    </w:p>
    <w:p w14:paraId="36BAADB4">
      <w:pPr>
        <w:spacing w:before="120" w:after="120" w:line="288" w:lineRule="auto"/>
        <w:ind w:left="0"/>
        <w:jc w:val="left"/>
      </w:pPr>
      <w:r>
        <w:rPr>
          <w:rFonts w:ascii="Arial" w:hAnsi="Arial" w:eastAsia="等线" w:cs="Arial"/>
          <w:sz w:val="22"/>
        </w:rPr>
        <w:t>评委得分和观众投票的组合方式有多种可能。在美国版节目的前两季，采用基于排名的组合方式。第二季因名人选手杰瑞·赖斯尽管有5周评委得分极低仍进入总决赛引发争议，导致规则修改为使用百分比而非排名。附录提供了这两种方法的示例。</w:t>
      </w:r>
    </w:p>
    <w:p w14:paraId="1B099155">
      <w:pPr>
        <w:spacing w:before="120" w:after="120" w:line="288" w:lineRule="auto"/>
        <w:ind w:left="0"/>
        <w:jc w:val="left"/>
      </w:pPr>
      <w:r>
        <w:rPr>
          <w:rFonts w:ascii="Arial" w:hAnsi="Arial" w:eastAsia="等线" w:cs="Arial"/>
          <w:sz w:val="22"/>
        </w:rPr>
        <w:t>第27季再次出现争议——名人选手鲍比·博恩斯尽管评委得分持续偏低仍赢得冠军。作为回应，从第28季开始，淘汰流程略有修改：首先通过结合评委得分和观众投票确定排名最后的两对情侣，然后在直播节目中由评委投票选择淘汰其中一对。大约在同一季，制作方还恢复了前两季使用的基于排名的评委得分与观众投票组合方法。确切的规则变更赛季尚不确定，但假设为第28季是合理的。</w:t>
      </w:r>
    </w:p>
    <w:p w14:paraId="5C4C25D6">
      <w:pPr>
        <w:spacing w:before="120" w:after="120" w:line="288" w:lineRule="auto"/>
        <w:ind w:left="0"/>
        <w:jc w:val="left"/>
      </w:pPr>
      <w:r>
        <w:rPr>
          <w:rFonts w:ascii="Arial" w:hAnsi="Arial" w:eastAsia="等线" w:cs="Arial"/>
          <w:sz w:val="22"/>
        </w:rPr>
        <w:t>评委得分旨在反映舞者的技术水平，尽管对舞蹈优劣的评判存在一定主观性。观众投票可能更具主观性，受舞蹈质量影响，但也受名人的受欢迎程度和个人魅力影响。节目制作方在某种程度上可能更倾向于出现意见和投票冲突，因为此类情况能提升观众的兴趣和兴奋度。</w:t>
      </w:r>
    </w:p>
    <w:p w14:paraId="6E28F216">
      <w:pPr>
        <w:spacing w:before="300" w:after="120" w:line="288" w:lineRule="auto"/>
        <w:ind w:left="0"/>
        <w:jc w:val="left"/>
        <w:outlineLvl w:val="9"/>
      </w:pPr>
      <w:bookmarkStart w:id="7" w:name="heading_7"/>
      <w:r>
        <w:rPr>
          <w:rFonts w:ascii="Arial" w:hAnsi="Arial" w:eastAsia="等线" w:cs="Arial"/>
          <w:b/>
          <w:sz w:val="30"/>
        </w:rPr>
        <w:t>提供的数据包括评委得分和选手信息，如下所述。你可以自行选择纳入额外信息或其他数据，但必须完整记录来源。利用数据完成以下任务：</w:t>
      </w:r>
      <w:bookmarkEnd w:id="7"/>
    </w:p>
    <w:p w14:paraId="20FB1637">
      <w:pPr>
        <w:numPr>
          <w:ilvl w:val="0"/>
          <w:numId w:val="18"/>
        </w:numPr>
        <w:spacing w:before="120" w:after="120" w:line="288" w:lineRule="auto"/>
        <w:ind w:left="0"/>
        <w:jc w:val="left"/>
        <w:outlineLvl w:val="9"/>
      </w:pPr>
      <w:r>
        <w:rPr>
          <w:rFonts w:ascii="Arial" w:hAnsi="Arial" w:eastAsia="等线" w:cs="Arial"/>
          <w:sz w:val="22"/>
        </w:rPr>
        <w:t>开发数学模型（一个或多个），估算每位选手在其参赛的每周获得的观众投票数（观众投票数是未知且严格保密的）。</w:t>
      </w:r>
    </w:p>
    <w:p w14:paraId="4D4E5097">
      <w:pPr>
        <w:numPr>
          <w:ilvl w:val="0"/>
          <w:numId w:val="19"/>
        </w:numPr>
        <w:spacing w:before="120" w:after="120" w:line="288" w:lineRule="auto"/>
        <w:ind w:left="453"/>
        <w:jc w:val="left"/>
        <w:outlineLvl w:val="9"/>
      </w:pPr>
      <w:r>
        <w:rPr>
          <w:rFonts w:ascii="Arial" w:hAnsi="Arial" w:eastAsia="等线" w:cs="Arial"/>
          <w:sz w:val="22"/>
        </w:rPr>
        <w:t>你的模型估算的观众投票数是否能得出与每周淘汰结果一致的结论？提供一致性的衡量标准。</w:t>
      </w:r>
    </w:p>
    <w:p w14:paraId="3A486211">
      <w:pPr>
        <w:numPr>
          <w:ilvl w:val="0"/>
          <w:numId w:val="20"/>
        </w:numPr>
        <w:spacing w:before="120" w:after="120" w:line="288" w:lineRule="auto"/>
        <w:ind w:left="453"/>
        <w:jc w:val="left"/>
        <w:outlineLvl w:val="9"/>
      </w:pPr>
      <w:r>
        <w:rPr>
          <w:rFonts w:ascii="Arial" w:hAnsi="Arial" w:eastAsia="等线" w:cs="Arial"/>
          <w:sz w:val="22"/>
        </w:rPr>
        <w:t>你得出的观众投票总数的确定性如何？这种确定性对每位选手/每周是否始终相同？为估算结果的确定性提供衡量标准。</w:t>
      </w:r>
    </w:p>
    <w:p w14:paraId="33B3DB54">
      <w:pPr>
        <w:numPr>
          <w:ilvl w:val="0"/>
          <w:numId w:val="21"/>
        </w:numPr>
        <w:spacing w:before="120" w:after="120" w:line="288" w:lineRule="auto"/>
        <w:ind w:left="0"/>
        <w:jc w:val="left"/>
        <w:outlineLvl w:val="9"/>
      </w:pPr>
      <w:r>
        <w:rPr>
          <w:rFonts w:ascii="Arial" w:hAnsi="Arial" w:eastAsia="等线" w:cs="Arial"/>
          <w:sz w:val="22"/>
        </w:rPr>
        <w:t>利用你的观众投票估算结果和其他数据：</w:t>
      </w:r>
    </w:p>
    <w:p w14:paraId="6D149A39">
      <w:pPr>
        <w:numPr>
          <w:ilvl w:val="0"/>
          <w:numId w:val="22"/>
        </w:numPr>
        <w:spacing w:before="120" w:after="120" w:line="288" w:lineRule="auto"/>
        <w:ind w:left="453"/>
        <w:jc w:val="left"/>
        <w:outlineLvl w:val="9"/>
      </w:pPr>
      <w:r>
        <w:rPr>
          <w:rFonts w:ascii="Arial" w:hAnsi="Arial" w:eastAsia="等线" w:cs="Arial"/>
          <w:sz w:val="22"/>
        </w:rPr>
        <w:t>比较和对比节目使用的两种投票组合方法（即排名法和百分比法）在各季产生的结果（即对每一季同时应用两种方法）。如果结果存在差异，其中一种方法是否似乎更偏向观众投票？</w:t>
      </w:r>
    </w:p>
    <w:p w14:paraId="37F4CC1F">
      <w:pPr>
        <w:numPr>
          <w:ilvl w:val="0"/>
          <w:numId w:val="23"/>
        </w:numPr>
        <w:spacing w:before="120" w:after="120" w:line="288" w:lineRule="auto"/>
        <w:ind w:left="453"/>
        <w:jc w:val="left"/>
        <w:outlineLvl w:val="9"/>
      </w:pPr>
      <w:r>
        <w:rPr>
          <w:rFonts w:ascii="Arial" w:hAnsi="Arial" w:eastAsia="等线" w:cs="Arial"/>
          <w:sz w:val="22"/>
        </w:rPr>
        <w:t>考察这两种投票方法在存在“争议”（即评委与观众意见存在分歧）的特定名人选手身上的应用情况。投票组合方法的选择是否会导致每位此类选手的结果相同？每周由评委从排名最后的两对情侣中选择淘汰对象的额外方法会对结果产生怎样的影响？你可能需要考虑的示例（也可识别其他示例）：</w:t>
      </w:r>
    </w:p>
    <w:p w14:paraId="6B49CA98">
      <w:pPr>
        <w:numPr>
          <w:ilvl w:val="0"/>
          <w:numId w:val="24"/>
        </w:numPr>
        <w:spacing w:before="120" w:after="120" w:line="288" w:lineRule="auto"/>
        <w:ind w:left="907"/>
        <w:jc w:val="left"/>
        <w:outlineLvl w:val="9"/>
      </w:pPr>
      <w:r>
        <w:rPr>
          <w:rFonts w:ascii="Arial" w:hAnsi="Arial" w:eastAsia="等线" w:cs="Arial"/>
          <w:sz w:val="22"/>
        </w:rPr>
        <w:t>第2季——杰瑞·赖斯，尽管有5周评委得分最低仍获得亚军；</w:t>
      </w:r>
    </w:p>
    <w:p w14:paraId="01F6A3DA">
      <w:pPr>
        <w:numPr>
          <w:ilvl w:val="0"/>
          <w:numId w:val="25"/>
        </w:numPr>
        <w:spacing w:before="120" w:after="120" w:line="288" w:lineRule="auto"/>
        <w:ind w:left="907"/>
        <w:jc w:val="left"/>
        <w:outlineLvl w:val="9"/>
      </w:pPr>
      <w:r>
        <w:rPr>
          <w:rFonts w:ascii="Arial" w:hAnsi="Arial" w:eastAsia="等线" w:cs="Arial"/>
          <w:sz w:val="22"/>
        </w:rPr>
        <w:t>第4季——比利·雷·赛勒斯，尽管有6周评委得分垫底仍获得第5名；</w:t>
      </w:r>
    </w:p>
    <w:p w14:paraId="19D3F8C0">
      <w:pPr>
        <w:numPr>
          <w:ilvl w:val="0"/>
          <w:numId w:val="26"/>
        </w:numPr>
        <w:spacing w:before="120" w:after="120" w:line="288" w:lineRule="auto"/>
        <w:ind w:left="907"/>
        <w:jc w:val="left"/>
        <w:outlineLvl w:val="9"/>
      </w:pPr>
      <w:r>
        <w:rPr>
          <w:rFonts w:ascii="Arial" w:hAnsi="Arial" w:eastAsia="等线" w:cs="Arial"/>
          <w:sz w:val="22"/>
        </w:rPr>
        <w:t>第11季——布里斯托尔·佩林，12次获得最低评委得分仍获得第3名；</w:t>
      </w:r>
    </w:p>
    <w:p w14:paraId="309BFC92">
      <w:pPr>
        <w:numPr>
          <w:ilvl w:val="0"/>
          <w:numId w:val="27"/>
        </w:numPr>
        <w:spacing w:before="120" w:after="120" w:line="288" w:lineRule="auto"/>
        <w:ind w:left="907"/>
        <w:jc w:val="left"/>
        <w:outlineLvl w:val="9"/>
      </w:pPr>
      <w:r>
        <w:rPr>
          <w:rFonts w:ascii="Arial" w:hAnsi="Arial" w:eastAsia="等线" w:cs="Arial"/>
          <w:sz w:val="22"/>
        </w:rPr>
        <w:t>第27季——鲍比·博恩斯，尽管评委得分持续偏低仍赢得冠军。</w:t>
      </w:r>
    </w:p>
    <w:p w14:paraId="674776D0">
      <w:pPr>
        <w:numPr>
          <w:ilvl w:val="0"/>
          <w:numId w:val="28"/>
        </w:numPr>
        <w:spacing w:before="120" w:after="120" w:line="288" w:lineRule="auto"/>
        <w:ind w:left="453"/>
        <w:jc w:val="left"/>
        <w:outlineLvl w:val="9"/>
      </w:pPr>
      <w:r>
        <w:rPr>
          <w:rFonts w:ascii="Arial" w:hAnsi="Arial" w:eastAsia="等线" w:cs="Arial"/>
          <w:sz w:val="22"/>
        </w:rPr>
        <w:t>基于你的分析，你推荐未来赛季使用哪种方法？为什么？你是否建议纳入评委从排名最后的两对情侣中选择淘汰对象的额外方法？</w:t>
      </w:r>
    </w:p>
    <w:p w14:paraId="544FA52E">
      <w:pPr>
        <w:numPr>
          <w:ilvl w:val="0"/>
          <w:numId w:val="29"/>
        </w:numPr>
        <w:spacing w:before="120" w:after="120" w:line="288" w:lineRule="auto"/>
        <w:ind w:left="0"/>
        <w:jc w:val="left"/>
        <w:outlineLvl w:val="9"/>
      </w:pPr>
      <w:r>
        <w:rPr>
          <w:rFonts w:ascii="Arial" w:hAnsi="Arial" w:eastAsia="等线" w:cs="Arial"/>
          <w:sz w:val="22"/>
        </w:rPr>
        <w:t>利用包括观众投票估算结果在内的数据，开发模型分析专业舞者以及数据中可用的名人特征（年龄、行业等）的影响。这些因素对名人在比赛中的表现影响有多大？它们对评委得分和观众投票的影响是否相同？</w:t>
      </w:r>
    </w:p>
    <w:p w14:paraId="4BFD1D44">
      <w:pPr>
        <w:numPr>
          <w:ilvl w:val="0"/>
          <w:numId w:val="30"/>
        </w:numPr>
        <w:spacing w:before="120" w:after="120" w:line="288" w:lineRule="auto"/>
        <w:ind w:left="0"/>
        <w:jc w:val="left"/>
        <w:outlineLvl w:val="9"/>
      </w:pPr>
      <w:r>
        <w:rPr>
          <w:rFonts w:ascii="Arial" w:hAnsi="Arial" w:eastAsia="等线" w:cs="Arial"/>
          <w:sz w:val="22"/>
        </w:rPr>
        <w:t>提出另一种每周结合观众投票和评委得分的系统，你认为该系统更“公平”（或在其他方面更优，如让节目对观众更具吸引力）。说明你的方法应被节目制作方采用的理由。</w:t>
      </w:r>
    </w:p>
    <w:p w14:paraId="23EAE5A3">
      <w:pPr>
        <w:spacing w:before="120" w:after="120" w:line="288" w:lineRule="auto"/>
        <w:ind w:left="0"/>
        <w:jc w:val="left"/>
        <w:outlineLvl w:val="9"/>
      </w:pPr>
      <w:r>
        <w:rPr>
          <w:rFonts w:ascii="Arial" w:hAnsi="Arial" w:eastAsia="等线" w:cs="Arial"/>
          <w:sz w:val="22"/>
        </w:rPr>
        <w:t>提交一份不超过25页的报告，包含你的研究结果，并附上一份1-2页的备忘录，总结你的结果，为《与星共舞》的制作方提供关于评委和观众投票组合方式影响的建议，以及未来赛季的实施建议。</w:t>
      </w:r>
    </w:p>
    <w:p w14:paraId="7D2B5738">
      <w:pPr>
        <w:spacing w:before="300" w:after="120" w:line="288" w:lineRule="auto"/>
        <w:ind w:left="0"/>
        <w:jc w:val="left"/>
        <w:outlineLvl w:val="2"/>
      </w:pPr>
      <w:bookmarkStart w:id="8" w:name="heading_8"/>
      <w:r>
        <w:rPr>
          <w:rFonts w:ascii="Arial" w:hAnsi="Arial" w:eastAsia="等线" w:cs="Arial"/>
          <w:b/>
          <w:sz w:val="30"/>
        </w:rPr>
        <w:t>ICM Problem D：体育赛事的成功管理</w:t>
      </w:r>
      <w:bookmarkEnd w:id="8"/>
    </w:p>
    <w:p w14:paraId="53CC36D2">
      <w:pPr>
        <w:spacing w:before="120" w:after="120" w:line="288" w:lineRule="auto"/>
        <w:ind w:left="0"/>
        <w:jc w:val="left"/>
      </w:pPr>
      <w:r>
        <w:rPr>
          <w:rFonts w:ascii="Arial" w:hAnsi="Arial" w:eastAsia="等线" w:cs="Arial"/>
          <w:sz w:val="22"/>
        </w:rPr>
        <w:t>“球员的职责是帮助球队获胜。”——克里夫·布劳，棒球历史学家和统计学家</w:t>
      </w:r>
    </w:p>
    <w:p w14:paraId="1B97EE6F">
      <w:pPr>
        <w:spacing w:before="120" w:after="120" w:line="288" w:lineRule="auto"/>
        <w:ind w:left="0"/>
        <w:jc w:val="left"/>
      </w:pPr>
      <w:r>
        <w:rPr>
          <w:rFonts w:ascii="Arial" w:hAnsi="Arial" w:eastAsia="等线" w:cs="Arial"/>
          <w:sz w:val="22"/>
        </w:rPr>
        <w:t>“球员的职责是为老板赚钱。”——所有体育球队老板</w:t>
      </w:r>
    </w:p>
    <w:p w14:paraId="4563747A">
      <w:pPr>
        <w:spacing w:before="120" w:after="120" w:line="288" w:lineRule="auto"/>
        <w:ind w:left="0"/>
        <w:jc w:val="left"/>
      </w:pPr>
      <w:r>
        <w:rPr>
          <w:rFonts w:ascii="Arial" w:hAnsi="Arial" w:eastAsia="等线" w:cs="Arial"/>
          <w:sz w:val="22"/>
        </w:rPr>
        <w:t>球迷往往关注赛场上的球员，但这只是体育商业冰山一角。体育首先是一种娱乐形式。娱乐是盈利性产业，球员的聘用主要为此目的服务。通常，观赏性体育的球迷忽视体育的盈利目的，而倾向于关注比赛本身及其参与者。然而，在职业体育商业中，首要目标是为老板赚钱，而非必然赢得比赛。尽管这两个目标可能相关（因为获胜会增加球队的关注度），但还涉及其他因素。对于某些体育球队而言，存在机会与风险并存的关键时期——例如美国女子国家篮球协会（WNBA）球队今年的情况。WNBA是美国最具影响力的女子职业篮球联赛，由于多种原因（尤其是球迷关注度的提高），WNBA球队希望利用媒体关注度提升、新球队特许经营、更大场馆和新数字平台等机遇，从高风险的初创企业发展成为大型娱乐企业，增加收入。该联赛的老板需要利用体育分析在赛场上取得成功，同时利用财务建模实现企业利润表的显著财务收益。</w:t>
      </w:r>
    </w:p>
    <w:p w14:paraId="0F58181D">
      <w:pPr>
        <w:spacing w:before="120" w:after="120" w:line="288" w:lineRule="auto"/>
        <w:ind w:left="0"/>
        <w:jc w:val="left"/>
      </w:pPr>
      <w:r>
        <w:rPr>
          <w:rFonts w:ascii="Arial" w:hAnsi="Arial" w:eastAsia="等线" w:cs="Arial"/>
          <w:sz w:val="22"/>
        </w:rPr>
        <w:t>体育界的球员（以及球队业务的其他员工）应该因其带来胜利的表现获得更多报酬，还是因其为球队老板创造利润的贡献获得更多报酬？有时，球员的体育表现与利润直接相关，但并非总是如此。有些球员可能更多地凭借受欢迎程度而非表现吸引球迷。这些球员可能比表现水平更高的球员带来更多的门票、停车、餐饮和球衣收入。财务和体育分析模型需要相互结合，以助力球队做出良好决策。</w:t>
      </w:r>
    </w:p>
    <w:p w14:paraId="52CC2426">
      <w:pPr>
        <w:spacing w:before="120" w:after="120" w:line="288" w:lineRule="auto"/>
        <w:ind w:left="0"/>
        <w:jc w:val="left"/>
      </w:pPr>
      <w:r>
        <w:rPr>
          <w:rFonts w:ascii="Arial" w:hAnsi="Arial" w:eastAsia="等线" w:cs="Arial"/>
          <w:sz w:val="22"/>
        </w:rPr>
        <w:t>在体育分析这一新兴领域中，存在各类大量的表现数据，但构建量化球员天赋和表现价值的统计数据仍面临挑战（测量何种统计数据、如何测量、何时测量）。有些球员比其他球员更容易受伤。这如何影响球员价值？有些球员的个性使其更受欢迎和具吸引力，从而带来财务收益。背景和时机至关重要——有些球员即使表现平平，也能在比赛的重要时刻或赛季的关键时期发挥作用。必须考虑时间因素，衡量球员/员工在实现球队目标方面的未来潜力。有些角色可能基于表现或技能，而其他角色则更多通过努力和毅力完成。</w:t>
      </w:r>
    </w:p>
    <w:p w14:paraId="732B86A3">
      <w:pPr>
        <w:spacing w:before="120" w:after="120" w:line="288" w:lineRule="auto"/>
        <w:ind w:left="0"/>
        <w:jc w:val="left"/>
      </w:pPr>
      <w:r>
        <w:rPr>
          <w:rFonts w:ascii="Arial" w:hAnsi="Arial" w:eastAsia="等线" w:cs="Arial"/>
          <w:sz w:val="22"/>
        </w:rPr>
        <w:t>除球队地理位置外，球员或球队的认知度、受欢迎程度、时机和营销也可能发挥重要作用。大型市场的球队通常与小型市场的球队有着不同的体育环境和目标。这些差异影响老板如何实现盈利以及招募球员和员工。建模是否能帮助老板制定报价、谈判和签订合同的方法？</w:t>
      </w:r>
    </w:p>
    <w:p w14:paraId="28C3F1FD">
      <w:pPr>
        <w:spacing w:before="120" w:after="120" w:line="288" w:lineRule="auto"/>
        <w:ind w:left="0"/>
        <w:jc w:val="left"/>
      </w:pPr>
      <w:r>
        <w:rPr>
          <w:rFonts w:ascii="Arial" w:hAnsi="Arial" w:eastAsia="等线" w:cs="Arial"/>
          <w:sz w:val="22"/>
        </w:rPr>
        <w:t>球队存在许多完全或主要与财务相关的问题，正如存在许多主要与体育相关的问题一样。在许多情况下，职业体育球队是联赛企业的特许经营部分，通常需要遵守联赛或政府制定的关于球员薪资和合同的额外规则和限制。这些规则旨在确保比赛的公平竞争，并维持一定程度的竞争平衡。一些职业体育采用薪资帽或奢侈税等制度来规范薪资。每个赛季，老板必须决定债务与股权的融资比例，以及是否值得承担为追求更好的球队表现而产生的相关额外成本所带来的风险。在体育商业世界中，收入、薪资、伤病、交易机会、税收、费用和利率等条件会随时间变化。如今，体育球队被视为优质资产，由于媒体交易利润丰厚、海量数据流和知识产权积累等财务和市场因素，许多体育项目的球队价值已远超历史水平。</w:t>
      </w:r>
    </w:p>
    <w:p w14:paraId="4316B282">
      <w:pPr>
        <w:spacing w:before="120" w:after="120" w:line="288" w:lineRule="auto"/>
        <w:ind w:left="0"/>
        <w:jc w:val="left"/>
      </w:pPr>
      <w:r>
        <w:rPr>
          <w:rFonts w:ascii="Arial" w:hAnsi="Arial" w:eastAsia="等线" w:cs="Arial"/>
          <w:sz w:val="22"/>
        </w:rPr>
        <w:t>作为一支体育球队的建模团队，你的ICM团队可以选择一支球队（你选择的球队必须至少有5名球员同时协同作战，且属于某个职业联赛），使用公开可用的体育和财务数据，为该球队下一个赛季构建商业和管理模型。</w:t>
      </w:r>
    </w:p>
    <w:p w14:paraId="630AA55B">
      <w:pPr>
        <w:spacing w:before="120" w:after="120" w:line="288" w:lineRule="auto"/>
        <w:ind w:left="0"/>
        <w:jc w:val="left"/>
      </w:pPr>
      <w:r>
        <w:rPr>
          <w:rFonts w:ascii="Arial" w:hAnsi="Arial" w:eastAsia="等线" w:cs="Arial"/>
          <w:sz w:val="22"/>
        </w:rPr>
        <w:t>如前所述，此类建模工作极具价值的一个例子是WNBA正在经历重大的财务变革——收视率创纪录、球队特许经营价值上升，球员对福利的期望也显著提高。目前，球队与球员之间关于收入分成协议的谈判和诉求是关键争议点。在即将到来的赛季中，球队老板有机会重塑和改善其业务，否则可能面临出售球队或承担巨额债务的风险。这些问题使得可靠的财务和体育建模对这些球队当前和未来的老板而言至关重要。你可以选择WNBA球队，但并非必须。</w:t>
      </w:r>
    </w:p>
    <w:p w14:paraId="24BC1A3B">
      <w:pPr>
        <w:spacing w:before="300" w:after="120" w:line="288" w:lineRule="auto"/>
        <w:ind w:left="0"/>
        <w:jc w:val="left"/>
        <w:outlineLvl w:val="9"/>
      </w:pPr>
      <w:bookmarkStart w:id="9" w:name="heading_9"/>
      <w:r>
        <w:rPr>
          <w:rFonts w:ascii="Arial" w:hAnsi="Arial" w:eastAsia="等线" w:cs="Arial"/>
          <w:b/>
          <w:sz w:val="30"/>
        </w:rPr>
        <w:t>需要考虑的问题：</w:t>
      </w:r>
      <w:bookmarkEnd w:id="9"/>
    </w:p>
    <w:p w14:paraId="59F7D874">
      <w:pPr>
        <w:numPr>
          <w:ilvl w:val="0"/>
          <w:numId w:val="31"/>
        </w:numPr>
        <w:spacing w:before="120" w:after="120" w:line="288" w:lineRule="auto"/>
        <w:ind w:left="0"/>
        <w:jc w:val="left"/>
        <w:outlineLvl w:val="9"/>
      </w:pPr>
      <w:r>
        <w:rPr>
          <w:rFonts w:ascii="Arial" w:hAnsi="Arial" w:eastAsia="等线" w:cs="Arial"/>
          <w:sz w:val="22"/>
        </w:rPr>
        <w:t>设计一个动态决策模型，帮助你的球队老板和总经理根据不断变化的球队表现和经济条件调整其策略。目标是在管理球队结构和表现的同时，最大化球队利润和价值。该模型应包括管理团队在业务运营和球队运营方面的优先级和行动，并构建有助于老板在当前及未来赛季做出决策的系统。</w:t>
      </w:r>
    </w:p>
    <w:p w14:paraId="7BE351F8">
      <w:pPr>
        <w:numPr>
          <w:ilvl w:val="0"/>
          <w:numId w:val="32"/>
        </w:numPr>
        <w:spacing w:before="120" w:after="120" w:line="288" w:lineRule="auto"/>
        <w:ind w:left="0"/>
        <w:jc w:val="left"/>
        <w:outlineLvl w:val="9"/>
      </w:pPr>
      <w:r>
        <w:rPr>
          <w:rFonts w:ascii="Arial" w:hAnsi="Arial" w:eastAsia="等线" w:cs="Arial"/>
          <w:sz w:val="22"/>
        </w:rPr>
        <w:t>根据球队需求和你的模型，利用球队所在联赛的标准做法（如选秀、自由球员签约、交易、转会费或其他标准做法），制定下赛季的球员招募策略。你可能需要考虑如何从球队老板的利润角度评估球员价值或球队动态。利用模型结果，讨论你的策略在业务方面的优势和劣势。</w:t>
      </w:r>
    </w:p>
    <w:p w14:paraId="6D57F9FD">
      <w:pPr>
        <w:numPr>
          <w:ilvl w:val="0"/>
          <w:numId w:val="33"/>
        </w:numPr>
        <w:spacing w:before="120" w:after="120" w:line="288" w:lineRule="auto"/>
        <w:ind w:left="0"/>
        <w:jc w:val="left"/>
        <w:outlineLvl w:val="9"/>
      </w:pPr>
      <w:r>
        <w:rPr>
          <w:rFonts w:ascii="Arial" w:hAnsi="Arial" w:eastAsia="等线" w:cs="Arial"/>
          <w:sz w:val="22"/>
        </w:rPr>
        <w:t>联赛制定的许多规则会影响单个球队的运营，例如薪资帽、球队阵容人数、赛程安排（赛季中比赛的数量、顺序、地点和日期，进而影响休息天数）、媒体合同和权利、收入分配等。如果联赛正在扩大特许经营球队数量（如WNBA），可能会影响联赛中的所有球队。利用你的模型确定在联赛扩张的赛季中，你的球队策略应如何偏离初始策略。新球队的地理位置如何影响你的模型和由此产生的策略？明确新球队的地理位置对球队老板和位置而言，哪些情况特别不利或有利。</w:t>
      </w:r>
    </w:p>
    <w:p w14:paraId="0F3208D6">
      <w:pPr>
        <w:numPr>
          <w:ilvl w:val="0"/>
          <w:numId w:val="34"/>
        </w:numPr>
        <w:spacing w:before="120" w:after="120" w:line="288" w:lineRule="auto"/>
        <w:ind w:left="0"/>
        <w:jc w:val="left"/>
        <w:outlineLvl w:val="9"/>
      </w:pPr>
      <w:r>
        <w:rPr>
          <w:rFonts w:ascii="Arial" w:hAnsi="Arial" w:eastAsia="等线" w:cs="Arial"/>
          <w:sz w:val="22"/>
        </w:rPr>
        <w:t>考虑另一项额外的业务决策，利用你的模型为你的球队设计最佳策略。示例包括但不限于：</w:t>
      </w:r>
    </w:p>
    <w:p w14:paraId="52E70A14">
      <w:pPr>
        <w:numPr>
          <w:ilvl w:val="0"/>
          <w:numId w:val="35"/>
        </w:numPr>
        <w:spacing w:before="120" w:after="120" w:line="288" w:lineRule="auto"/>
        <w:ind w:left="453"/>
        <w:jc w:val="left"/>
        <w:outlineLvl w:val="9"/>
      </w:pPr>
      <w:r>
        <w:rPr>
          <w:rFonts w:ascii="Arial" w:hAnsi="Arial" w:eastAsia="等线" w:cs="Arial"/>
          <w:sz w:val="22"/>
        </w:rPr>
        <w:t>门票销售受场馆规模、一年中的时间、球队（己方和对手）受欢迎程度、球队市场规模和其他因素的影响很大。球队可能选择最大化每场比赛的门票销售收入，或降低价格以提高上座率，从而有可能将部分观众转化为季票持有者。你如何确定整个赛季的最优门票定价策略？</w:t>
      </w:r>
    </w:p>
    <w:p w14:paraId="0B116AD9">
      <w:pPr>
        <w:numPr>
          <w:ilvl w:val="0"/>
          <w:numId w:val="36"/>
        </w:numPr>
        <w:spacing w:before="120" w:after="120" w:line="288" w:lineRule="auto"/>
        <w:ind w:left="453"/>
        <w:jc w:val="left"/>
        <w:outlineLvl w:val="9"/>
      </w:pPr>
      <w:r>
        <w:rPr>
          <w:rFonts w:ascii="Arial" w:hAnsi="Arial" w:eastAsia="等线" w:cs="Arial"/>
          <w:sz w:val="22"/>
        </w:rPr>
        <w:t>球队的比赛场馆可能是租赁的或自有产权的，需要维护、翻新甚至建造新场馆。当这是一个短期决策时，你如何平衡场馆的长期成本？</w:t>
      </w:r>
    </w:p>
    <w:p w14:paraId="2F46E28D">
      <w:pPr>
        <w:numPr>
          <w:ilvl w:val="0"/>
          <w:numId w:val="37"/>
        </w:numPr>
        <w:spacing w:before="120" w:after="120" w:line="288" w:lineRule="auto"/>
        <w:ind w:left="453"/>
        <w:jc w:val="left"/>
        <w:outlineLvl w:val="9"/>
      </w:pPr>
      <w:r>
        <w:rPr>
          <w:rFonts w:ascii="Arial" w:hAnsi="Arial" w:eastAsia="等线" w:cs="Arial"/>
          <w:sz w:val="22"/>
        </w:rPr>
        <w:t>球员股权所有权可能是补贴高额薪资的一种策略，例如收入分成（单赛季）、利润分成（奖金）、决策者（作为工会或集体谈判的一部分）、长期股权（部分所有权）或其他方法。球员股权方案需要足够有吸引力以让球员接受，但又不能损害未来的融资选择。你如何确定向哪些球员（如果有的话）提供股权以及提供多少股权？</w:t>
      </w:r>
    </w:p>
    <w:p w14:paraId="51679A21">
      <w:pPr>
        <w:numPr>
          <w:ilvl w:val="0"/>
          <w:numId w:val="38"/>
        </w:numPr>
        <w:spacing w:before="120" w:after="120" w:line="288" w:lineRule="auto"/>
        <w:ind w:left="453"/>
        <w:jc w:val="left"/>
        <w:outlineLvl w:val="9"/>
      </w:pPr>
      <w:r>
        <w:rPr>
          <w:rFonts w:ascii="Arial" w:hAnsi="Arial" w:eastAsia="等线" w:cs="Arial"/>
          <w:sz w:val="22"/>
        </w:rPr>
        <w:t>媒体交易是收入、球迷参与度和品牌建设的重要来源，通常具有很高的参与度和广告潜力。虽然联赛通常签订全国性交易，但球队有时可以自行洽谈本地交易或流媒体服务。你的球队是否需要改善或改变其媒体曝光度？</w:t>
      </w:r>
    </w:p>
    <w:p w14:paraId="3F81E36C">
      <w:pPr>
        <w:numPr>
          <w:ilvl w:val="0"/>
          <w:numId w:val="39"/>
        </w:numPr>
        <w:spacing w:before="120" w:after="120" w:line="288" w:lineRule="auto"/>
        <w:ind w:left="453"/>
        <w:jc w:val="left"/>
        <w:outlineLvl w:val="9"/>
      </w:pPr>
      <w:r>
        <w:rPr>
          <w:rFonts w:ascii="Arial" w:hAnsi="Arial" w:eastAsia="等线" w:cs="Arial"/>
          <w:sz w:val="22"/>
        </w:rPr>
        <w:t>分区或联盟结构通常由联赛决定，通过让竞争对手更频繁地比赛可以建立或利用竞争关系。是否有方法可以重新配置联赛结构和赛程以增加你的球队的利润？</w:t>
      </w:r>
    </w:p>
    <w:p w14:paraId="63501730">
      <w:pPr>
        <w:numPr>
          <w:ilvl w:val="0"/>
          <w:numId w:val="40"/>
        </w:numPr>
        <w:spacing w:before="120" w:after="120" w:line="288" w:lineRule="auto"/>
        <w:ind w:left="453"/>
        <w:jc w:val="left"/>
        <w:outlineLvl w:val="9"/>
      </w:pPr>
      <w:r>
        <w:rPr>
          <w:rFonts w:ascii="Arial" w:hAnsi="Arial" w:eastAsia="等线" w:cs="Arial"/>
          <w:sz w:val="22"/>
        </w:rPr>
        <w:t>确定一个适用于你的球队或体育项目的其他问题，利用你的模型帮助决策该问题，以改善球队表现或老板利润。</w:t>
      </w:r>
    </w:p>
    <w:p w14:paraId="6A712B9E">
      <w:pPr>
        <w:numPr>
          <w:ilvl w:val="0"/>
          <w:numId w:val="41"/>
        </w:numPr>
        <w:spacing w:before="120" w:after="120" w:line="288" w:lineRule="auto"/>
        <w:ind w:left="0"/>
        <w:jc w:val="left"/>
        <w:outlineLvl w:val="9"/>
      </w:pPr>
      <w:r>
        <w:rPr>
          <w:rFonts w:ascii="Arial" w:hAnsi="Arial" w:eastAsia="等线" w:cs="Arial"/>
          <w:sz w:val="22"/>
        </w:rPr>
        <w:t>当核心球员受伤时，你的模型如何帮助管理层进行调整？</w:t>
      </w:r>
    </w:p>
    <w:p w14:paraId="103A1799">
      <w:pPr>
        <w:numPr>
          <w:ilvl w:val="0"/>
          <w:numId w:val="42"/>
        </w:numPr>
        <w:spacing w:before="120" w:after="120" w:line="288" w:lineRule="auto"/>
        <w:ind w:left="0"/>
        <w:jc w:val="left"/>
        <w:outlineLvl w:val="9"/>
      </w:pPr>
      <w:r>
        <w:rPr>
          <w:rFonts w:ascii="Arial" w:hAnsi="Arial" w:eastAsia="等线" w:cs="Arial"/>
          <w:sz w:val="22"/>
        </w:rPr>
        <w:t>向你的球队老板和总经理撰写一封1-2页的信件，总结你的推荐策略，讨论权衡和风险，并反思你的计划如何支持球队的竞技成功和财务健康。</w:t>
      </w:r>
    </w:p>
    <w:p w14:paraId="06DE10E8">
      <w:pPr>
        <w:spacing w:before="300" w:after="120" w:line="288" w:lineRule="auto"/>
        <w:ind w:left="0"/>
        <w:jc w:val="left"/>
        <w:outlineLvl w:val="2"/>
      </w:pPr>
      <w:bookmarkStart w:id="10" w:name="heading_10"/>
      <w:r>
        <w:rPr>
          <w:rFonts w:ascii="Arial" w:hAnsi="Arial" w:eastAsia="等线" w:cs="Arial"/>
          <w:b/>
          <w:sz w:val="30"/>
        </w:rPr>
        <w:t>ICM Problem E：被动式太阳能遮阳系统</w:t>
      </w:r>
      <w:bookmarkEnd w:id="10"/>
    </w:p>
    <w:p w14:paraId="759C654C">
      <w:pPr>
        <w:spacing w:before="300" w:after="120" w:line="288" w:lineRule="auto"/>
        <w:ind w:left="0"/>
        <w:jc w:val="left"/>
        <w:outlineLvl w:val="9"/>
      </w:pPr>
      <w:bookmarkStart w:id="11" w:name="heading_11"/>
      <w:r>
        <w:rPr>
          <w:rFonts w:ascii="Arial" w:hAnsi="Arial" w:eastAsia="等线" w:cs="Arial"/>
          <w:b/>
          <w:sz w:val="30"/>
        </w:rPr>
        <w:t>背景</w:t>
      </w:r>
      <w:bookmarkEnd w:id="11"/>
    </w:p>
    <w:p w14:paraId="7A27FB07">
      <w:pPr>
        <w:spacing w:before="120" w:after="120" w:line="288" w:lineRule="auto"/>
        <w:ind w:left="0"/>
        <w:jc w:val="left"/>
        <w:outlineLvl w:val="9"/>
      </w:pPr>
      <w:r>
        <w:rPr>
          <w:rFonts w:ascii="Arial" w:hAnsi="Arial" w:eastAsia="等线" w:cs="Arial"/>
          <w:sz w:val="22"/>
        </w:rPr>
        <w:t>被动式太阳能遮阳系统已成为住宅和商业建筑改造或新建的常见组成部分。它成本相对较低，并能节省供暖和制冷成本。遮阳系统设计用于阻挡夏季阳光进入建筑，同时允许冬季阳光进入并加热热质体（thermal mass），热质体可在数小时后重新辐射热量。挑檐、植被遮阳、百叶窗系统和高性能玻璃等策略可以在高温期间减少建筑的热量吸收。</w:t>
      </w:r>
    </w:p>
    <w:p w14:paraId="41679C6F">
      <w:pPr>
        <w:spacing w:before="120" w:after="120" w:line="288" w:lineRule="auto"/>
        <w:ind w:left="0"/>
        <w:jc w:val="left"/>
        <w:outlineLvl w:val="9"/>
      </w:pPr>
      <w:r>
        <w:rPr>
          <w:rFonts w:ascii="Arial" w:hAnsi="Arial" w:eastAsia="等线" w:cs="Arial"/>
          <w:sz w:val="22"/>
        </w:rPr>
        <w:t>被动式太阳能遮阳系统因建筑朝向、建筑不同立面的窗户面积分布和气候而异。它还需要存在可被直射阳光加热的内部热质体。这种热质体可以是混凝土、石材、水或其他可储存热量的材料。热质体不仅能储存热量，还能减少全天的温度波动。</w:t>
      </w:r>
    </w:p>
    <w:p w14:paraId="77094BCE">
      <w:pPr>
        <w:spacing w:before="120" w:after="120" w:line="288" w:lineRule="auto"/>
        <w:ind w:left="0"/>
        <w:jc w:val="left"/>
        <w:outlineLvl w:val="9"/>
      </w:pPr>
      <w:r>
        <w:rPr>
          <w:rFonts w:ascii="Arial" w:hAnsi="Arial" w:eastAsia="等线" w:cs="Arial"/>
          <w:sz w:val="22"/>
        </w:rPr>
        <w:t>这些技术利用太阳可预测的运行轨迹（通过太阳位置计算器确定）、材料、几何形状和自然环境条件来维持舒适度并降低能耗。然而，典型的计算仅利用夏至和冬至日太阳正午时分的太阳高度角来计算窗户上方遮阳系统的最佳延伸长度，如图1所示。这是对该问题的简化看法，未来的指标必须更好地考虑变化因素。</w:t>
      </w:r>
    </w:p>
    <w:p w14:paraId="77585E76">
      <w:pPr>
        <w:spacing w:before="300" w:after="120" w:line="288" w:lineRule="auto"/>
        <w:ind w:left="0"/>
        <w:jc w:val="left"/>
        <w:outlineLvl w:val="9"/>
      </w:pPr>
      <w:bookmarkStart w:id="12" w:name="heading_12"/>
      <w:r>
        <w:rPr>
          <w:rFonts w:ascii="Arial" w:hAnsi="Arial" w:eastAsia="等线" w:cs="Arial"/>
          <w:b/>
          <w:sz w:val="30"/>
        </w:rPr>
        <w:t>场景</w:t>
      </w:r>
      <w:bookmarkEnd w:id="12"/>
    </w:p>
    <w:p w14:paraId="6564983A">
      <w:pPr>
        <w:spacing w:before="120" w:after="120" w:line="288" w:lineRule="auto"/>
        <w:ind w:left="0"/>
        <w:jc w:val="left"/>
        <w:outlineLvl w:val="9"/>
      </w:pPr>
      <w:r>
        <w:rPr>
          <w:rFonts w:ascii="Arial" w:hAnsi="Arial" w:eastAsia="等线" w:cs="Arial"/>
          <w:sz w:val="22"/>
        </w:rPr>
        <w:t>你受雇于天体物理防护联合组织（COMAP），为虚构的桑格罗夫大学（Sungrove University）和博雷alis大学（Borealis University）开发下一代太阳能遮阳策略。</w:t>
      </w:r>
    </w:p>
    <w:p w14:paraId="4A9F7648">
      <w:pPr>
        <w:spacing w:before="120" w:after="120" w:line="288" w:lineRule="auto"/>
        <w:ind w:left="0"/>
        <w:jc w:val="left"/>
        <w:outlineLvl w:val="9"/>
      </w:pPr>
      <w:r>
        <w:rPr>
          <w:rFonts w:ascii="Arial" w:hAnsi="Arial" w:eastAsia="等线" w:cs="Arial"/>
          <w:sz w:val="22"/>
        </w:rPr>
        <w:t>虚构的桑格罗夫大学位于温暖的低纬度地区，太阳辐射强，热浪日益频繁，该校正计划对其主学术广场进行重大改造。该校园目前面临制冷成本过高和教室眩光的问题。大学领导层已决定到2040年实现净零制冷目标。</w:t>
      </w:r>
    </w:p>
    <w:p w14:paraId="3BF54E80">
      <w:pPr>
        <w:spacing w:before="120" w:after="120" w:line="288" w:lineRule="auto"/>
        <w:ind w:left="0"/>
        <w:jc w:val="left"/>
        <w:outlineLvl w:val="9"/>
      </w:pPr>
      <w:r>
        <w:rPr>
          <w:rFonts w:ascii="Arial" w:hAnsi="Arial" w:eastAsia="等线" w:cs="Arial"/>
          <w:sz w:val="22"/>
        </w:rPr>
        <w:t>值得注意的是，桑格罗夫大学计划对其北学术楼（Academic Hall North）进行改造。这是一栋两层的教室和办公楼，内部布局包括外围办公室、教室和内部走廊。建筑呈矩形平面（60米×24米），长边呈东西走向，如图2所示。外立面由双层玻璃和砖 veneer 组成，南侧的平均窗墙比为45%，其余立面为30%。该建筑夏季依赖机械制冷，冬季依赖热水供暖，仅采用有限的被动式策略。你可以自行设想这座虚构建筑的其他特征，并在给COMAP的报告中明确说明这些特征。</w:t>
      </w:r>
    </w:p>
    <w:p w14:paraId="0884596A">
      <w:pPr>
        <w:spacing w:before="120" w:after="120" w:line="288" w:lineRule="auto"/>
        <w:ind w:left="0"/>
        <w:jc w:val="left"/>
        <w:outlineLvl w:val="9"/>
      </w:pPr>
      <w:r>
        <w:rPr>
          <w:rFonts w:ascii="Arial" w:hAnsi="Arial" w:eastAsia="等线" w:cs="Arial"/>
          <w:sz w:val="22"/>
        </w:rPr>
        <w:t>此外，COMAP还受雇于虚构的博雷alis大学，该校位于高纬度地区，冬季气温连续数月低于冰点，日照时间有限，建筑供暖需求大。</w:t>
      </w:r>
    </w:p>
    <w:p w14:paraId="041E224B">
      <w:pPr>
        <w:spacing w:before="120" w:after="120" w:line="288" w:lineRule="auto"/>
        <w:ind w:left="0"/>
        <w:jc w:val="left"/>
        <w:outlineLvl w:val="9"/>
      </w:pPr>
      <w:r>
        <w:rPr>
          <w:rFonts w:ascii="Arial" w:hAnsi="Arial" w:eastAsia="等线" w:cs="Arial"/>
          <w:sz w:val="22"/>
        </w:rPr>
        <w:t>桑格罗夫大学和博雷alis大学均计划新建一座学生会大楼，作为校园活动的中心。两所大学均要求其新学生会大楼主要依靠被动式太阳能遮阳系统，而非机械制冷系统。大学希望其学生会大楼成为未来发展的原型，这意味着其被动式太阳能策略设计不仅要在当下表现良好，还要在未来的预测气候条件下长期有效。</w:t>
      </w:r>
    </w:p>
    <w:p w14:paraId="5EDEC9F0">
      <w:pPr>
        <w:spacing w:before="120" w:after="120" w:line="288" w:lineRule="auto"/>
        <w:ind w:left="0"/>
        <w:jc w:val="left"/>
        <w:outlineLvl w:val="9"/>
      </w:pPr>
      <w:r>
        <w:rPr>
          <w:rFonts w:ascii="Arial" w:hAnsi="Arial" w:eastAsia="等线" w:cs="Arial"/>
          <w:sz w:val="22"/>
        </w:rPr>
        <w:t>除背景中概述的标准遮阳方法外，为协助这两所虚构大学，你应扩展你的思路，包括：</w:t>
      </w:r>
    </w:p>
    <w:p w14:paraId="387C03B4">
      <w:pPr>
        <w:numPr>
          <w:ilvl w:val="0"/>
          <w:numId w:val="43"/>
        </w:numPr>
        <w:spacing w:before="120" w:after="120" w:line="288" w:lineRule="auto"/>
        <w:ind w:left="0"/>
        <w:jc w:val="left"/>
        <w:outlineLvl w:val="9"/>
      </w:pPr>
      <w:r>
        <w:rPr>
          <w:rFonts w:ascii="Arial" w:hAnsi="Arial" w:eastAsia="等线" w:cs="Arial"/>
          <w:sz w:val="22"/>
        </w:rPr>
        <w:t>全天的遮阳需求，而非仅考虑太阳正午时分；</w:t>
      </w:r>
    </w:p>
    <w:p w14:paraId="29622053">
      <w:pPr>
        <w:numPr>
          <w:ilvl w:val="0"/>
          <w:numId w:val="44"/>
        </w:numPr>
        <w:spacing w:before="120" w:after="120" w:line="288" w:lineRule="auto"/>
        <w:ind w:left="0"/>
        <w:jc w:val="left"/>
        <w:outlineLvl w:val="9"/>
      </w:pPr>
      <w:r>
        <w:rPr>
          <w:rFonts w:ascii="Arial" w:hAnsi="Arial" w:eastAsia="等线" w:cs="Arial"/>
          <w:sz w:val="22"/>
        </w:rPr>
        <w:t>不同尺寸和形状的窗户；</w:t>
      </w:r>
    </w:p>
    <w:p w14:paraId="4516314F">
      <w:pPr>
        <w:numPr>
          <w:ilvl w:val="0"/>
          <w:numId w:val="45"/>
        </w:numPr>
        <w:spacing w:before="120" w:after="120" w:line="288" w:lineRule="auto"/>
        <w:ind w:left="0"/>
        <w:jc w:val="left"/>
        <w:outlineLvl w:val="9"/>
      </w:pPr>
      <w:r>
        <w:rPr>
          <w:rFonts w:ascii="Arial" w:hAnsi="Arial" w:eastAsia="等线" w:cs="Arial"/>
          <w:sz w:val="22"/>
        </w:rPr>
        <w:t>并非完全朝向南/北的窗户（取决于半球）；</w:t>
      </w:r>
    </w:p>
    <w:p w14:paraId="5DC2DEB2">
      <w:pPr>
        <w:numPr>
          <w:ilvl w:val="0"/>
          <w:numId w:val="46"/>
        </w:numPr>
        <w:spacing w:before="120" w:after="120" w:line="288" w:lineRule="auto"/>
        <w:ind w:left="0"/>
        <w:jc w:val="left"/>
        <w:outlineLvl w:val="9"/>
      </w:pPr>
      <w:r>
        <w:rPr>
          <w:rFonts w:ascii="Arial" w:hAnsi="Arial" w:eastAsia="等线" w:cs="Arial"/>
          <w:sz w:val="22"/>
        </w:rPr>
        <w:t>与建筑风格匹配的不同类型和材料的遮阳系统。</w:t>
      </w:r>
    </w:p>
    <w:p w14:paraId="0E9298A9">
      <w:pPr>
        <w:spacing w:before="120" w:after="120" w:line="288" w:lineRule="auto"/>
        <w:ind w:left="0"/>
        <w:jc w:val="left"/>
        <w:outlineLvl w:val="9"/>
      </w:pPr>
      <w:r>
        <w:rPr>
          <w:rFonts w:ascii="Arial" w:hAnsi="Arial" w:eastAsia="等线" w:cs="Arial"/>
          <w:sz w:val="22"/>
        </w:rPr>
        <w:t>与任何新策略或模型一样，你不仅需要描述你的方法，还需要解释你的方案相比之前的标准方法所具有的优势。COMAP需要了解你的被动式太阳能遮阳策略如何在夏季更有效地减少校园建筑的热量吸收，同时在冬季仍能允许有益的阳光进入。</w:t>
      </w:r>
    </w:p>
    <w:p w14:paraId="5C7D2EE5">
      <w:pPr>
        <w:spacing w:before="300" w:after="120" w:line="288" w:lineRule="auto"/>
        <w:ind w:left="0"/>
        <w:jc w:val="left"/>
        <w:outlineLvl w:val="9"/>
      </w:pPr>
      <w:bookmarkStart w:id="13" w:name="heading_13"/>
      <w:r>
        <w:rPr>
          <w:rFonts w:ascii="Arial" w:hAnsi="Arial" w:eastAsia="等线" w:cs="Arial"/>
          <w:b/>
          <w:sz w:val="30"/>
        </w:rPr>
        <w:t>要求</w:t>
      </w:r>
      <w:bookmarkEnd w:id="13"/>
    </w:p>
    <w:p w14:paraId="08AC0898">
      <w:pPr>
        <w:numPr>
          <w:ilvl w:val="0"/>
          <w:numId w:val="47"/>
        </w:numPr>
        <w:spacing w:before="120" w:after="120" w:line="288" w:lineRule="auto"/>
        <w:ind w:left="0"/>
        <w:jc w:val="left"/>
        <w:outlineLvl w:val="9"/>
      </w:pPr>
      <w:r>
        <w:rPr>
          <w:rFonts w:ascii="Arial" w:hAnsi="Arial" w:eastAsia="等线" w:cs="Arial"/>
          <w:sz w:val="22"/>
        </w:rPr>
        <w:t>你的团队受COMAP委托，提供基于模型的可行性分析，确定桑格罗夫大学如何通过校园建筑改造中的被动式太阳能设计减少学年制冷负荷。为此，为桑格罗夫大学的北学术楼设计改造方案，优化整个学年的供暖和制冷效果。你将采用哪些被动式太阳能策略和建筑特征？如何评估其性能？</w:t>
      </w:r>
    </w:p>
    <w:p w14:paraId="16BE430D">
      <w:pPr>
        <w:numPr>
          <w:ilvl w:val="0"/>
          <w:numId w:val="48"/>
        </w:numPr>
        <w:spacing w:before="120" w:after="120" w:line="288" w:lineRule="auto"/>
        <w:ind w:left="0"/>
        <w:jc w:val="left"/>
        <w:outlineLvl w:val="9"/>
      </w:pPr>
      <w:r>
        <w:rPr>
          <w:rFonts w:ascii="Arial" w:hAnsi="Arial" w:eastAsia="等线" w:cs="Arial"/>
          <w:sz w:val="22"/>
        </w:rPr>
        <w:t>博雷alis大学有一栋与桑格罗夫大学北学术楼设计相似的建筑。如何扩展你为桑格罗夫大学设计的方案，将有效利用热质体的关键重要性纳入其中，为博雷alis大学提供被动式太阳能遮阳计划？你可能需要考虑建筑几何形状、材料选择、玻璃位置、内部热质体或其他方面，以最大化冬季热量吸收，同时避免暖季过热。</w:t>
      </w:r>
    </w:p>
    <w:p w14:paraId="373E920E">
      <w:pPr>
        <w:numPr>
          <w:ilvl w:val="0"/>
          <w:numId w:val="49"/>
        </w:numPr>
        <w:spacing w:before="120" w:after="120" w:line="288" w:lineRule="auto"/>
        <w:ind w:left="0"/>
        <w:jc w:val="left"/>
        <w:outlineLvl w:val="9"/>
      </w:pPr>
      <w:r>
        <w:rPr>
          <w:rFonts w:ascii="Arial" w:hAnsi="Arial" w:eastAsia="等线" w:cs="Arial"/>
          <w:sz w:val="22"/>
        </w:rPr>
        <w:t>桑格罗夫大学和博雷alis大学的改造设计模型仅适用于这两个虚构地点。调整你的模型，并讨论其他地点的设计考虑因素，包括纬度相似地区的不同供暖和制冷需求。</w:t>
      </w:r>
    </w:p>
    <w:p w14:paraId="78F9332A">
      <w:pPr>
        <w:numPr>
          <w:ilvl w:val="0"/>
          <w:numId w:val="50"/>
        </w:numPr>
        <w:spacing w:before="120" w:after="120" w:line="288" w:lineRule="auto"/>
        <w:ind w:left="0"/>
        <w:jc w:val="left"/>
        <w:outlineLvl w:val="9"/>
      </w:pPr>
      <w:r>
        <w:rPr>
          <w:rFonts w:ascii="Arial" w:hAnsi="Arial" w:eastAsia="等线" w:cs="Arial"/>
          <w:sz w:val="22"/>
        </w:rPr>
        <w:t>为桑格罗夫大学或博雷alis大学（二选一）的新学生会大楼设计被动式太阳能遮阳策略，以保持建筑温度适宜。描述你将用于长期评估性能的策略、建筑特征和建模方法。</w:t>
      </w:r>
    </w:p>
    <w:p w14:paraId="70DF416B">
      <w:pPr>
        <w:spacing w:before="120" w:after="120" w:line="288" w:lineRule="auto"/>
        <w:ind w:left="0"/>
        <w:jc w:val="left"/>
        <w:outlineLvl w:val="9"/>
      </w:pPr>
      <w:r>
        <w:rPr>
          <w:rFonts w:ascii="Arial" w:hAnsi="Arial" w:eastAsia="等线" w:cs="Arial"/>
          <w:sz w:val="22"/>
        </w:rPr>
        <w:t>你的分析中可能需要涉及以下方面：</w:t>
      </w:r>
    </w:p>
    <w:p w14:paraId="672EB385">
      <w:pPr>
        <w:numPr>
          <w:ilvl w:val="0"/>
          <w:numId w:val="51"/>
        </w:numPr>
        <w:spacing w:before="120" w:after="120" w:line="288" w:lineRule="auto"/>
        <w:ind w:left="0"/>
        <w:jc w:val="left"/>
        <w:outlineLvl w:val="9"/>
      </w:pPr>
      <w:r>
        <w:rPr>
          <w:rFonts w:ascii="Arial" w:hAnsi="Arial" w:eastAsia="等线" w:cs="Arial"/>
          <w:sz w:val="22"/>
        </w:rPr>
        <w:t>太阳热量吸收预测；</w:t>
      </w:r>
    </w:p>
    <w:p w14:paraId="362A3972">
      <w:pPr>
        <w:numPr>
          <w:ilvl w:val="0"/>
          <w:numId w:val="52"/>
        </w:numPr>
        <w:spacing w:before="120" w:after="120" w:line="288" w:lineRule="auto"/>
        <w:ind w:left="0"/>
        <w:jc w:val="left"/>
        <w:outlineLvl w:val="9"/>
      </w:pPr>
      <w:r>
        <w:rPr>
          <w:rFonts w:ascii="Arial" w:hAnsi="Arial" w:eastAsia="等线" w:cs="Arial"/>
          <w:sz w:val="22"/>
        </w:rPr>
        <w:t>供暖和/或制冷负荷减少估算；</w:t>
      </w:r>
    </w:p>
    <w:p w14:paraId="5ED81B4E">
      <w:pPr>
        <w:numPr>
          <w:ilvl w:val="0"/>
          <w:numId w:val="53"/>
        </w:numPr>
        <w:spacing w:before="120" w:after="120" w:line="288" w:lineRule="auto"/>
        <w:ind w:left="0"/>
        <w:jc w:val="left"/>
        <w:outlineLvl w:val="9"/>
      </w:pPr>
      <w:r>
        <w:rPr>
          <w:rFonts w:ascii="Arial" w:hAnsi="Arial" w:eastAsia="等线" w:cs="Arial"/>
          <w:sz w:val="22"/>
        </w:rPr>
        <w:t>季节性变化考量；</w:t>
      </w:r>
    </w:p>
    <w:p w14:paraId="220B6BCF">
      <w:pPr>
        <w:numPr>
          <w:ilvl w:val="0"/>
          <w:numId w:val="54"/>
        </w:numPr>
        <w:spacing w:before="120" w:after="120" w:line="288" w:lineRule="auto"/>
        <w:ind w:left="0"/>
        <w:jc w:val="left"/>
        <w:outlineLvl w:val="9"/>
      </w:pPr>
      <w:r>
        <w:rPr>
          <w:rFonts w:ascii="Arial" w:hAnsi="Arial" w:eastAsia="等线" w:cs="Arial"/>
          <w:sz w:val="22"/>
        </w:rPr>
        <w:t>采光需求与遮阳效果之间的权衡评估。</w:t>
      </w:r>
    </w:p>
    <w:p w14:paraId="006D4516">
      <w:pPr>
        <w:spacing w:before="120" w:after="120" w:line="288" w:lineRule="auto"/>
        <w:ind w:left="0"/>
        <w:jc w:val="left"/>
        <w:outlineLvl w:val="9"/>
      </w:pPr>
      <w:r>
        <w:rPr>
          <w:rFonts w:ascii="Arial" w:hAnsi="Arial" w:eastAsia="等线" w:cs="Arial"/>
          <w:sz w:val="22"/>
        </w:rPr>
        <w:t>向桑格罗夫大学或博雷alis大学（二选一）撰写一封1-2页的信件，概述他们在改造和新建建筑计划中纳入被动式太阳能遮阳系统应采取的步骤。</w:t>
      </w:r>
    </w:p>
    <w:p w14:paraId="1760C816">
      <w:pPr>
        <w:spacing w:before="300" w:after="120" w:line="288" w:lineRule="auto"/>
        <w:ind w:left="0"/>
        <w:jc w:val="left"/>
        <w:outlineLvl w:val="9"/>
        <w:rPr>
          <w:rFonts w:ascii="Arial" w:hAnsi="Arial" w:eastAsia="等线" w:cs="Arial"/>
          <w:b/>
          <w:sz w:val="30"/>
        </w:rPr>
      </w:pPr>
      <w:bookmarkStart w:id="14" w:name="heading_14"/>
    </w:p>
    <w:p w14:paraId="39B131D3">
      <w:pPr>
        <w:spacing w:before="300" w:after="120" w:line="288" w:lineRule="auto"/>
        <w:ind w:left="0"/>
        <w:jc w:val="left"/>
        <w:outlineLvl w:val="2"/>
      </w:pPr>
      <w:r>
        <w:rPr>
          <w:rFonts w:ascii="Arial" w:hAnsi="Arial" w:eastAsia="等线" w:cs="Arial"/>
          <w:b/>
          <w:sz w:val="30"/>
        </w:rPr>
        <w:t>ICM Problem F：生成式人工智能（Gen-AI）：用、不用还是如何用？这是个问题！</w:t>
      </w:r>
      <w:bookmarkEnd w:id="14"/>
    </w:p>
    <w:p w14:paraId="05F8B264">
      <w:pPr>
        <w:spacing w:before="120" w:after="120" w:line="288" w:lineRule="auto"/>
        <w:ind w:left="0"/>
        <w:jc w:val="left"/>
      </w:pPr>
      <w:r>
        <w:rPr>
          <w:rFonts w:ascii="Arial" w:hAnsi="Arial" w:eastAsia="等线" w:cs="Arial"/>
          <w:sz w:val="22"/>
        </w:rPr>
        <w:t>在短短几年内，生成式人工智能（Gen-AI）已从容量有限、仅被少数早期采用者使用的工具，发展成为嵌入我们日常生活的强大且不可或缺的资源。研究表明，随着时间的推移，生成式人工智能可能会影响未来的工作。例如，在某些领域，生成式人工智能可能取代人类（或大幅减少人类工作量），而其他领域可能不会受到太大影响，甚至可能实现增长。</w:t>
      </w:r>
    </w:p>
    <w:p w14:paraId="4BC85793">
      <w:pPr>
        <w:spacing w:before="120" w:after="120" w:line="288" w:lineRule="auto"/>
        <w:ind w:left="0"/>
        <w:jc w:val="left"/>
      </w:pPr>
      <w:r>
        <w:rPr>
          <w:rFonts w:ascii="Arial" w:hAnsi="Arial" w:eastAsia="等线" w:cs="Arial"/>
          <w:sz w:val="22"/>
        </w:rPr>
        <w:t>在本题中，你将探讨各类高等教育机构应如何更好地为未来毕业生应对这项新技术做好准备。具体而言，你需要完成以下任务：</w:t>
      </w:r>
    </w:p>
    <w:p w14:paraId="65495BDE">
      <w:pPr>
        <w:spacing w:before="120" w:after="120" w:line="288" w:lineRule="auto"/>
        <w:ind w:left="0"/>
        <w:jc w:val="left"/>
      </w:pPr>
      <w:r>
        <w:rPr>
          <w:rFonts w:ascii="Arial" w:hAnsi="Arial" w:eastAsia="等线" w:cs="Arial"/>
          <w:sz w:val="22"/>
        </w:rPr>
        <w:t>从以下三个类别中各选择一个职业：</w:t>
      </w:r>
    </w:p>
    <w:p w14:paraId="78EE9588">
      <w:pPr>
        <w:numPr>
          <w:ilvl w:val="0"/>
          <w:numId w:val="55"/>
        </w:numPr>
        <w:spacing w:before="120" w:after="120" w:line="288" w:lineRule="auto"/>
        <w:ind w:left="0"/>
        <w:jc w:val="left"/>
      </w:pPr>
      <w:r>
        <w:rPr>
          <w:rFonts w:ascii="Arial" w:hAnsi="Arial" w:eastAsia="等线" w:cs="Arial"/>
          <w:sz w:val="22"/>
        </w:rPr>
        <w:t>STEM职业：从事该职业的人员通常拥有科学、工程或数学领域的至少四年大学学位；</w:t>
      </w:r>
    </w:p>
    <w:p w14:paraId="4F541958">
      <w:pPr>
        <w:numPr>
          <w:ilvl w:val="0"/>
          <w:numId w:val="56"/>
        </w:numPr>
        <w:spacing w:before="120" w:after="120" w:line="288" w:lineRule="auto"/>
        <w:ind w:left="0"/>
        <w:jc w:val="left"/>
      </w:pPr>
      <w:r>
        <w:rPr>
          <w:rFonts w:ascii="Arial" w:hAnsi="Arial" w:eastAsia="等线" w:cs="Arial"/>
          <w:sz w:val="22"/>
        </w:rPr>
        <w:t>技术贸易职业：从事该职业的人员通常接受过职业学校培训和/或学徒项目，例如厨师、水管工和电工；</w:t>
      </w:r>
    </w:p>
    <w:p w14:paraId="6F1EB981">
      <w:pPr>
        <w:numPr>
          <w:ilvl w:val="0"/>
          <w:numId w:val="57"/>
        </w:numPr>
        <w:spacing w:before="120" w:after="120" w:line="288" w:lineRule="auto"/>
        <w:ind w:left="0"/>
        <w:jc w:val="left"/>
      </w:pPr>
      <w:r>
        <w:rPr>
          <w:rFonts w:ascii="Arial" w:hAnsi="Arial" w:eastAsia="等线" w:cs="Arial"/>
          <w:sz w:val="22"/>
        </w:rPr>
        <w:t>艺术职业：从事该职业的人员通常在艺术学校、音乐学院或文化中心学习过，例如音乐家、舞蹈家和画家。</w:t>
      </w:r>
    </w:p>
    <w:p w14:paraId="24AE6EC7">
      <w:pPr>
        <w:spacing w:before="120" w:after="120" w:line="288" w:lineRule="auto"/>
        <w:ind w:left="0"/>
        <w:jc w:val="left"/>
      </w:pPr>
      <w:r>
        <w:rPr>
          <w:rFonts w:ascii="Arial" w:hAnsi="Arial" w:eastAsia="等线" w:cs="Arial"/>
          <w:sz w:val="22"/>
        </w:rPr>
        <w:t>基于生成式人工智能当前的发展轨迹和预期影响，开发一个数据驱动的模型，探索你选择的三个职业的未来发展。务必明确你的数据来源，以及你认为生成式人工智能将改变该职业的驱动因素背后的推理。注意：你可以利用现有的关于未来工作的研究，但必须引用来源，并解释你如何利用已有的研究为你的分析提供信息。</w:t>
      </w:r>
    </w:p>
    <w:p w14:paraId="5CEED790">
      <w:pPr>
        <w:spacing w:before="120" w:after="120" w:line="288" w:lineRule="auto"/>
        <w:ind w:left="0"/>
        <w:jc w:val="left"/>
      </w:pPr>
      <w:r>
        <w:rPr>
          <w:rFonts w:ascii="Arial" w:hAnsi="Arial" w:eastAsia="等线" w:cs="Arial"/>
          <w:sz w:val="22"/>
        </w:rPr>
        <w:t>为你分析的每个职业确定一所特定的高等教育机构和学习项目（一所大学、一所职业学校、一所艺术学校），并据此聚焦你的建议。换句话说，你需要提供三组建议，回答以下问题：基于你的分析，你会如何建议这些机构的领导者在针对你所分析的职业的项目中应对生成式人工智能？</w:t>
      </w:r>
    </w:p>
    <w:p w14:paraId="7B50481C">
      <w:pPr>
        <w:spacing w:before="120" w:after="120" w:line="288" w:lineRule="auto"/>
        <w:ind w:left="0"/>
        <w:jc w:val="left"/>
      </w:pPr>
      <w:r>
        <w:rPr>
          <w:rFonts w:ascii="Arial" w:hAnsi="Arial" w:eastAsia="等线" w:cs="Arial"/>
          <w:sz w:val="22"/>
        </w:rPr>
        <w:t>以下仅为一些思考方向，团队无需尝试涵盖所有这些想法，而是应将其作为灵感，进行有说服力且全面的分析，不同团队的分析应有所不同。</w:t>
      </w:r>
    </w:p>
    <w:p w14:paraId="7513843E">
      <w:pPr>
        <w:numPr>
          <w:ilvl w:val="0"/>
          <w:numId w:val="58"/>
        </w:numPr>
        <w:spacing w:before="120" w:after="120" w:line="288" w:lineRule="auto"/>
        <w:ind w:left="0"/>
        <w:jc w:val="left"/>
      </w:pPr>
      <w:r>
        <w:rPr>
          <w:rFonts w:ascii="Arial" w:hAnsi="Arial" w:eastAsia="等线" w:cs="Arial"/>
          <w:sz w:val="22"/>
        </w:rPr>
        <w:t>由于生成式人工智能导致职业发生变化，相关学习项目应扩大还是缩小（培养更多或更少的毕业生）？如果该领域应扩大，机构如何招募更多学生；如果该领域应缩小，学校是否有其他项目应扩大以吸纳原本在该项目学习的学生？</w:t>
      </w:r>
    </w:p>
    <w:p w14:paraId="7C4F1B46">
      <w:pPr>
        <w:numPr>
          <w:ilvl w:val="0"/>
          <w:numId w:val="59"/>
        </w:numPr>
        <w:spacing w:before="120" w:after="120" w:line="288" w:lineRule="auto"/>
        <w:ind w:left="0"/>
        <w:jc w:val="left"/>
      </w:pPr>
      <w:r>
        <w:rPr>
          <w:rFonts w:ascii="Arial" w:hAnsi="Arial" w:eastAsia="等线" w:cs="Arial"/>
          <w:sz w:val="22"/>
        </w:rPr>
        <w:t>这三个不同的学习项目应教授学生关于生成式人工智能的哪些内容？许多高等教育机构都提出了这个问题，但仍在制定应对方案。一些机构完全禁止在任何作业中使用人工智能，而另一些机构则将人工智能的使用置于课程的核心位置。一些学校旨在培养能够为该技术领域前沿做出贡献的专家，而另一些学校则注重培养在非技术领域熟练使用该技术的毕业生。一些机构鼓励学生思考应用这项新技术的所有方式，而一些学校则挑战学生仔细权衡使用人工智能的利弊，考虑其所需的能源消耗、水资源需求以及对创意或内容原创者的归因不足（通常是缺失或不正确）的风险。对于你选择的三所机构的三个学习项目，你建议采取哪些措施以最好地支持毕业生的就业能力？务必用数学模型的结果支持你的建议。</w:t>
      </w:r>
    </w:p>
    <w:p w14:paraId="08F74439">
      <w:pPr>
        <w:numPr>
          <w:ilvl w:val="0"/>
          <w:numId w:val="60"/>
        </w:numPr>
        <w:spacing w:before="120" w:after="120" w:line="288" w:lineRule="auto"/>
        <w:ind w:left="0"/>
        <w:jc w:val="left"/>
      </w:pPr>
      <w:r>
        <w:rPr>
          <w:rFonts w:ascii="Arial" w:hAnsi="Arial" w:eastAsia="等线" w:cs="Arial"/>
          <w:sz w:val="22"/>
        </w:rPr>
        <w:t>虽然本题通过生成式人工智能无处不在的世界中毕业生就业能力的背景提出问题，但衡量你所提出的机构政策成功与否的方式可能不仅仅是就业需求。你认为还应考虑哪些其他因素？当考虑这些其他因素时，你的模型和建议会发生怎样的变化？</w:t>
      </w:r>
    </w:p>
    <w:p w14:paraId="427E0FFC">
      <w:pPr>
        <w:numPr>
          <w:ilvl w:val="0"/>
          <w:numId w:val="61"/>
        </w:numPr>
        <w:spacing w:before="120" w:after="120" w:line="288" w:lineRule="auto"/>
        <w:ind w:left="0"/>
        <w:jc w:val="left"/>
      </w:pPr>
      <w:r>
        <w:rPr>
          <w:rFonts w:ascii="Arial" w:hAnsi="Arial" w:eastAsia="等线" w:cs="Arial"/>
          <w:sz w:val="22"/>
        </w:rPr>
        <w:t>如果你认为你的具体建议可以推广到一所机构之外和/或一个项目之外，务必解释推广的范围并证明其合理性。</w:t>
      </w:r>
    </w:p>
    <w:p w14:paraId="38784816">
      <w:pPr>
        <w:spacing w:before="320" w:after="120" w:line="288" w:lineRule="auto"/>
        <w:ind w:left="0"/>
        <w:jc w:val="left"/>
        <w:outlineLvl w:val="1"/>
      </w:pPr>
      <w:bookmarkStart w:id="15" w:name="heading_15"/>
      <w:r>
        <w:rPr>
          <w:rFonts w:ascii="Arial" w:hAnsi="Arial" w:eastAsia="等线" w:cs="Arial"/>
          <w:b/>
          <w:sz w:val="32"/>
        </w:rPr>
        <w:t>二、核心分析文档</w:t>
      </w:r>
      <w:bookmarkEnd w:id="15"/>
    </w:p>
    <w:p w14:paraId="46689542">
      <w:pPr>
        <w:spacing w:before="300" w:after="120" w:line="288" w:lineRule="auto"/>
        <w:ind w:left="0"/>
        <w:jc w:val="left"/>
        <w:outlineLvl w:val="2"/>
      </w:pPr>
      <w:bookmarkStart w:id="16" w:name="heading_16"/>
      <w:r>
        <w:rPr>
          <w:rFonts w:ascii="Arial" w:hAnsi="Arial" w:eastAsia="等线" w:cs="Arial"/>
          <w:b/>
          <w:sz w:val="30"/>
        </w:rPr>
        <w:t>（一）MCM Problem A：智能手机电池耗电建模</w:t>
      </w:r>
      <w:bookmarkEnd w:id="16"/>
    </w:p>
    <w:tbl>
      <w:tblPr>
        <w:tblStyle w:val="2"/>
        <w:tblW w:w="7912" w:type="dxa"/>
        <w:jc w:val="center"/>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2012"/>
        <w:gridCol w:w="5900"/>
      </w:tblGrid>
      <w:tr w14:paraId="4DCD07B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012" w:type="dxa"/>
            <w:tcMar>
              <w:top w:w="60" w:type="dxa"/>
              <w:left w:w="120" w:type="dxa"/>
              <w:bottom w:w="30" w:type="dxa"/>
              <w:right w:w="120" w:type="dxa"/>
            </w:tcMar>
          </w:tcPr>
          <w:p w14:paraId="372A0A32">
            <w:pPr>
              <w:snapToGrid w:val="0"/>
              <w:spacing w:before="120" w:after="120" w:line="288" w:lineRule="auto"/>
              <w:ind w:left="0"/>
              <w:jc w:val="left"/>
            </w:pPr>
            <w:r>
              <w:rPr>
                <w:rFonts w:ascii="Arial" w:hAnsi="Arial" w:eastAsia="等线" w:cs="Arial"/>
                <w:sz w:val="22"/>
              </w:rPr>
              <w:t>分析维度</w:t>
            </w:r>
          </w:p>
        </w:tc>
        <w:tc>
          <w:tcPr>
            <w:tcW w:w="5900" w:type="dxa"/>
            <w:tcMar>
              <w:top w:w="60" w:type="dxa"/>
              <w:left w:w="120" w:type="dxa"/>
              <w:bottom w:w="30" w:type="dxa"/>
              <w:right w:w="120" w:type="dxa"/>
            </w:tcMar>
          </w:tcPr>
          <w:p w14:paraId="5FD21026">
            <w:pPr>
              <w:snapToGrid w:val="0"/>
              <w:spacing w:before="120" w:after="120" w:line="288" w:lineRule="auto"/>
              <w:ind w:left="0"/>
              <w:jc w:val="left"/>
            </w:pPr>
            <w:r>
              <w:rPr>
                <w:rFonts w:ascii="Arial" w:hAnsi="Arial" w:eastAsia="等线" w:cs="Arial"/>
                <w:sz w:val="22"/>
              </w:rPr>
              <w:t>具体内容</w:t>
            </w:r>
          </w:p>
        </w:tc>
      </w:tr>
      <w:tr w14:paraId="4675C84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012" w:type="dxa"/>
            <w:tcMar>
              <w:top w:w="60" w:type="dxa"/>
              <w:left w:w="120" w:type="dxa"/>
              <w:bottom w:w="30" w:type="dxa"/>
              <w:right w:w="120" w:type="dxa"/>
            </w:tcMar>
          </w:tcPr>
          <w:p w14:paraId="6BF071E1">
            <w:pPr>
              <w:snapToGrid w:val="0"/>
              <w:spacing w:before="120" w:after="120" w:line="288" w:lineRule="auto"/>
              <w:ind w:left="0"/>
              <w:jc w:val="left"/>
            </w:pPr>
            <w:r>
              <w:rPr>
                <w:rFonts w:ascii="Arial" w:hAnsi="Arial" w:eastAsia="等线" w:cs="Arial"/>
                <w:sz w:val="22"/>
              </w:rPr>
              <w:t>赛题编号</w:t>
            </w:r>
          </w:p>
        </w:tc>
        <w:tc>
          <w:tcPr>
            <w:tcW w:w="5900" w:type="dxa"/>
            <w:tcMar>
              <w:top w:w="60" w:type="dxa"/>
              <w:left w:w="120" w:type="dxa"/>
              <w:bottom w:w="30" w:type="dxa"/>
              <w:right w:w="120" w:type="dxa"/>
            </w:tcMar>
          </w:tcPr>
          <w:p w14:paraId="00C584B0">
            <w:pPr>
              <w:snapToGrid w:val="0"/>
              <w:spacing w:before="120" w:after="120" w:line="288" w:lineRule="auto"/>
              <w:ind w:left="0"/>
              <w:jc w:val="left"/>
            </w:pPr>
            <w:r>
              <w:rPr>
                <w:rFonts w:ascii="Arial" w:hAnsi="Arial" w:eastAsia="等线" w:cs="Arial"/>
                <w:sz w:val="22"/>
              </w:rPr>
              <w:t>MCM-A</w:t>
            </w:r>
          </w:p>
        </w:tc>
      </w:tr>
      <w:tr w14:paraId="5B04D14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012" w:type="dxa"/>
            <w:tcMar>
              <w:top w:w="60" w:type="dxa"/>
              <w:left w:w="120" w:type="dxa"/>
              <w:bottom w:w="30" w:type="dxa"/>
              <w:right w:w="120" w:type="dxa"/>
            </w:tcMar>
          </w:tcPr>
          <w:p w14:paraId="524646E9">
            <w:pPr>
              <w:snapToGrid w:val="0"/>
              <w:spacing w:before="120" w:after="120" w:line="288" w:lineRule="auto"/>
              <w:ind w:left="0"/>
              <w:jc w:val="left"/>
            </w:pPr>
            <w:r>
              <w:rPr>
                <w:rFonts w:ascii="Arial" w:hAnsi="Arial" w:eastAsia="等线" w:cs="Arial"/>
                <w:sz w:val="22"/>
              </w:rPr>
              <w:t>整体类型</w:t>
            </w:r>
          </w:p>
        </w:tc>
        <w:tc>
          <w:tcPr>
            <w:tcW w:w="5900" w:type="dxa"/>
            <w:tcMar>
              <w:top w:w="60" w:type="dxa"/>
              <w:left w:w="120" w:type="dxa"/>
              <w:bottom w:w="30" w:type="dxa"/>
              <w:right w:w="120" w:type="dxa"/>
            </w:tcMar>
          </w:tcPr>
          <w:p w14:paraId="38C79889">
            <w:pPr>
              <w:snapToGrid w:val="0"/>
              <w:spacing w:before="120" w:after="120" w:line="288" w:lineRule="auto"/>
              <w:ind w:left="0"/>
              <w:jc w:val="left"/>
            </w:pPr>
            <w:r>
              <w:rPr>
                <w:rFonts w:ascii="Arial" w:hAnsi="Arial" w:eastAsia="等线" w:cs="Arial"/>
                <w:sz w:val="22"/>
              </w:rPr>
              <w:t>机理分析类</w:t>
            </w:r>
          </w:p>
        </w:tc>
      </w:tr>
      <w:tr w14:paraId="28B71EB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012" w:type="dxa"/>
            <w:tcMar>
              <w:top w:w="60" w:type="dxa"/>
              <w:left w:w="120" w:type="dxa"/>
              <w:bottom w:w="30" w:type="dxa"/>
              <w:right w:w="120" w:type="dxa"/>
            </w:tcMar>
          </w:tcPr>
          <w:p w14:paraId="41D5F10F">
            <w:pPr>
              <w:snapToGrid w:val="0"/>
              <w:spacing w:before="120" w:after="120" w:line="288" w:lineRule="auto"/>
              <w:ind w:left="0"/>
              <w:jc w:val="left"/>
            </w:pPr>
            <w:r>
              <w:rPr>
                <w:rFonts w:ascii="Arial" w:hAnsi="Arial" w:eastAsia="等线" w:cs="Arial"/>
                <w:sz w:val="22"/>
              </w:rPr>
              <w:t>小问数量/小问类型</w:t>
            </w:r>
          </w:p>
        </w:tc>
        <w:tc>
          <w:tcPr>
            <w:tcW w:w="5900" w:type="dxa"/>
            <w:tcMar>
              <w:top w:w="60" w:type="dxa"/>
              <w:left w:w="120" w:type="dxa"/>
              <w:bottom w:w="30" w:type="dxa"/>
              <w:right w:w="120" w:type="dxa"/>
            </w:tcMar>
          </w:tcPr>
          <w:p w14:paraId="7636A78D">
            <w:pPr>
              <w:snapToGrid w:val="0"/>
              <w:spacing w:before="120" w:after="120" w:line="288" w:lineRule="auto"/>
              <w:ind w:left="0"/>
              <w:jc w:val="left"/>
            </w:pPr>
            <w:r>
              <w:rPr>
                <w:rFonts w:ascii="Arial" w:hAnsi="Arial" w:eastAsia="等线" w:cs="Arial"/>
                <w:sz w:val="22"/>
              </w:rPr>
              <w:t>4个小问；1.机理分析类；2.预测类；3.敏感性分析类；4.决策建议类</w:t>
            </w:r>
          </w:p>
        </w:tc>
      </w:tr>
      <w:tr w14:paraId="0C4CFC9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012" w:type="dxa"/>
            <w:tcMar>
              <w:top w:w="60" w:type="dxa"/>
              <w:left w:w="120" w:type="dxa"/>
              <w:bottom w:w="30" w:type="dxa"/>
              <w:right w:w="120" w:type="dxa"/>
            </w:tcMar>
          </w:tcPr>
          <w:p w14:paraId="37D9345F">
            <w:pPr>
              <w:snapToGrid w:val="0"/>
              <w:spacing w:before="120" w:after="120" w:line="288" w:lineRule="auto"/>
              <w:ind w:left="0"/>
              <w:jc w:val="left"/>
            </w:pPr>
            <w:r>
              <w:rPr>
                <w:rFonts w:ascii="Arial" w:hAnsi="Arial" w:eastAsia="等线" w:cs="Arial"/>
                <w:sz w:val="22"/>
              </w:rPr>
              <w:t>每小问主要问题</w:t>
            </w:r>
          </w:p>
        </w:tc>
        <w:tc>
          <w:tcPr>
            <w:tcW w:w="5900" w:type="dxa"/>
            <w:tcMar>
              <w:top w:w="60" w:type="dxa"/>
              <w:left w:w="120" w:type="dxa"/>
              <w:bottom w:w="30" w:type="dxa"/>
              <w:right w:w="120" w:type="dxa"/>
            </w:tcMar>
          </w:tcPr>
          <w:p w14:paraId="324064F9">
            <w:pPr>
              <w:snapToGrid w:val="0"/>
              <w:spacing w:before="120" w:after="120" w:line="288" w:lineRule="auto"/>
              <w:ind w:left="0"/>
              <w:jc w:val="left"/>
            </w:pPr>
            <w:r>
              <w:rPr>
                <w:rFonts w:ascii="Arial" w:hAnsi="Arial" w:eastAsia="等线" w:cs="Arial"/>
                <w:sz w:val="22"/>
              </w:rPr>
              <w:t>1. 构建连续时间模型描述电池剩余电量随时间变化，纳入多影响因素；2. 预测不同场景下剩余续航时间，分析耗电驱动因素；3. 分析假设、参数和使用模式波动对预测结果的影响；4. 提出用户和操作系统层面的省电建议</w:t>
            </w:r>
          </w:p>
        </w:tc>
      </w:tr>
      <w:tr w14:paraId="47EA8BE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012" w:type="dxa"/>
            <w:tcMar>
              <w:top w:w="60" w:type="dxa"/>
              <w:left w:w="120" w:type="dxa"/>
              <w:bottom w:w="30" w:type="dxa"/>
              <w:right w:w="120" w:type="dxa"/>
            </w:tcMar>
          </w:tcPr>
          <w:p w14:paraId="7F5764F5">
            <w:pPr>
              <w:snapToGrid w:val="0"/>
              <w:spacing w:before="120" w:after="120" w:line="288" w:lineRule="auto"/>
              <w:ind w:left="0"/>
              <w:jc w:val="left"/>
            </w:pPr>
            <w:r>
              <w:rPr>
                <w:rFonts w:ascii="Arial" w:hAnsi="Arial" w:eastAsia="等线" w:cs="Arial"/>
                <w:sz w:val="22"/>
              </w:rPr>
              <w:t>推荐算法+理由</w:t>
            </w:r>
          </w:p>
        </w:tc>
        <w:tc>
          <w:tcPr>
            <w:tcW w:w="5900" w:type="dxa"/>
            <w:tcMar>
              <w:top w:w="60" w:type="dxa"/>
              <w:left w:w="120" w:type="dxa"/>
              <w:bottom w:w="30" w:type="dxa"/>
              <w:right w:w="120" w:type="dxa"/>
            </w:tcMar>
          </w:tcPr>
          <w:p w14:paraId="5006677B">
            <w:pPr>
              <w:snapToGrid w:val="0"/>
              <w:spacing w:before="120" w:after="120" w:line="288" w:lineRule="auto"/>
              <w:ind w:left="0"/>
              <w:jc w:val="left"/>
            </w:pPr>
            <w:r>
              <w:rPr>
                <w:rFonts w:ascii="Arial" w:hAnsi="Arial" w:eastAsia="等线" w:cs="Arial"/>
                <w:sz w:val="22"/>
              </w:rPr>
              <w:t>1. 机理分析类：扩展型戴维南等效电路模型+微分方程组；理由：贴合锂离子电池电化学机理，可量化多因素（如温度、负载）对SOC的动态影响，符合连续时间建模要求，美赛中机理模型易获高分；2. 预测类：基于机理模型的蒙特卡洛模拟；理由：可处理使用场景的随机性，量化续航时间不确定性，适配多场景预测需求；3. 敏感性分析类：Morris筛选法+ Sobol指数法；理由：Morris法快速识别关键影响因素，Sobol指数法精准量化各因素贡献度，兼顾效率与精度；4. 决策建议类：多目标优化算法（NSGA-Ⅱ）；理由：可在多个省电目标（如续航时长、使用体验）间找到最优平衡，为建议提供量化支撑</w:t>
            </w:r>
          </w:p>
        </w:tc>
      </w:tr>
      <w:tr w14:paraId="454C08D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012" w:type="dxa"/>
            <w:tcMar>
              <w:top w:w="60" w:type="dxa"/>
              <w:left w:w="120" w:type="dxa"/>
              <w:bottom w:w="30" w:type="dxa"/>
              <w:right w:w="120" w:type="dxa"/>
            </w:tcMar>
          </w:tcPr>
          <w:p w14:paraId="2241AEE0">
            <w:pPr>
              <w:snapToGrid w:val="0"/>
              <w:spacing w:before="120" w:after="120" w:line="288" w:lineRule="auto"/>
              <w:ind w:left="0"/>
              <w:jc w:val="left"/>
            </w:pPr>
            <w:r>
              <w:rPr>
                <w:rFonts w:ascii="Arial" w:hAnsi="Arial" w:eastAsia="等线" w:cs="Arial"/>
                <w:sz w:val="22"/>
              </w:rPr>
              <w:t>难度系数</w:t>
            </w:r>
          </w:p>
        </w:tc>
        <w:tc>
          <w:tcPr>
            <w:tcW w:w="5900" w:type="dxa"/>
            <w:tcMar>
              <w:top w:w="60" w:type="dxa"/>
              <w:left w:w="120" w:type="dxa"/>
              <w:bottom w:w="30" w:type="dxa"/>
              <w:right w:w="120" w:type="dxa"/>
            </w:tcMar>
          </w:tcPr>
          <w:p w14:paraId="62298C67">
            <w:pPr>
              <w:snapToGrid w:val="0"/>
              <w:spacing w:before="120" w:after="120" w:line="288" w:lineRule="auto"/>
              <w:ind w:left="0"/>
              <w:jc w:val="left"/>
            </w:pPr>
            <w:r>
              <w:rPr>
                <w:rFonts w:ascii="Arial" w:hAnsi="Arial" w:eastAsia="等线" w:cs="Arial"/>
                <w:sz w:val="22"/>
              </w:rPr>
              <w:t>3分（1-5分制）</w:t>
            </w:r>
          </w:p>
        </w:tc>
      </w:tr>
      <w:tr w14:paraId="286D152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012" w:type="dxa"/>
            <w:tcMar>
              <w:top w:w="60" w:type="dxa"/>
              <w:left w:w="120" w:type="dxa"/>
              <w:bottom w:w="30" w:type="dxa"/>
              <w:right w:w="120" w:type="dxa"/>
            </w:tcMar>
          </w:tcPr>
          <w:p w14:paraId="23E6FB67">
            <w:pPr>
              <w:snapToGrid w:val="0"/>
              <w:spacing w:before="120" w:after="120" w:line="288" w:lineRule="auto"/>
              <w:ind w:left="0"/>
              <w:jc w:val="left"/>
            </w:pPr>
            <w:r>
              <w:rPr>
                <w:rFonts w:ascii="Arial" w:hAnsi="Arial" w:eastAsia="等线" w:cs="Arial"/>
                <w:sz w:val="22"/>
              </w:rPr>
              <w:t>评分依据</w:t>
            </w:r>
          </w:p>
        </w:tc>
        <w:tc>
          <w:tcPr>
            <w:tcW w:w="5900" w:type="dxa"/>
            <w:tcMar>
              <w:top w:w="60" w:type="dxa"/>
              <w:left w:w="120" w:type="dxa"/>
              <w:bottom w:w="30" w:type="dxa"/>
              <w:right w:w="120" w:type="dxa"/>
            </w:tcMar>
          </w:tcPr>
          <w:p w14:paraId="1616CF50">
            <w:pPr>
              <w:snapToGrid w:val="0"/>
              <w:spacing w:before="120" w:after="120" w:line="288" w:lineRule="auto"/>
              <w:ind w:left="0"/>
              <w:jc w:val="left"/>
            </w:pPr>
            <w:r>
              <w:rPr>
                <w:rFonts w:ascii="Arial" w:hAnsi="Arial" w:eastAsia="等线" w:cs="Arial"/>
                <w:sz w:val="22"/>
              </w:rPr>
              <w:t>模型复杂度：中等，需结合电化学机理与多因素耦合，连续时间建模有一定技术门槛；数据获取难度：低，可通过公开文献、手机厂商规格参数获取电池特性、各组件耗电数据；创新设计要求：中等，需在经典机理模型基础上扩展多影响因素的耦合关系；建模工作量：中等，需完成模型构建、参数校准、多场景验证；综合分析要求：中等，需结合敏感性分析结果提出切实可行的建议</w:t>
            </w:r>
          </w:p>
        </w:tc>
      </w:tr>
      <w:tr w14:paraId="4C8419B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012" w:type="dxa"/>
            <w:tcMar>
              <w:top w:w="60" w:type="dxa"/>
              <w:left w:w="120" w:type="dxa"/>
              <w:bottom w:w="30" w:type="dxa"/>
              <w:right w:w="120" w:type="dxa"/>
            </w:tcMar>
          </w:tcPr>
          <w:p w14:paraId="6C035E43">
            <w:pPr>
              <w:snapToGrid w:val="0"/>
              <w:spacing w:before="120" w:after="120" w:line="288" w:lineRule="auto"/>
              <w:ind w:left="0"/>
              <w:jc w:val="left"/>
            </w:pPr>
            <w:r>
              <w:rPr>
                <w:rFonts w:ascii="Arial" w:hAnsi="Arial" w:eastAsia="等线" w:cs="Arial"/>
                <w:sz w:val="22"/>
              </w:rPr>
              <w:t>解题难点</w:t>
            </w:r>
          </w:p>
        </w:tc>
        <w:tc>
          <w:tcPr>
            <w:tcW w:w="5900" w:type="dxa"/>
            <w:tcMar>
              <w:top w:w="60" w:type="dxa"/>
              <w:left w:w="120" w:type="dxa"/>
              <w:bottom w:w="30" w:type="dxa"/>
              <w:right w:w="120" w:type="dxa"/>
            </w:tcMar>
          </w:tcPr>
          <w:p w14:paraId="198D285A">
            <w:pPr>
              <w:snapToGrid w:val="0"/>
              <w:spacing w:before="120" w:after="120" w:line="288" w:lineRule="auto"/>
              <w:ind w:left="0"/>
              <w:jc w:val="left"/>
            </w:pPr>
            <w:r>
              <w:rPr>
                <w:rFonts w:ascii="Arial" w:hAnsi="Arial" w:eastAsia="等线" w:cs="Arial"/>
                <w:sz w:val="22"/>
              </w:rPr>
              <w:t>1. 多影响因素（屏幕、处理器、温度等）的量化建模与耦合关系处理；2. 连续时间方程的构建需贴合电池实际放电机理，避免纯数学拟合；3. 不同使用场景下的参数校准与模型验证；4. 不确定性量化需兼顾模型误差与场景随机性</w:t>
            </w:r>
          </w:p>
        </w:tc>
      </w:tr>
      <w:tr w14:paraId="209949E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012" w:type="dxa"/>
            <w:tcMar>
              <w:top w:w="60" w:type="dxa"/>
              <w:left w:w="120" w:type="dxa"/>
              <w:bottom w:w="30" w:type="dxa"/>
              <w:right w:w="120" w:type="dxa"/>
            </w:tcMar>
          </w:tcPr>
          <w:p w14:paraId="502EA396">
            <w:pPr>
              <w:snapToGrid w:val="0"/>
              <w:spacing w:before="120" w:after="120" w:line="288" w:lineRule="auto"/>
              <w:ind w:left="0"/>
              <w:jc w:val="left"/>
            </w:pPr>
            <w:r>
              <w:rPr>
                <w:rFonts w:ascii="Arial" w:hAnsi="Arial" w:eastAsia="等线" w:cs="Arial"/>
                <w:sz w:val="22"/>
              </w:rPr>
              <w:t>核心要点</w:t>
            </w:r>
          </w:p>
        </w:tc>
        <w:tc>
          <w:tcPr>
            <w:tcW w:w="5900" w:type="dxa"/>
            <w:tcMar>
              <w:top w:w="60" w:type="dxa"/>
              <w:left w:w="120" w:type="dxa"/>
              <w:bottom w:w="30" w:type="dxa"/>
              <w:right w:w="120" w:type="dxa"/>
            </w:tcMar>
          </w:tcPr>
          <w:p w14:paraId="47195DF6">
            <w:pPr>
              <w:snapToGrid w:val="0"/>
              <w:spacing w:before="120" w:after="120" w:line="288" w:lineRule="auto"/>
              <w:ind w:left="0"/>
              <w:jc w:val="left"/>
            </w:pPr>
            <w:r>
              <w:rPr>
                <w:rFonts w:ascii="Arial" w:hAnsi="Arial" w:eastAsia="等线" w:cs="Arial"/>
                <w:sz w:val="22"/>
              </w:rPr>
              <w:t>1. 坚守连续时间建模核心，避免离散化处理；2. 明确各耗电组件的功率消耗模型与参数取值依据；3. 模型需区分不同环境条件（如温度）和使用模式的影响；4. 建议需基于模型结果，具备可操作性</w:t>
            </w:r>
          </w:p>
        </w:tc>
      </w:tr>
      <w:tr w14:paraId="52BA215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012" w:type="dxa"/>
            <w:tcMar>
              <w:top w:w="60" w:type="dxa"/>
              <w:left w:w="120" w:type="dxa"/>
              <w:bottom w:w="30" w:type="dxa"/>
              <w:right w:w="120" w:type="dxa"/>
            </w:tcMar>
          </w:tcPr>
          <w:p w14:paraId="37CAD88F">
            <w:pPr>
              <w:snapToGrid w:val="0"/>
              <w:spacing w:before="120" w:after="120" w:line="288" w:lineRule="auto"/>
              <w:ind w:left="0"/>
              <w:jc w:val="left"/>
            </w:pPr>
            <w:r>
              <w:rPr>
                <w:rFonts w:ascii="Arial" w:hAnsi="Arial" w:eastAsia="等线" w:cs="Arial"/>
                <w:sz w:val="22"/>
              </w:rPr>
              <w:t>解题思路</w:t>
            </w:r>
          </w:p>
        </w:tc>
        <w:tc>
          <w:tcPr>
            <w:tcW w:w="5900" w:type="dxa"/>
            <w:tcMar>
              <w:top w:w="60" w:type="dxa"/>
              <w:left w:w="120" w:type="dxa"/>
              <w:bottom w:w="30" w:type="dxa"/>
              <w:right w:w="120" w:type="dxa"/>
            </w:tcMar>
          </w:tcPr>
          <w:p w14:paraId="503DB9DB">
            <w:pPr>
              <w:snapToGrid w:val="0"/>
              <w:spacing w:before="120" w:after="120" w:line="288" w:lineRule="auto"/>
              <w:ind w:left="0"/>
              <w:jc w:val="left"/>
            </w:pPr>
            <w:r>
              <w:rPr>
                <w:rFonts w:ascii="Arial" w:hAnsi="Arial" w:eastAsia="等线" w:cs="Arial"/>
                <w:sz w:val="22"/>
              </w:rPr>
              <w:t>1. 模型构建：先基于锂离子电池电化学原理，建立基础SOC连续时间微分方程；再逐一纳入屏幕、处理器、网络等组件的耗电模型，考虑温度对电池容量的修正；</w:t>
            </w:r>
            <w:r>
              <w:rPr>
                <w:rFonts w:hint="eastAsia" w:ascii="Arial" w:hAnsi="Arial" w:eastAsia="等线" w:cs="Arial"/>
                <w:sz w:val="22"/>
                <w:lang w:val="en-US" w:eastAsia="zh-CN"/>
              </w:rPr>
              <w:t>有限元分析</w:t>
            </w:r>
            <w:r>
              <w:rPr>
                <w:rFonts w:ascii="Arial" w:hAnsi="Arial" w:eastAsia="等线" w:cs="Arial"/>
                <w:sz w:val="22"/>
              </w:rPr>
              <w:t>2. 参数估计：收集公开的手机组件耗电数据、电池特性参数，通过最小二乘法校准模型参数；3. 场景预测：设计典型使用场景（如重度使用、待机、低温环境等），利用模型计算续航时间，对比分析关键耗电因素；4. 敏感性分析：采用Morris法和Sobol指数法，识别对续航时间影响最大的因素；5. 建议提出：基于敏感性分析结果，从用户行为和操作系统优化两方面提出针对性建议</w:t>
            </w:r>
          </w:p>
        </w:tc>
      </w:tr>
      <w:tr w14:paraId="2C7F276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012" w:type="dxa"/>
            <w:tcMar>
              <w:top w:w="60" w:type="dxa"/>
              <w:left w:w="120" w:type="dxa"/>
              <w:bottom w:w="30" w:type="dxa"/>
              <w:right w:w="120" w:type="dxa"/>
            </w:tcMar>
          </w:tcPr>
          <w:p w14:paraId="7B9504D3">
            <w:pPr>
              <w:snapToGrid w:val="0"/>
              <w:spacing w:before="120" w:after="120" w:line="288" w:lineRule="auto"/>
              <w:ind w:left="0"/>
              <w:jc w:val="left"/>
            </w:pPr>
            <w:r>
              <w:rPr>
                <w:rFonts w:ascii="Arial" w:hAnsi="Arial" w:eastAsia="等线" w:cs="Arial"/>
                <w:sz w:val="22"/>
              </w:rPr>
              <w:t>获奖要点</w:t>
            </w:r>
          </w:p>
        </w:tc>
        <w:tc>
          <w:tcPr>
            <w:tcW w:w="5900" w:type="dxa"/>
            <w:tcMar>
              <w:top w:w="60" w:type="dxa"/>
              <w:left w:w="120" w:type="dxa"/>
              <w:bottom w:w="30" w:type="dxa"/>
              <w:right w:w="120" w:type="dxa"/>
            </w:tcMar>
          </w:tcPr>
          <w:p w14:paraId="11A99006">
            <w:pPr>
              <w:snapToGrid w:val="0"/>
              <w:spacing w:before="120" w:after="120" w:line="288" w:lineRule="auto"/>
              <w:ind w:left="0"/>
              <w:jc w:val="left"/>
            </w:pPr>
            <w:r>
              <w:rPr>
                <w:rFonts w:ascii="Arial" w:hAnsi="Arial" w:eastAsia="等线" w:cs="Arial"/>
                <w:sz w:val="22"/>
              </w:rPr>
              <w:t>1. 模型创新：在经典机理模型基础上，提出多因素耦合的扩展模型，如温度与处理器负载的交互影响机制；2. 量化结果：明确给出不同场景下续航时间预测值及误差范围，关键因素的敏感性指数；3. 可视化：绘制SOC随时间变化曲线、各因素敏感性排序图、不同场景续航对比图；4. 模型检验：通过实测数据（如自行采集或引用公开数据）验证模型精度，计算R²、RMSE等指标；5. 逻辑闭环：从机理建模到预测分析，再到敏感性分析和建议，形成完整逻辑链</w:t>
            </w:r>
          </w:p>
        </w:tc>
      </w:tr>
      <w:tr w14:paraId="39BDF3A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012" w:type="dxa"/>
            <w:tcMar>
              <w:top w:w="60" w:type="dxa"/>
              <w:left w:w="120" w:type="dxa"/>
              <w:bottom w:w="30" w:type="dxa"/>
              <w:right w:w="120" w:type="dxa"/>
            </w:tcMar>
          </w:tcPr>
          <w:p w14:paraId="11B95B07">
            <w:pPr>
              <w:snapToGrid w:val="0"/>
              <w:spacing w:before="120" w:after="120" w:line="288" w:lineRule="auto"/>
              <w:ind w:left="0"/>
              <w:jc w:val="left"/>
            </w:pPr>
            <w:r>
              <w:rPr>
                <w:rFonts w:ascii="Arial" w:hAnsi="Arial" w:eastAsia="等线" w:cs="Arial"/>
                <w:sz w:val="22"/>
              </w:rPr>
              <w:t>分专业/分基础选题建议</w:t>
            </w:r>
          </w:p>
        </w:tc>
        <w:tc>
          <w:tcPr>
            <w:tcW w:w="5900" w:type="dxa"/>
            <w:tcMar>
              <w:top w:w="60" w:type="dxa"/>
              <w:left w:w="120" w:type="dxa"/>
              <w:bottom w:w="30" w:type="dxa"/>
              <w:right w:w="120" w:type="dxa"/>
            </w:tcMar>
          </w:tcPr>
          <w:p w14:paraId="056C1D43">
            <w:pPr>
              <w:snapToGrid w:val="0"/>
              <w:spacing w:before="120" w:after="120" w:line="288" w:lineRule="auto"/>
              <w:ind w:left="0"/>
              <w:jc w:val="left"/>
            </w:pPr>
            <w:r>
              <w:rPr>
                <w:rFonts w:ascii="Arial" w:hAnsi="Arial" w:eastAsia="等线" w:cs="Arial"/>
                <w:sz w:val="22"/>
              </w:rPr>
              <w:t>数学/统计：推荐；原因：擅长微分方程构建、参数估计和敏感性分析，能精准处理连续时间建模核心需求；&lt;br&gt;计算机/人工智能：谨慎选择；原因：需避免过度依赖黑箱机器学习，需补充机理建模能力，适合有电化学知识基础的团队；&lt;br&gt;工科/理科：推荐；原因：具备物理/电化学机理认知，能有效整合多学科知识（电子工程、热力学），适配多因素耦合建模；&lt;br&gt;经管/文科：不推荐；原因：缺乏机理建模所需的数学和工程基础，难以满足连续时间模型的核心要求；&lt;br&gt;跨专业组合：推荐；原因：工科（机理）+数学（建模）+计算机（模拟）组合可优势互补，高效完成多维度任务；&lt;br&gt;零基础/入门级：不推荐；原因：机理建模门槛较高，需掌握微分方程、电池原理等知识，入门难度大；&lt;br&gt;中等基础：谨慎选择；原因：需快速补充锂离子电池机理知识，集中精力攻克连续时间模型构建，适合有数学建模基础但缺乏专业背景的团队；&lt;br&gt;高阶基础/竞赛经验：推荐；原因：可在机理创新、多场景拓展、不确定性分析上形成亮点，易冲击高分</w:t>
            </w:r>
          </w:p>
        </w:tc>
      </w:tr>
    </w:tbl>
    <w:p w14:paraId="53514B9C">
      <w:pPr>
        <w:spacing w:before="300" w:after="120" w:line="288" w:lineRule="auto"/>
        <w:ind w:left="0"/>
        <w:jc w:val="left"/>
        <w:outlineLvl w:val="2"/>
      </w:pPr>
      <w:bookmarkStart w:id="17" w:name="heading_17"/>
      <w:r>
        <w:rPr>
          <w:rFonts w:ascii="Arial" w:hAnsi="Arial" w:eastAsia="等线" w:cs="Arial"/>
          <w:b/>
          <w:sz w:val="30"/>
        </w:rPr>
        <w:t>（二）MCM Problem B：利用太空电梯系统建立月球殖民地</w:t>
      </w:r>
      <w:bookmarkEnd w:id="17"/>
    </w:p>
    <w:tbl>
      <w:tblPr>
        <w:tblStyle w:val="2"/>
        <w:tblW w:w="8086" w:type="dxa"/>
        <w:jc w:val="center"/>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2613"/>
        <w:gridCol w:w="5473"/>
      </w:tblGrid>
      <w:tr w14:paraId="19B726E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613" w:type="dxa"/>
            <w:tcMar>
              <w:top w:w="60" w:type="dxa"/>
              <w:left w:w="120" w:type="dxa"/>
              <w:bottom w:w="30" w:type="dxa"/>
              <w:right w:w="120" w:type="dxa"/>
            </w:tcMar>
          </w:tcPr>
          <w:p w14:paraId="683673B2">
            <w:pPr>
              <w:keepNext/>
              <w:snapToGrid w:val="0"/>
              <w:spacing w:before="120" w:after="120" w:line="288" w:lineRule="auto"/>
              <w:ind w:left="0"/>
              <w:jc w:val="left"/>
              <w:rPr>
                <w:rFonts w:ascii="Arial" w:hAnsi="Arial" w:eastAsia="等线" w:cs="Arial"/>
                <w:sz w:val="22"/>
              </w:rPr>
            </w:pPr>
          </w:p>
        </w:tc>
        <w:tc>
          <w:tcPr>
            <w:tcW w:w="5473" w:type="dxa"/>
            <w:tcMar>
              <w:top w:w="60" w:type="dxa"/>
              <w:left w:w="120" w:type="dxa"/>
              <w:bottom w:w="30" w:type="dxa"/>
              <w:right w:w="120" w:type="dxa"/>
            </w:tcMar>
          </w:tcPr>
          <w:p w14:paraId="4F36C91E">
            <w:pPr>
              <w:keepNext/>
              <w:snapToGrid w:val="0"/>
              <w:spacing w:before="120" w:after="120" w:line="288" w:lineRule="auto"/>
              <w:ind w:left="0"/>
              <w:jc w:val="left"/>
              <w:rPr>
                <w:rFonts w:ascii="Arial" w:hAnsi="Arial" w:eastAsia="等线" w:cs="Arial"/>
                <w:sz w:val="22"/>
              </w:rPr>
            </w:pPr>
          </w:p>
        </w:tc>
      </w:tr>
      <w:tr w14:paraId="35F11EF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613" w:type="dxa"/>
            <w:tcMar>
              <w:top w:w="60" w:type="dxa"/>
              <w:left w:w="120" w:type="dxa"/>
              <w:bottom w:w="30" w:type="dxa"/>
              <w:right w:w="120" w:type="dxa"/>
            </w:tcMar>
          </w:tcPr>
          <w:p w14:paraId="2E483F2C">
            <w:pPr>
              <w:keepNext/>
              <w:snapToGrid w:val="0"/>
              <w:spacing w:before="120" w:after="120" w:line="288" w:lineRule="auto"/>
              <w:ind w:left="0"/>
              <w:jc w:val="left"/>
            </w:pPr>
            <w:r>
              <w:rPr>
                <w:rFonts w:ascii="Arial" w:hAnsi="Arial" w:eastAsia="等线" w:cs="Arial"/>
                <w:sz w:val="22"/>
              </w:rPr>
              <w:t>分析维度</w:t>
            </w:r>
          </w:p>
        </w:tc>
        <w:tc>
          <w:tcPr>
            <w:tcW w:w="5473" w:type="dxa"/>
            <w:tcMar>
              <w:top w:w="60" w:type="dxa"/>
              <w:left w:w="120" w:type="dxa"/>
              <w:bottom w:w="30" w:type="dxa"/>
              <w:right w:w="120" w:type="dxa"/>
            </w:tcMar>
          </w:tcPr>
          <w:p w14:paraId="554DDAF0">
            <w:pPr>
              <w:keepNext/>
              <w:snapToGrid w:val="0"/>
              <w:spacing w:before="120" w:after="120" w:line="288" w:lineRule="auto"/>
              <w:ind w:left="0"/>
              <w:jc w:val="left"/>
            </w:pPr>
            <w:r>
              <w:rPr>
                <w:rFonts w:ascii="Arial" w:hAnsi="Arial" w:eastAsia="等线" w:cs="Arial"/>
                <w:sz w:val="22"/>
              </w:rPr>
              <w:t>具体内容</w:t>
            </w:r>
          </w:p>
        </w:tc>
      </w:tr>
      <w:tr w14:paraId="7448725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613" w:type="dxa"/>
            <w:tcMar>
              <w:top w:w="60" w:type="dxa"/>
              <w:left w:w="120" w:type="dxa"/>
              <w:bottom w:w="30" w:type="dxa"/>
              <w:right w:w="120" w:type="dxa"/>
            </w:tcMar>
          </w:tcPr>
          <w:p w14:paraId="2E80A3CE">
            <w:pPr>
              <w:keepNext/>
              <w:snapToGrid w:val="0"/>
              <w:spacing w:before="120" w:after="120" w:line="288" w:lineRule="auto"/>
              <w:ind w:left="0"/>
              <w:jc w:val="left"/>
            </w:pPr>
            <w:r>
              <w:rPr>
                <w:rFonts w:ascii="Arial" w:hAnsi="Arial" w:eastAsia="等线" w:cs="Arial"/>
                <w:sz w:val="22"/>
              </w:rPr>
              <w:t>赛题编号</w:t>
            </w:r>
          </w:p>
        </w:tc>
        <w:tc>
          <w:tcPr>
            <w:tcW w:w="5473" w:type="dxa"/>
            <w:tcMar>
              <w:top w:w="60" w:type="dxa"/>
              <w:left w:w="120" w:type="dxa"/>
              <w:bottom w:w="30" w:type="dxa"/>
              <w:right w:w="120" w:type="dxa"/>
            </w:tcMar>
          </w:tcPr>
          <w:p w14:paraId="3707D45A">
            <w:pPr>
              <w:keepNext/>
              <w:snapToGrid w:val="0"/>
              <w:spacing w:before="120" w:after="120" w:line="288" w:lineRule="auto"/>
              <w:ind w:left="0"/>
              <w:jc w:val="left"/>
            </w:pPr>
            <w:r>
              <w:rPr>
                <w:rFonts w:ascii="Arial" w:hAnsi="Arial" w:eastAsia="等线" w:cs="Arial"/>
                <w:sz w:val="22"/>
              </w:rPr>
              <w:t>MCM-B</w:t>
            </w:r>
          </w:p>
        </w:tc>
      </w:tr>
      <w:tr w14:paraId="2B7F5EC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613" w:type="dxa"/>
            <w:tcMar>
              <w:top w:w="60" w:type="dxa"/>
              <w:left w:w="120" w:type="dxa"/>
              <w:bottom w:w="30" w:type="dxa"/>
              <w:right w:w="120" w:type="dxa"/>
            </w:tcMar>
          </w:tcPr>
          <w:p w14:paraId="6D07B1BB">
            <w:pPr>
              <w:keepNext/>
              <w:snapToGrid w:val="0"/>
              <w:spacing w:before="120" w:after="120" w:line="288" w:lineRule="auto"/>
              <w:ind w:left="0"/>
              <w:jc w:val="left"/>
            </w:pPr>
            <w:r>
              <w:rPr>
                <w:rFonts w:ascii="Arial" w:hAnsi="Arial" w:eastAsia="等线" w:cs="Arial"/>
                <w:sz w:val="22"/>
              </w:rPr>
              <w:t>整体类型</w:t>
            </w:r>
          </w:p>
        </w:tc>
        <w:tc>
          <w:tcPr>
            <w:tcW w:w="5473" w:type="dxa"/>
            <w:tcMar>
              <w:top w:w="60" w:type="dxa"/>
              <w:left w:w="120" w:type="dxa"/>
              <w:bottom w:w="30" w:type="dxa"/>
              <w:right w:w="120" w:type="dxa"/>
            </w:tcMar>
          </w:tcPr>
          <w:p w14:paraId="1BC4DBB8">
            <w:pPr>
              <w:keepNext/>
              <w:snapToGrid w:val="0"/>
              <w:spacing w:before="120" w:after="120" w:line="288" w:lineRule="auto"/>
              <w:ind w:left="0"/>
              <w:jc w:val="left"/>
            </w:pPr>
            <w:r>
              <w:rPr>
                <w:rFonts w:ascii="Arial" w:hAnsi="Arial" w:eastAsia="等线" w:cs="Arial"/>
                <w:sz w:val="22"/>
              </w:rPr>
              <w:t>优化类（核心）+综合类（含预测、决策）</w:t>
            </w:r>
          </w:p>
        </w:tc>
      </w:tr>
      <w:tr w14:paraId="5A58276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613" w:type="dxa"/>
            <w:tcMar>
              <w:top w:w="60" w:type="dxa"/>
              <w:left w:w="120" w:type="dxa"/>
              <w:bottom w:w="30" w:type="dxa"/>
              <w:right w:w="120" w:type="dxa"/>
            </w:tcMar>
          </w:tcPr>
          <w:p w14:paraId="0D760542">
            <w:pPr>
              <w:keepNext/>
              <w:snapToGrid w:val="0"/>
              <w:spacing w:before="120" w:after="120" w:line="288" w:lineRule="auto"/>
              <w:ind w:left="0"/>
              <w:jc w:val="left"/>
            </w:pPr>
            <w:r>
              <w:rPr>
                <w:rFonts w:ascii="Arial" w:hAnsi="Arial" w:eastAsia="等线" w:cs="Arial"/>
                <w:sz w:val="22"/>
              </w:rPr>
              <w:t>小问数量/小问类型</w:t>
            </w:r>
          </w:p>
        </w:tc>
        <w:tc>
          <w:tcPr>
            <w:tcW w:w="5473" w:type="dxa"/>
            <w:tcMar>
              <w:top w:w="60" w:type="dxa"/>
              <w:left w:w="120" w:type="dxa"/>
              <w:bottom w:w="30" w:type="dxa"/>
              <w:right w:w="120" w:type="dxa"/>
            </w:tcMar>
          </w:tcPr>
          <w:p w14:paraId="028AF5FD">
            <w:pPr>
              <w:keepNext/>
              <w:snapToGrid w:val="0"/>
              <w:spacing w:before="120" w:after="120" w:line="288" w:lineRule="auto"/>
              <w:ind w:left="0"/>
              <w:jc w:val="left"/>
            </w:pPr>
            <w:r>
              <w:rPr>
                <w:rFonts w:ascii="Arial" w:hAnsi="Arial" w:eastAsia="等线" w:cs="Arial"/>
                <w:sz w:val="22"/>
              </w:rPr>
              <w:t>5个小问；1.优化类；2.鲁棒性分析类；3.预测+优化类；4.环境影响分析类；5.决策建议类</w:t>
            </w:r>
          </w:p>
        </w:tc>
      </w:tr>
      <w:tr w14:paraId="600485D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613" w:type="dxa"/>
            <w:tcMar>
              <w:top w:w="60" w:type="dxa"/>
              <w:left w:w="120" w:type="dxa"/>
              <w:bottom w:w="30" w:type="dxa"/>
              <w:right w:w="120" w:type="dxa"/>
            </w:tcMar>
          </w:tcPr>
          <w:p w14:paraId="4041E4E2">
            <w:pPr>
              <w:keepNext/>
              <w:snapToGrid w:val="0"/>
              <w:spacing w:before="120" w:after="120" w:line="288" w:lineRule="auto"/>
              <w:ind w:left="0"/>
              <w:jc w:val="left"/>
            </w:pPr>
            <w:r>
              <w:rPr>
                <w:rFonts w:ascii="Arial" w:hAnsi="Arial" w:eastAsia="等线" w:cs="Arial"/>
                <w:sz w:val="22"/>
              </w:rPr>
              <w:t>每小问主要问题</w:t>
            </w:r>
          </w:p>
        </w:tc>
        <w:tc>
          <w:tcPr>
            <w:tcW w:w="5473" w:type="dxa"/>
            <w:tcMar>
              <w:top w:w="60" w:type="dxa"/>
              <w:left w:w="120" w:type="dxa"/>
              <w:bottom w:w="30" w:type="dxa"/>
              <w:right w:w="120" w:type="dxa"/>
            </w:tcMar>
          </w:tcPr>
          <w:p w14:paraId="2CEFF128">
            <w:pPr>
              <w:keepNext/>
              <w:snapToGrid w:val="0"/>
              <w:spacing w:before="120" w:after="120" w:line="288" w:lineRule="auto"/>
              <w:ind w:left="0"/>
              <w:jc w:val="left"/>
            </w:pPr>
            <w:r>
              <w:rPr>
                <w:rFonts w:ascii="Arial" w:hAnsi="Arial" w:eastAsia="等线" w:cs="Arial"/>
                <w:sz w:val="22"/>
              </w:rPr>
              <w:t>1. 设计三种运输方案（仅太空电梯、仅火箭、组合方案），优化运输成本和时间表；2. 分析运输系统非理想状态对方案的影响；3. 预测月球殖民地年用水需求，优化额外运输成本和时间表；4. 分析不同方案的环境影响，调整模型最小化环境影响；5. 向MCM机构推荐行动方案</w:t>
            </w:r>
          </w:p>
        </w:tc>
      </w:tr>
      <w:tr w14:paraId="62821E1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613" w:type="dxa"/>
            <w:tcMar>
              <w:top w:w="60" w:type="dxa"/>
              <w:left w:w="120" w:type="dxa"/>
              <w:bottom w:w="30" w:type="dxa"/>
              <w:right w:w="120" w:type="dxa"/>
            </w:tcMar>
          </w:tcPr>
          <w:p w14:paraId="5CD2699F">
            <w:pPr>
              <w:keepNext/>
              <w:snapToGrid w:val="0"/>
              <w:spacing w:before="120" w:after="120" w:line="288" w:lineRule="auto"/>
              <w:ind w:left="0"/>
              <w:jc w:val="left"/>
            </w:pPr>
            <w:r>
              <w:rPr>
                <w:rFonts w:ascii="Arial" w:hAnsi="Arial" w:eastAsia="等线" w:cs="Arial"/>
                <w:sz w:val="22"/>
              </w:rPr>
              <w:t>推荐算法+理由</w:t>
            </w:r>
          </w:p>
        </w:tc>
        <w:tc>
          <w:tcPr>
            <w:tcW w:w="5473" w:type="dxa"/>
            <w:tcMar>
              <w:top w:w="60" w:type="dxa"/>
              <w:left w:w="120" w:type="dxa"/>
              <w:bottom w:w="30" w:type="dxa"/>
              <w:right w:w="120" w:type="dxa"/>
            </w:tcMar>
          </w:tcPr>
          <w:p w14:paraId="455A9802">
            <w:pPr>
              <w:keepNext/>
              <w:snapToGrid w:val="0"/>
              <w:spacing w:before="120" w:after="120" w:line="288" w:lineRule="auto"/>
              <w:ind w:left="0"/>
              <w:jc w:val="left"/>
            </w:pPr>
            <w:r>
              <w:rPr>
                <w:rFonts w:ascii="Arial" w:hAnsi="Arial" w:eastAsia="等线" w:cs="Arial"/>
                <w:sz w:val="22"/>
              </w:rPr>
              <w:t>1. 优化类：混合整数规划（MIP）模型；理由：可精准描述运输方式选择、发射场/银河港分配等整数决策变量，以及成本、时间等目标函数，适配多约束优化需求；2. 鲁棒性分析类：区间不确定性分析+蒙特卡洛模拟；理由：可量化系统故障（如火箭故障率、电梯停运概率）对结果的影响，评估方案稳定性；3. 预测+优化类：回归预测+多目标优化（MOEA/D）；理由：先通过回归模型预测用水需求，再用多目标算法平衡成本与时间，兼顾准确性与优化效果；4. 环境影响分析类：生命周期评估（LCA）+层次分析法（AHP）；理由：LCA量化环境足迹，AHP整合多环境指标（碳排放、污染等），形成综合环境影响评分；5. 决策建议类：TOPSIS法；理由：可在多方案（成本、时间、环境、鲁棒性）间进行综合排序，支撑推荐决策</w:t>
            </w:r>
          </w:p>
        </w:tc>
      </w:tr>
      <w:tr w14:paraId="17A7D20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613" w:type="dxa"/>
            <w:tcMar>
              <w:top w:w="60" w:type="dxa"/>
              <w:left w:w="120" w:type="dxa"/>
              <w:bottom w:w="30" w:type="dxa"/>
              <w:right w:w="120" w:type="dxa"/>
            </w:tcMar>
          </w:tcPr>
          <w:p w14:paraId="591367B4">
            <w:pPr>
              <w:keepNext/>
              <w:snapToGrid w:val="0"/>
              <w:spacing w:before="120" w:after="120" w:line="288" w:lineRule="auto"/>
              <w:ind w:left="0"/>
              <w:jc w:val="left"/>
            </w:pPr>
            <w:r>
              <w:rPr>
                <w:rFonts w:ascii="Arial" w:hAnsi="Arial" w:eastAsia="等线" w:cs="Arial"/>
                <w:sz w:val="22"/>
              </w:rPr>
              <w:t>难度系数</w:t>
            </w:r>
          </w:p>
        </w:tc>
        <w:tc>
          <w:tcPr>
            <w:tcW w:w="5473" w:type="dxa"/>
            <w:tcMar>
              <w:top w:w="60" w:type="dxa"/>
              <w:left w:w="120" w:type="dxa"/>
              <w:bottom w:w="30" w:type="dxa"/>
              <w:right w:w="120" w:type="dxa"/>
            </w:tcMar>
          </w:tcPr>
          <w:p w14:paraId="13EE6E98">
            <w:pPr>
              <w:keepNext/>
              <w:snapToGrid w:val="0"/>
              <w:spacing w:before="120" w:after="120" w:line="288" w:lineRule="auto"/>
              <w:ind w:left="0"/>
              <w:jc w:val="left"/>
            </w:pPr>
            <w:r>
              <w:rPr>
                <w:rFonts w:ascii="Arial" w:hAnsi="Arial" w:eastAsia="等线" w:cs="Arial"/>
                <w:sz w:val="22"/>
              </w:rPr>
              <w:t>4分（1-5分制）</w:t>
            </w:r>
          </w:p>
        </w:tc>
      </w:tr>
      <w:tr w14:paraId="4A45D38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613" w:type="dxa"/>
            <w:tcMar>
              <w:top w:w="60" w:type="dxa"/>
              <w:left w:w="120" w:type="dxa"/>
              <w:bottom w:w="30" w:type="dxa"/>
              <w:right w:w="120" w:type="dxa"/>
            </w:tcMar>
          </w:tcPr>
          <w:p w14:paraId="3F891331">
            <w:pPr>
              <w:keepNext/>
              <w:snapToGrid w:val="0"/>
              <w:spacing w:before="120" w:after="120" w:line="288" w:lineRule="auto"/>
              <w:ind w:left="0"/>
              <w:jc w:val="left"/>
            </w:pPr>
            <w:r>
              <w:rPr>
                <w:rFonts w:ascii="Arial" w:hAnsi="Arial" w:eastAsia="等线" w:cs="Arial"/>
                <w:sz w:val="22"/>
              </w:rPr>
              <w:t>评分依据</w:t>
            </w:r>
          </w:p>
        </w:tc>
        <w:tc>
          <w:tcPr>
            <w:tcW w:w="5473" w:type="dxa"/>
            <w:tcMar>
              <w:top w:w="60" w:type="dxa"/>
              <w:left w:w="120" w:type="dxa"/>
              <w:bottom w:w="30" w:type="dxa"/>
              <w:right w:w="120" w:type="dxa"/>
            </w:tcMar>
          </w:tcPr>
          <w:p w14:paraId="52116F6E">
            <w:pPr>
              <w:keepNext/>
              <w:snapToGrid w:val="0"/>
              <w:spacing w:before="120" w:after="120" w:line="288" w:lineRule="auto"/>
              <w:ind w:left="0"/>
              <w:jc w:val="left"/>
            </w:pPr>
            <w:r>
              <w:rPr>
                <w:rFonts w:ascii="Arial" w:hAnsi="Arial" w:eastAsia="等线" w:cs="Arial"/>
                <w:sz w:val="22"/>
              </w:rPr>
              <w:t>模型复杂度：高，需构建多目标、多约束的混合整数规划模型，整合运输、成本、时间、环境等多维度；数据获取难度：中等，需收集火箭/太空电梯运输成本、载重、发射频率等公开数据，部分参数需合理假设与校准；创新设计要求：高，需设计组合运输方案的优化机制，以及环境影响与成本/时间的权衡模型；建模工作量：高，需完成三种方案建模、鲁棒性分析、用水需求预测、环境影响评估等多模块工作；综合分析要求：高，需跨领域整合工程运输、成本核算、环境科学等知识，形成全面决策支持</w:t>
            </w:r>
          </w:p>
        </w:tc>
      </w:tr>
      <w:tr w14:paraId="5C9112B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613" w:type="dxa"/>
            <w:tcMar>
              <w:top w:w="60" w:type="dxa"/>
              <w:left w:w="120" w:type="dxa"/>
              <w:bottom w:w="30" w:type="dxa"/>
              <w:right w:w="120" w:type="dxa"/>
            </w:tcMar>
          </w:tcPr>
          <w:p w14:paraId="0F581383">
            <w:pPr>
              <w:keepNext/>
              <w:snapToGrid w:val="0"/>
              <w:spacing w:before="120" w:after="120" w:line="288" w:lineRule="auto"/>
              <w:ind w:left="0"/>
              <w:jc w:val="left"/>
            </w:pPr>
            <w:r>
              <w:rPr>
                <w:rFonts w:ascii="Arial" w:hAnsi="Arial" w:eastAsia="等线" w:cs="Arial"/>
                <w:sz w:val="22"/>
              </w:rPr>
              <w:t>解题难点</w:t>
            </w:r>
          </w:p>
        </w:tc>
        <w:tc>
          <w:tcPr>
            <w:tcW w:w="5473" w:type="dxa"/>
            <w:tcMar>
              <w:top w:w="60" w:type="dxa"/>
              <w:left w:w="120" w:type="dxa"/>
              <w:bottom w:w="30" w:type="dxa"/>
              <w:right w:w="120" w:type="dxa"/>
            </w:tcMar>
          </w:tcPr>
          <w:p w14:paraId="77C57D64">
            <w:pPr>
              <w:keepNext/>
              <w:snapToGrid w:val="0"/>
              <w:spacing w:before="120" w:after="120" w:line="288" w:lineRule="auto"/>
              <w:ind w:left="0"/>
              <w:jc w:val="left"/>
            </w:pPr>
            <w:r>
              <w:rPr>
                <w:rFonts w:ascii="Arial" w:hAnsi="Arial" w:eastAsia="等线" w:cs="Arial"/>
                <w:sz w:val="22"/>
              </w:rPr>
              <w:t>1. 三种运输方案的成本和时间模型构建，尤其是组合方案的资源分配优化；2. 非理想状态下的不确定性量化，如故障概率的合理设定与影响传导；3. 月球殖民地用水需求的合理预测，需结合人类生存需求、循环利用技术等因素；4. 环境影响的量化建模，需选择合适的指标与评估方法；5. 多目标优化中成本、时间、环境影响等目标的权重设定与平衡</w:t>
            </w:r>
          </w:p>
        </w:tc>
      </w:tr>
      <w:tr w14:paraId="616734D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613" w:type="dxa"/>
            <w:tcMar>
              <w:top w:w="60" w:type="dxa"/>
              <w:left w:w="120" w:type="dxa"/>
              <w:bottom w:w="30" w:type="dxa"/>
              <w:right w:w="120" w:type="dxa"/>
            </w:tcMar>
          </w:tcPr>
          <w:p w14:paraId="0982D137">
            <w:pPr>
              <w:keepNext/>
              <w:snapToGrid w:val="0"/>
              <w:spacing w:before="120" w:after="120" w:line="288" w:lineRule="auto"/>
              <w:ind w:left="0"/>
              <w:jc w:val="left"/>
            </w:pPr>
            <w:r>
              <w:rPr>
                <w:rFonts w:ascii="Arial" w:hAnsi="Arial" w:eastAsia="等线" w:cs="Arial"/>
                <w:sz w:val="22"/>
              </w:rPr>
              <w:t>核心要点</w:t>
            </w:r>
          </w:p>
        </w:tc>
        <w:tc>
          <w:tcPr>
            <w:tcW w:w="5473" w:type="dxa"/>
            <w:tcMar>
              <w:top w:w="60" w:type="dxa"/>
              <w:left w:w="120" w:type="dxa"/>
              <w:bottom w:w="30" w:type="dxa"/>
              <w:right w:w="120" w:type="dxa"/>
            </w:tcMar>
          </w:tcPr>
          <w:p w14:paraId="292E6002">
            <w:pPr>
              <w:keepNext/>
              <w:snapToGrid w:val="0"/>
              <w:spacing w:before="120" w:after="120" w:line="288" w:lineRule="auto"/>
              <w:ind w:left="0"/>
              <w:jc w:val="left"/>
            </w:pPr>
            <w:r>
              <w:rPr>
                <w:rFonts w:ascii="Arial" w:hAnsi="Arial" w:eastAsia="等线" w:cs="Arial"/>
                <w:sz w:val="22"/>
              </w:rPr>
              <w:t>1. 明确运输系统的技术参数（载重、运输周期、成本结构），假设需有文献或行业数据支撑；2. 优化模型需考虑约束条件（如银河港年运输能力、火箭发射场容量）；3. 鲁棒性分析需定义合理的故障场景与概率分布；4. 环境影响评估需聚焦关键指标（如碳排放、大气污染）；5. 推荐方案需量化对比各方案的优劣势，提供明确的决策依据</w:t>
            </w:r>
          </w:p>
        </w:tc>
      </w:tr>
      <w:tr w14:paraId="1B4062C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613" w:type="dxa"/>
            <w:tcMar>
              <w:top w:w="60" w:type="dxa"/>
              <w:left w:w="120" w:type="dxa"/>
              <w:bottom w:w="30" w:type="dxa"/>
              <w:right w:w="120" w:type="dxa"/>
            </w:tcMar>
          </w:tcPr>
          <w:p w14:paraId="02C59829">
            <w:pPr>
              <w:keepNext/>
              <w:snapToGrid w:val="0"/>
              <w:spacing w:before="120" w:after="120" w:line="288" w:lineRule="auto"/>
              <w:ind w:left="0"/>
              <w:jc w:val="left"/>
            </w:pPr>
            <w:r>
              <w:rPr>
                <w:rFonts w:ascii="Arial" w:hAnsi="Arial" w:eastAsia="等线" w:cs="Arial"/>
                <w:sz w:val="22"/>
              </w:rPr>
              <w:t>解题思路</w:t>
            </w:r>
          </w:p>
        </w:tc>
        <w:tc>
          <w:tcPr>
            <w:tcW w:w="5473" w:type="dxa"/>
            <w:tcMar>
              <w:top w:w="60" w:type="dxa"/>
              <w:left w:w="120" w:type="dxa"/>
              <w:bottom w:w="30" w:type="dxa"/>
              <w:right w:w="120" w:type="dxa"/>
            </w:tcMar>
          </w:tcPr>
          <w:p w14:paraId="2F0FA12F">
            <w:pPr>
              <w:keepNext/>
              <w:snapToGrid w:val="0"/>
              <w:spacing w:before="120" w:after="120" w:line="288" w:lineRule="auto"/>
              <w:ind w:left="0"/>
              <w:jc w:val="left"/>
            </w:pPr>
            <w:r>
              <w:rPr>
                <w:rFonts w:ascii="Arial" w:hAnsi="Arial" w:eastAsia="等线" w:cs="Arial"/>
                <w:sz w:val="22"/>
              </w:rPr>
              <w:t>1. 数据收集与假设设定：收集火箭（猎鹰重型）和太空电梯的载重、成本、运输周期等数据，设定故障概率、用水标准等关键假设；2. 基础模型构建：建立三种运输方案的成本-时间优化模型，以最小化总成本和运输时间为目标，考虑运输能力约束；3. 鲁棒性分析：引入故障场景（如火箭发射失败、电梯停运），通过蒙特卡洛模拟评估方案的成本和时间波动；4. 用水需求预测与优化：基于人口规模、用水标准、循环利用率，预测年用水需求，扩展优化模型计算额外运输成本和时间；5. 环境影响评估：采用LCA方法量化各方案的环境足迹，结合AHP确定指标权重，计算综合环境得分；6. 方案优化与推荐：用TOPSIS法对三种方案进行多维度（成本、时间、鲁棒性、环境）排序，提出最终推荐方案</w:t>
            </w:r>
          </w:p>
        </w:tc>
      </w:tr>
      <w:tr w14:paraId="26AF3C1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613" w:type="dxa"/>
            <w:tcMar>
              <w:top w:w="60" w:type="dxa"/>
              <w:left w:w="120" w:type="dxa"/>
              <w:bottom w:w="30" w:type="dxa"/>
              <w:right w:w="120" w:type="dxa"/>
            </w:tcMar>
          </w:tcPr>
          <w:p w14:paraId="0FA82617">
            <w:pPr>
              <w:keepNext/>
              <w:snapToGrid w:val="0"/>
              <w:spacing w:before="120" w:after="120" w:line="288" w:lineRule="auto"/>
              <w:ind w:left="0"/>
              <w:jc w:val="left"/>
            </w:pPr>
            <w:r>
              <w:rPr>
                <w:rFonts w:ascii="Arial" w:hAnsi="Arial" w:eastAsia="等线" w:cs="Arial"/>
                <w:sz w:val="22"/>
              </w:rPr>
              <w:t>获奖要点</w:t>
            </w:r>
          </w:p>
        </w:tc>
        <w:tc>
          <w:tcPr>
            <w:tcW w:w="5473" w:type="dxa"/>
            <w:tcMar>
              <w:top w:w="60" w:type="dxa"/>
              <w:left w:w="120" w:type="dxa"/>
              <w:bottom w:w="30" w:type="dxa"/>
              <w:right w:w="120" w:type="dxa"/>
            </w:tcMar>
          </w:tcPr>
          <w:p w14:paraId="78FA5148">
            <w:pPr>
              <w:keepNext/>
              <w:snapToGrid w:val="0"/>
              <w:spacing w:before="120" w:after="120" w:line="288" w:lineRule="auto"/>
              <w:ind w:left="0"/>
              <w:jc w:val="left"/>
            </w:pPr>
            <w:r>
              <w:rPr>
                <w:rFonts w:ascii="Arial" w:hAnsi="Arial" w:eastAsia="等线" w:cs="Arial"/>
                <w:sz w:val="22"/>
              </w:rPr>
              <w:t>1. 模型创新：设计动态组合运输优化机制，如根据运输进度和故障情况调整太空电梯与火箭的运输比例；2. 量化结果：给出各方案的具体成本（美元）、运输时间（年/月）、环境得分、鲁棒性指标（如成本波动系数）；3. 可视化：绘制方案成本-时间 Pareto 前沿、环境影响对比雷达图、鲁棒性分析箱线图；4. 模型检验：通过灵敏度分析验证关键参数（如运输成本、故障概率）对结果的影响，确保模型稳定性；5. 逻辑闭环：从数据收集、模型构建、多场景分析到方案推荐，形成完整的决策支持体系，响应所有小问要求</w:t>
            </w:r>
          </w:p>
        </w:tc>
      </w:tr>
      <w:tr w14:paraId="3B6C04D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613" w:type="dxa"/>
            <w:tcMar>
              <w:top w:w="60" w:type="dxa"/>
              <w:left w:w="120" w:type="dxa"/>
              <w:bottom w:w="30" w:type="dxa"/>
              <w:right w:w="120" w:type="dxa"/>
            </w:tcMar>
          </w:tcPr>
          <w:p w14:paraId="55C2B0CE">
            <w:pPr>
              <w:keepNext/>
              <w:snapToGrid w:val="0"/>
              <w:spacing w:before="120" w:after="120" w:line="288" w:lineRule="auto"/>
              <w:ind w:left="0"/>
              <w:jc w:val="left"/>
            </w:pPr>
            <w:r>
              <w:rPr>
                <w:rFonts w:ascii="Arial" w:hAnsi="Arial" w:eastAsia="等线" w:cs="Arial"/>
                <w:sz w:val="22"/>
              </w:rPr>
              <w:t>分专业/分基础选题建议</w:t>
            </w:r>
          </w:p>
        </w:tc>
        <w:tc>
          <w:tcPr>
            <w:tcW w:w="5473" w:type="dxa"/>
            <w:tcMar>
              <w:top w:w="60" w:type="dxa"/>
              <w:left w:w="120" w:type="dxa"/>
              <w:bottom w:w="30" w:type="dxa"/>
              <w:right w:w="120" w:type="dxa"/>
            </w:tcMar>
          </w:tcPr>
          <w:p w14:paraId="0AA5A83D">
            <w:pPr>
              <w:keepNext/>
              <w:snapToGrid w:val="0"/>
              <w:spacing w:before="120" w:after="120" w:line="288" w:lineRule="auto"/>
              <w:ind w:left="0"/>
              <w:jc w:val="left"/>
            </w:pPr>
            <w:r>
              <w:rPr>
                <w:rFonts w:ascii="Arial" w:hAnsi="Arial" w:eastAsia="等线" w:cs="Arial"/>
                <w:sz w:val="22"/>
              </w:rPr>
              <w:t>数学/统计：推荐；原因：擅长优化模型构建、不确定性分析和数据处理，能高效完成多目标规划任务；&lt;br&gt;计算机/人工智能：推荐；原因：可利用算法优势实现复杂优化模型求解，蒙特卡洛模拟和可视化实现能力强；&lt;br&gt;工科/理科：推荐；原因：具备工程系统认知，能准确设定运输系统参数和约束条件，理解技术可行性；&lt;br&gt;经管/文科：谨慎选择；原因：缺乏优化建模和工程技术基础，但可参与数据收集、环境影响指标梳理等辅助工作，需与理工科组队；&lt;br&gt;跨专业组合：强烈推荐；原因：数学（建模）+计算机（求解）+工科（技术参数）+经管（成本核算）组合可覆盖所有维度，提升方案可行性；&lt;br&gt;零基础/入门级：不推荐；原因：模型复杂度高，涉及多领域知识和复杂算法，入门难度极大；&lt;br&gt;中等基础：不推荐；原因：需掌握混合整数规划、多目标优化等高级算法，以及运输系统相关知识，难以在短时间内完成高质量建模；&lt;br&gt;高阶基础/竞赛经验：推荐；原因：有能力处理多目标、多约束、不确定性等复杂问题，可在模型创新和综合分析上形成竞争优势</w:t>
            </w:r>
          </w:p>
        </w:tc>
      </w:tr>
    </w:tbl>
    <w:p w14:paraId="68E6D622">
      <w:pPr>
        <w:spacing w:before="300" w:after="120" w:line="288" w:lineRule="auto"/>
        <w:ind w:left="0"/>
        <w:jc w:val="left"/>
        <w:outlineLvl w:val="2"/>
      </w:pPr>
      <w:bookmarkStart w:id="18" w:name="heading_18"/>
      <w:r>
        <w:rPr>
          <w:rFonts w:ascii="Arial" w:hAnsi="Arial" w:eastAsia="等线" w:cs="Arial"/>
          <w:b/>
          <w:sz w:val="30"/>
        </w:rPr>
        <w:t>（三）MCM Problem C：与星共舞（DWTS）的数据建模</w:t>
      </w:r>
      <w:bookmarkEnd w:id="18"/>
    </w:p>
    <w:tbl>
      <w:tblPr>
        <w:tblStyle w:val="2"/>
        <w:tblW w:w="8521" w:type="dxa"/>
        <w:jc w:val="center"/>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2879"/>
        <w:gridCol w:w="5642"/>
      </w:tblGrid>
      <w:tr w14:paraId="58F4CA5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79" w:type="dxa"/>
            <w:tcMar>
              <w:top w:w="60" w:type="dxa"/>
              <w:left w:w="120" w:type="dxa"/>
              <w:bottom w:w="30" w:type="dxa"/>
              <w:right w:w="120" w:type="dxa"/>
            </w:tcMar>
          </w:tcPr>
          <w:p w14:paraId="7A2F1E8E">
            <w:pPr>
              <w:keepNext/>
              <w:snapToGrid w:val="0"/>
              <w:spacing w:before="120" w:after="120" w:line="288" w:lineRule="auto"/>
              <w:ind w:left="0"/>
              <w:jc w:val="left"/>
            </w:pPr>
            <w:r>
              <w:rPr>
                <w:rFonts w:ascii="Arial" w:hAnsi="Arial" w:eastAsia="等线" w:cs="Arial"/>
                <w:sz w:val="22"/>
              </w:rPr>
              <w:t>分析维度</w:t>
            </w:r>
          </w:p>
        </w:tc>
        <w:tc>
          <w:tcPr>
            <w:tcW w:w="5642" w:type="dxa"/>
            <w:tcMar>
              <w:top w:w="60" w:type="dxa"/>
              <w:left w:w="120" w:type="dxa"/>
              <w:bottom w:w="30" w:type="dxa"/>
              <w:right w:w="120" w:type="dxa"/>
            </w:tcMar>
          </w:tcPr>
          <w:p w14:paraId="334D2481">
            <w:pPr>
              <w:keepNext/>
              <w:snapToGrid w:val="0"/>
              <w:spacing w:before="120" w:after="120" w:line="288" w:lineRule="auto"/>
              <w:ind w:left="0"/>
              <w:jc w:val="left"/>
            </w:pPr>
            <w:r>
              <w:rPr>
                <w:rFonts w:ascii="Arial" w:hAnsi="Arial" w:eastAsia="等线" w:cs="Arial"/>
                <w:sz w:val="22"/>
              </w:rPr>
              <w:t>具体内容</w:t>
            </w:r>
          </w:p>
        </w:tc>
      </w:tr>
      <w:tr w14:paraId="16E3564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79" w:type="dxa"/>
            <w:tcMar>
              <w:top w:w="60" w:type="dxa"/>
              <w:left w:w="120" w:type="dxa"/>
              <w:bottom w:w="30" w:type="dxa"/>
              <w:right w:w="120" w:type="dxa"/>
            </w:tcMar>
          </w:tcPr>
          <w:p w14:paraId="0FA5E2EF">
            <w:pPr>
              <w:keepNext/>
              <w:snapToGrid w:val="0"/>
              <w:spacing w:before="120" w:after="120" w:line="288" w:lineRule="auto"/>
              <w:ind w:left="0"/>
              <w:jc w:val="left"/>
            </w:pPr>
            <w:r>
              <w:rPr>
                <w:rFonts w:ascii="Arial" w:hAnsi="Arial" w:eastAsia="等线" w:cs="Arial"/>
                <w:sz w:val="22"/>
              </w:rPr>
              <w:t>赛题编号</w:t>
            </w:r>
          </w:p>
        </w:tc>
        <w:tc>
          <w:tcPr>
            <w:tcW w:w="5642" w:type="dxa"/>
            <w:tcMar>
              <w:top w:w="60" w:type="dxa"/>
              <w:left w:w="120" w:type="dxa"/>
              <w:bottom w:w="30" w:type="dxa"/>
              <w:right w:w="120" w:type="dxa"/>
            </w:tcMar>
          </w:tcPr>
          <w:p w14:paraId="5974B762">
            <w:pPr>
              <w:keepNext/>
              <w:snapToGrid w:val="0"/>
              <w:spacing w:before="120" w:after="120" w:line="288" w:lineRule="auto"/>
              <w:ind w:left="0"/>
              <w:jc w:val="left"/>
            </w:pPr>
            <w:r>
              <w:rPr>
                <w:rFonts w:ascii="Arial" w:hAnsi="Arial" w:eastAsia="等线" w:cs="Arial"/>
                <w:sz w:val="22"/>
              </w:rPr>
              <w:t>MCM-C</w:t>
            </w:r>
          </w:p>
        </w:tc>
      </w:tr>
      <w:tr w14:paraId="5BB8F91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79" w:type="dxa"/>
            <w:tcMar>
              <w:top w:w="60" w:type="dxa"/>
              <w:left w:w="120" w:type="dxa"/>
              <w:bottom w:w="30" w:type="dxa"/>
              <w:right w:w="120" w:type="dxa"/>
            </w:tcMar>
          </w:tcPr>
          <w:p w14:paraId="25C201D5">
            <w:pPr>
              <w:keepNext/>
              <w:snapToGrid w:val="0"/>
              <w:spacing w:before="120" w:after="120" w:line="288" w:lineRule="auto"/>
              <w:ind w:left="0"/>
              <w:jc w:val="left"/>
            </w:pPr>
            <w:r>
              <w:rPr>
                <w:rFonts w:ascii="Arial" w:hAnsi="Arial" w:eastAsia="等线" w:cs="Arial"/>
                <w:sz w:val="22"/>
              </w:rPr>
              <w:t>整体类型</w:t>
            </w:r>
          </w:p>
        </w:tc>
        <w:tc>
          <w:tcPr>
            <w:tcW w:w="5642" w:type="dxa"/>
            <w:tcMar>
              <w:top w:w="60" w:type="dxa"/>
              <w:left w:w="120" w:type="dxa"/>
              <w:bottom w:w="30" w:type="dxa"/>
              <w:right w:w="120" w:type="dxa"/>
            </w:tcMar>
          </w:tcPr>
          <w:p w14:paraId="1C7F55CE">
            <w:pPr>
              <w:keepNext/>
              <w:snapToGrid w:val="0"/>
              <w:spacing w:before="120" w:after="120" w:line="288" w:lineRule="auto"/>
              <w:ind w:left="0"/>
              <w:jc w:val="left"/>
            </w:pPr>
            <w:r>
              <w:rPr>
                <w:rFonts w:ascii="Arial" w:hAnsi="Arial" w:eastAsia="等线" w:cs="Arial"/>
                <w:sz w:val="22"/>
              </w:rPr>
              <w:t>预测类（核心）+综合类（含评价、优化）</w:t>
            </w:r>
          </w:p>
        </w:tc>
      </w:tr>
      <w:tr w14:paraId="1143FE3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79" w:type="dxa"/>
            <w:tcMar>
              <w:top w:w="60" w:type="dxa"/>
              <w:left w:w="120" w:type="dxa"/>
              <w:bottom w:w="30" w:type="dxa"/>
              <w:right w:w="120" w:type="dxa"/>
            </w:tcMar>
          </w:tcPr>
          <w:p w14:paraId="46243C90">
            <w:pPr>
              <w:keepNext/>
              <w:snapToGrid w:val="0"/>
              <w:spacing w:before="120" w:after="120" w:line="288" w:lineRule="auto"/>
              <w:ind w:left="0"/>
              <w:jc w:val="left"/>
            </w:pPr>
            <w:r>
              <w:rPr>
                <w:rFonts w:ascii="Arial" w:hAnsi="Arial" w:eastAsia="等线" w:cs="Arial"/>
                <w:sz w:val="22"/>
              </w:rPr>
              <w:t>小问数量/小问类型</w:t>
            </w:r>
          </w:p>
        </w:tc>
        <w:tc>
          <w:tcPr>
            <w:tcW w:w="5642" w:type="dxa"/>
            <w:tcMar>
              <w:top w:w="60" w:type="dxa"/>
              <w:left w:w="120" w:type="dxa"/>
              <w:bottom w:w="30" w:type="dxa"/>
              <w:right w:w="120" w:type="dxa"/>
            </w:tcMar>
          </w:tcPr>
          <w:p w14:paraId="74417381">
            <w:pPr>
              <w:keepNext/>
              <w:snapToGrid w:val="0"/>
              <w:spacing w:before="120" w:after="120" w:line="288" w:lineRule="auto"/>
              <w:ind w:left="0"/>
              <w:jc w:val="left"/>
            </w:pPr>
            <w:r>
              <w:rPr>
                <w:rFonts w:ascii="Arial" w:hAnsi="Arial" w:eastAsia="等线" w:cs="Arial"/>
                <w:sz w:val="22"/>
              </w:rPr>
              <w:t>4个小问；1.预测类；2.评价类+决策类；3.影响因素分析类；4.优化设计类</w:t>
            </w:r>
          </w:p>
        </w:tc>
      </w:tr>
      <w:tr w14:paraId="5D66850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79" w:type="dxa"/>
            <w:tcMar>
              <w:top w:w="60" w:type="dxa"/>
              <w:left w:w="120" w:type="dxa"/>
              <w:bottom w:w="30" w:type="dxa"/>
              <w:right w:w="120" w:type="dxa"/>
            </w:tcMar>
          </w:tcPr>
          <w:p w14:paraId="74E4E652">
            <w:pPr>
              <w:keepNext/>
              <w:snapToGrid w:val="0"/>
              <w:spacing w:before="120" w:after="120" w:line="288" w:lineRule="auto"/>
              <w:ind w:left="0"/>
              <w:jc w:val="left"/>
            </w:pPr>
            <w:r>
              <w:rPr>
                <w:rFonts w:ascii="Arial" w:hAnsi="Arial" w:eastAsia="等线" w:cs="Arial"/>
                <w:sz w:val="22"/>
              </w:rPr>
              <w:t>每小问主要问题</w:t>
            </w:r>
          </w:p>
        </w:tc>
        <w:tc>
          <w:tcPr>
            <w:tcW w:w="5642" w:type="dxa"/>
            <w:tcMar>
              <w:top w:w="60" w:type="dxa"/>
              <w:left w:w="120" w:type="dxa"/>
              <w:bottom w:w="30" w:type="dxa"/>
              <w:right w:w="120" w:type="dxa"/>
            </w:tcMar>
          </w:tcPr>
          <w:p w14:paraId="3E0DA011">
            <w:pPr>
              <w:keepNext/>
              <w:snapToGrid w:val="0"/>
              <w:spacing w:before="120" w:after="120" w:line="288" w:lineRule="auto"/>
              <w:ind w:left="0"/>
              <w:jc w:val="left"/>
            </w:pPr>
            <w:r>
              <w:rPr>
                <w:rFonts w:ascii="Arial" w:hAnsi="Arial" w:eastAsia="等线" w:cs="Arial"/>
                <w:sz w:val="22"/>
              </w:rPr>
              <w:t>1. 预测每位选手每周的观众投票数，验证一致性和确定性；2. 评价两种投票组合方法的优劣，分析争议案例，提出决策建议；3. 分析专业舞者和名人特征对比赛结果的影响；4. 设计新的投票组合系统并证明其优越性</w:t>
            </w:r>
          </w:p>
        </w:tc>
      </w:tr>
      <w:tr w14:paraId="733BB1D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79" w:type="dxa"/>
            <w:tcMar>
              <w:top w:w="60" w:type="dxa"/>
              <w:left w:w="120" w:type="dxa"/>
              <w:bottom w:w="30" w:type="dxa"/>
              <w:right w:w="120" w:type="dxa"/>
            </w:tcMar>
          </w:tcPr>
          <w:p w14:paraId="087D893A">
            <w:pPr>
              <w:keepNext/>
              <w:snapToGrid w:val="0"/>
              <w:spacing w:before="120" w:after="120" w:line="288" w:lineRule="auto"/>
              <w:ind w:left="0"/>
              <w:jc w:val="left"/>
            </w:pPr>
            <w:r>
              <w:rPr>
                <w:rFonts w:ascii="Arial" w:hAnsi="Arial" w:eastAsia="等线" w:cs="Arial"/>
                <w:sz w:val="22"/>
              </w:rPr>
              <w:t>推荐算法+理由</w:t>
            </w:r>
          </w:p>
        </w:tc>
        <w:tc>
          <w:tcPr>
            <w:tcW w:w="5642" w:type="dxa"/>
            <w:tcMar>
              <w:top w:w="60" w:type="dxa"/>
              <w:left w:w="120" w:type="dxa"/>
              <w:bottom w:w="30" w:type="dxa"/>
              <w:right w:w="120" w:type="dxa"/>
            </w:tcMar>
          </w:tcPr>
          <w:p w14:paraId="6B462B13">
            <w:pPr>
              <w:keepNext/>
              <w:snapToGrid w:val="0"/>
              <w:spacing w:before="120" w:after="120" w:line="288" w:lineRule="auto"/>
              <w:ind w:left="0"/>
              <w:jc w:val="left"/>
            </w:pPr>
            <w:r>
              <w:rPr>
                <w:rFonts w:ascii="Arial" w:hAnsi="Arial" w:eastAsia="等线" w:cs="Arial"/>
                <w:sz w:val="22"/>
              </w:rPr>
              <w:t>1. 预测类：贝叶斯推理模型+广义线性模型（GLM）；理由：贝叶斯模型可量化观众投票的不确定性，GLM能整合评委得分、选手特征等预测变量，适配小样本、高维度的预测需求；2. 评价类：层次分析法（AHP）+Kendall和谐系数；理由：AHP可量化两种方法的多维度（公平性、观赏性）表现，Kendall系数用于衡量结果一致性，支撑评价结论；3. 影响因素分析类：多元线性回归+随机森林；理由：回归模型量化线性影响效应，随机森林捕捉非线性和交互效应，全面分析各因素重要性；4. 优化设计类：多目标优化（NSGA-Ⅲ）+满意度调查模拟；理由：可平衡公平性（评委得分权重）和观赏性（观众投票权重），通过模拟验证新系统的接受度</w:t>
            </w:r>
          </w:p>
        </w:tc>
      </w:tr>
      <w:tr w14:paraId="11908E9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79" w:type="dxa"/>
            <w:tcMar>
              <w:top w:w="60" w:type="dxa"/>
              <w:left w:w="120" w:type="dxa"/>
              <w:bottom w:w="30" w:type="dxa"/>
              <w:right w:w="120" w:type="dxa"/>
            </w:tcMar>
          </w:tcPr>
          <w:p w14:paraId="721E1956">
            <w:pPr>
              <w:keepNext/>
              <w:snapToGrid w:val="0"/>
              <w:spacing w:before="120" w:after="120" w:line="288" w:lineRule="auto"/>
              <w:ind w:left="0"/>
              <w:jc w:val="left"/>
            </w:pPr>
            <w:r>
              <w:rPr>
                <w:rFonts w:ascii="Arial" w:hAnsi="Arial" w:eastAsia="等线" w:cs="Arial"/>
                <w:sz w:val="22"/>
              </w:rPr>
              <w:t>难度系数</w:t>
            </w:r>
          </w:p>
        </w:tc>
        <w:tc>
          <w:tcPr>
            <w:tcW w:w="5642" w:type="dxa"/>
            <w:tcMar>
              <w:top w:w="60" w:type="dxa"/>
              <w:left w:w="120" w:type="dxa"/>
              <w:bottom w:w="30" w:type="dxa"/>
              <w:right w:w="120" w:type="dxa"/>
            </w:tcMar>
          </w:tcPr>
          <w:p w14:paraId="076C28B0">
            <w:pPr>
              <w:keepNext/>
              <w:snapToGrid w:val="0"/>
              <w:spacing w:before="120" w:after="120" w:line="288" w:lineRule="auto"/>
              <w:ind w:left="0"/>
              <w:jc w:val="left"/>
            </w:pPr>
            <w:r>
              <w:rPr>
                <w:rFonts w:ascii="Arial" w:hAnsi="Arial" w:eastAsia="等线" w:cs="Arial"/>
                <w:sz w:val="22"/>
              </w:rPr>
              <w:t>3.5分（1-5分制）</w:t>
            </w:r>
          </w:p>
        </w:tc>
      </w:tr>
      <w:tr w14:paraId="02FB303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79" w:type="dxa"/>
            <w:tcMar>
              <w:top w:w="60" w:type="dxa"/>
              <w:left w:w="120" w:type="dxa"/>
              <w:bottom w:w="30" w:type="dxa"/>
              <w:right w:w="120" w:type="dxa"/>
            </w:tcMar>
          </w:tcPr>
          <w:p w14:paraId="2D202C6B">
            <w:pPr>
              <w:keepNext/>
              <w:snapToGrid w:val="0"/>
              <w:spacing w:before="120" w:after="120" w:line="288" w:lineRule="auto"/>
              <w:ind w:left="0"/>
              <w:jc w:val="left"/>
            </w:pPr>
            <w:r>
              <w:rPr>
                <w:rFonts w:ascii="Arial" w:hAnsi="Arial" w:eastAsia="等线" w:cs="Arial"/>
                <w:sz w:val="22"/>
              </w:rPr>
              <w:t>评分依据</w:t>
            </w:r>
          </w:p>
        </w:tc>
        <w:tc>
          <w:tcPr>
            <w:tcW w:w="5642" w:type="dxa"/>
            <w:tcMar>
              <w:top w:w="60" w:type="dxa"/>
              <w:left w:w="120" w:type="dxa"/>
              <w:bottom w:w="30" w:type="dxa"/>
              <w:right w:w="120" w:type="dxa"/>
            </w:tcMar>
          </w:tcPr>
          <w:p w14:paraId="62849DDC">
            <w:pPr>
              <w:keepNext/>
              <w:snapToGrid w:val="0"/>
              <w:spacing w:before="120" w:after="120" w:line="288" w:lineRule="auto"/>
              <w:ind w:left="0"/>
              <w:jc w:val="left"/>
            </w:pPr>
            <w:r>
              <w:rPr>
                <w:rFonts w:ascii="Arial" w:hAnsi="Arial" w:eastAsia="等线" w:cs="Arial"/>
                <w:sz w:val="22"/>
              </w:rPr>
              <w:t>模型复杂度：中等偏高，需整合预测、评价、影响分析、优化等多类模型，处理数据中的缺失值和异常值；数据获取难度：低，题目提供完整的评委得分和选手特征数据，无需额外大量收集；创新设计要求：高，观众投票预测无标准答案，新投票系统的设计需有理论和模拟支撑；建模工作量：高，需完成四个相互关联的任务，数据预处理和模型验证工作量大；综合分析要求：高，需结合统计分析、逻辑推理和实际场景（节目观赏性、公平性），形成有说服力的结论</w:t>
            </w:r>
          </w:p>
        </w:tc>
      </w:tr>
      <w:tr w14:paraId="276B5A6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79" w:type="dxa"/>
            <w:tcMar>
              <w:top w:w="60" w:type="dxa"/>
              <w:left w:w="120" w:type="dxa"/>
              <w:bottom w:w="30" w:type="dxa"/>
              <w:right w:w="120" w:type="dxa"/>
            </w:tcMar>
          </w:tcPr>
          <w:p w14:paraId="6AC462BF">
            <w:pPr>
              <w:keepNext/>
              <w:snapToGrid w:val="0"/>
              <w:spacing w:before="120" w:after="120" w:line="288" w:lineRule="auto"/>
              <w:ind w:left="0"/>
              <w:jc w:val="left"/>
            </w:pPr>
            <w:r>
              <w:rPr>
                <w:rFonts w:ascii="Arial" w:hAnsi="Arial" w:eastAsia="等线" w:cs="Arial"/>
                <w:sz w:val="22"/>
              </w:rPr>
              <w:t>解题难点</w:t>
            </w:r>
          </w:p>
        </w:tc>
        <w:tc>
          <w:tcPr>
            <w:tcW w:w="5642" w:type="dxa"/>
            <w:tcMar>
              <w:top w:w="60" w:type="dxa"/>
              <w:left w:w="120" w:type="dxa"/>
              <w:bottom w:w="30" w:type="dxa"/>
              <w:right w:w="120" w:type="dxa"/>
            </w:tcMar>
          </w:tcPr>
          <w:p w14:paraId="7A614B18">
            <w:pPr>
              <w:keepNext/>
              <w:snapToGrid w:val="0"/>
              <w:spacing w:before="120" w:after="120" w:line="288" w:lineRule="auto"/>
              <w:ind w:left="0"/>
              <w:jc w:val="left"/>
            </w:pPr>
            <w:r>
              <w:rPr>
                <w:rFonts w:ascii="Arial" w:hAnsi="Arial" w:eastAsia="等线" w:cs="Arial"/>
                <w:sz w:val="22"/>
              </w:rPr>
              <w:t>1. 观众投票数的间接预测，无直接数据校准，需通过淘汰结果反向验证；2. 两种投票组合方法的公平性和观赏性量化指标设计；3. 选手特征（如行业、年龄）与评委得分、观众投票的复杂关系建模；4. 新投票系统的合理性论证，需平衡多方利益（评委、观众、制作方）</w:t>
            </w:r>
          </w:p>
        </w:tc>
      </w:tr>
      <w:tr w14:paraId="27AC240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79" w:type="dxa"/>
            <w:tcMar>
              <w:top w:w="60" w:type="dxa"/>
              <w:left w:w="120" w:type="dxa"/>
              <w:bottom w:w="30" w:type="dxa"/>
              <w:right w:w="120" w:type="dxa"/>
            </w:tcMar>
          </w:tcPr>
          <w:p w14:paraId="65CF02F6">
            <w:pPr>
              <w:keepNext/>
              <w:snapToGrid w:val="0"/>
              <w:spacing w:before="120" w:after="120" w:line="288" w:lineRule="auto"/>
              <w:ind w:left="0"/>
              <w:jc w:val="left"/>
            </w:pPr>
            <w:r>
              <w:rPr>
                <w:rFonts w:ascii="Arial" w:hAnsi="Arial" w:eastAsia="等线" w:cs="Arial"/>
                <w:sz w:val="22"/>
              </w:rPr>
              <w:t>核心要点</w:t>
            </w:r>
          </w:p>
        </w:tc>
        <w:tc>
          <w:tcPr>
            <w:tcW w:w="5642" w:type="dxa"/>
            <w:tcMar>
              <w:top w:w="60" w:type="dxa"/>
              <w:left w:w="120" w:type="dxa"/>
              <w:bottom w:w="30" w:type="dxa"/>
              <w:right w:w="120" w:type="dxa"/>
            </w:tcMar>
          </w:tcPr>
          <w:p w14:paraId="6380FB60">
            <w:pPr>
              <w:keepNext/>
              <w:snapToGrid w:val="0"/>
              <w:spacing w:before="120" w:after="120" w:line="288" w:lineRule="auto"/>
              <w:ind w:left="0"/>
              <w:jc w:val="left"/>
            </w:pPr>
            <w:r>
              <w:rPr>
                <w:rFonts w:ascii="Arial" w:hAnsi="Arial" w:eastAsia="等线" w:cs="Arial"/>
                <w:sz w:val="22"/>
              </w:rPr>
              <w:t>1. 数据预处理：处理N/A值、0得分等异常数据，标准化评委得分；2. 预测模型需明确假设条件，量化不确定性；3. 评价指标需贴合节目实际需求（如公平性、争议发生率、观众关注度）；4. 新系统设计需简单可行，避免过度复杂，同时突出创新点</w:t>
            </w:r>
          </w:p>
        </w:tc>
      </w:tr>
      <w:tr w14:paraId="6429C35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79" w:type="dxa"/>
            <w:tcMar>
              <w:top w:w="60" w:type="dxa"/>
              <w:left w:w="120" w:type="dxa"/>
              <w:bottom w:w="30" w:type="dxa"/>
              <w:right w:w="120" w:type="dxa"/>
            </w:tcMar>
          </w:tcPr>
          <w:p w14:paraId="4500511D">
            <w:pPr>
              <w:keepNext/>
              <w:snapToGrid w:val="0"/>
              <w:spacing w:before="120" w:after="120" w:line="288" w:lineRule="auto"/>
              <w:ind w:left="0"/>
              <w:jc w:val="left"/>
            </w:pPr>
            <w:r>
              <w:rPr>
                <w:rFonts w:ascii="Arial" w:hAnsi="Arial" w:eastAsia="等线" w:cs="Arial"/>
                <w:sz w:val="22"/>
              </w:rPr>
              <w:t>解题思路</w:t>
            </w:r>
          </w:p>
        </w:tc>
        <w:tc>
          <w:tcPr>
            <w:tcW w:w="5642" w:type="dxa"/>
            <w:tcMar>
              <w:top w:w="60" w:type="dxa"/>
              <w:left w:w="120" w:type="dxa"/>
              <w:bottom w:w="30" w:type="dxa"/>
              <w:right w:w="120" w:type="dxa"/>
            </w:tcMar>
          </w:tcPr>
          <w:p w14:paraId="2AC7022D">
            <w:pPr>
              <w:keepNext/>
              <w:snapToGrid w:val="0"/>
              <w:spacing w:before="120" w:after="120" w:line="288" w:lineRule="auto"/>
              <w:ind w:left="0"/>
              <w:jc w:val="left"/>
            </w:pPr>
            <w:r>
              <w:rPr>
                <w:rFonts w:ascii="Arial" w:hAnsi="Arial" w:eastAsia="等线" w:cs="Arial"/>
                <w:sz w:val="22"/>
              </w:rPr>
              <w:t>1. 数据预处理：清洗数据，剔除无效记录，标准化每周评委得分，提取选手特征变量（年龄、行业、是否运动员等）；2. 观众投票预测：构建贝叶斯-GLM模型，以评委得分、选手特征、周次为自变量，以淘汰结果为约束，预测观众投票数，计算预测置信区间；3. 投票方法评价：设计评价指标（如争议案例发生率、Top3选手平均评委得分），用AHP量化两种方法的表现，分析争议案例在不同方法下的结果差异；4. 影响因素分析：构建回归模型和随机森林模型，分析专业舞者、选手年龄、行业等因素对评委得分和观众投票的影响程度；5. 新系统设计：采用多目标优化确定评委得分与观众投票的最优权重，加入争议调解机制（如评委复议），通过模拟不同赛季数据验证新系统的优越性</w:t>
            </w:r>
          </w:p>
        </w:tc>
      </w:tr>
      <w:tr w14:paraId="726C03C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79" w:type="dxa"/>
            <w:tcMar>
              <w:top w:w="60" w:type="dxa"/>
              <w:left w:w="120" w:type="dxa"/>
              <w:bottom w:w="30" w:type="dxa"/>
              <w:right w:w="120" w:type="dxa"/>
            </w:tcMar>
          </w:tcPr>
          <w:p w14:paraId="2B166ACD">
            <w:pPr>
              <w:keepNext/>
              <w:snapToGrid w:val="0"/>
              <w:spacing w:before="120" w:after="120" w:line="288" w:lineRule="auto"/>
              <w:ind w:left="0"/>
              <w:jc w:val="left"/>
            </w:pPr>
            <w:r>
              <w:rPr>
                <w:rFonts w:ascii="Arial" w:hAnsi="Arial" w:eastAsia="等线" w:cs="Arial"/>
                <w:sz w:val="22"/>
              </w:rPr>
              <w:t>获奖要点</w:t>
            </w:r>
          </w:p>
        </w:tc>
        <w:tc>
          <w:tcPr>
            <w:tcW w:w="5642" w:type="dxa"/>
            <w:tcMar>
              <w:top w:w="60" w:type="dxa"/>
              <w:left w:w="120" w:type="dxa"/>
              <w:bottom w:w="30" w:type="dxa"/>
              <w:right w:w="120" w:type="dxa"/>
            </w:tcMar>
          </w:tcPr>
          <w:p w14:paraId="650E841B">
            <w:pPr>
              <w:keepNext/>
              <w:snapToGrid w:val="0"/>
              <w:spacing w:before="120" w:after="120" w:line="288" w:lineRule="auto"/>
              <w:ind w:left="0"/>
              <w:jc w:val="left"/>
            </w:pPr>
            <w:r>
              <w:rPr>
                <w:rFonts w:ascii="Arial" w:hAnsi="Arial" w:eastAsia="等线" w:cs="Arial"/>
                <w:sz w:val="22"/>
              </w:rPr>
              <w:t>1. 模型创新：提出融合多源信息的观众投票预测模型，或设计兼具公平性和观赏性的新型投票机制；2. 量化结果：给出观众投票预测值及置信区间、两种方法的评价得分、各因素的影响系数；3. 可视化：绘制预测值与淘汰结果的一致性图、因素重要性排序图、新系统与原有系统的对比图；4. 模型检验：通过交叉验证评估预测模型精度，用历史赛季数据验证新投票系统的有效性；5. 逻辑闭环：从数据预处理到投票预测，再到方法评价、影响分析和新系统设计，形成完整的分析链条，响应节目制作方的实际需求</w:t>
            </w:r>
          </w:p>
        </w:tc>
      </w:tr>
      <w:tr w14:paraId="6A159FE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79" w:type="dxa"/>
            <w:tcMar>
              <w:top w:w="60" w:type="dxa"/>
              <w:left w:w="120" w:type="dxa"/>
              <w:bottom w:w="30" w:type="dxa"/>
              <w:right w:w="120" w:type="dxa"/>
            </w:tcMar>
          </w:tcPr>
          <w:p w14:paraId="5C675FC3">
            <w:pPr>
              <w:keepNext/>
              <w:snapToGrid w:val="0"/>
              <w:spacing w:before="120" w:after="120" w:line="288" w:lineRule="auto"/>
              <w:ind w:left="0"/>
              <w:jc w:val="left"/>
            </w:pPr>
            <w:r>
              <w:rPr>
                <w:rFonts w:ascii="Arial" w:hAnsi="Arial" w:eastAsia="等线" w:cs="Arial"/>
                <w:sz w:val="22"/>
              </w:rPr>
              <w:t>分专业/分基础选题建议</w:t>
            </w:r>
          </w:p>
        </w:tc>
        <w:tc>
          <w:tcPr>
            <w:tcW w:w="5642" w:type="dxa"/>
            <w:tcMar>
              <w:top w:w="60" w:type="dxa"/>
              <w:left w:w="120" w:type="dxa"/>
              <w:bottom w:w="30" w:type="dxa"/>
              <w:right w:w="120" w:type="dxa"/>
            </w:tcMar>
          </w:tcPr>
          <w:p w14:paraId="147059F1">
            <w:pPr>
              <w:keepNext/>
              <w:snapToGrid w:val="0"/>
              <w:spacing w:before="120" w:after="120" w:line="288" w:lineRule="auto"/>
              <w:ind w:left="0"/>
              <w:jc w:val="left"/>
            </w:pPr>
            <w:r>
              <w:rPr>
                <w:rFonts w:ascii="Arial" w:hAnsi="Arial" w:eastAsia="等线" w:cs="Arial"/>
                <w:sz w:val="22"/>
              </w:rPr>
              <w:t>数学/统计：推荐；原因：擅长数据处理、预测模型构建和影响因素分析，能精准量化各类指标，适配统计建模核心需求；&lt;br&gt;计算机/人工智能：推荐；原因：可利用机器学习算法（如随机森林）处理非线性关系，高效完成数据预处理和模拟验证；&lt;br&gt;工科/理科：谨慎选择；原因：需补充统计建模和人文场景理解能力，适合有数据分析基础的团队；&lt;br&gt;经管/文科：谨慎选择；原因：具备节目场景理解和公平性、观赏性等指标设计优势，但需与理工科合作完成建模和量化分析；&lt;br&gt;跨专业组合：强烈推荐；原因：统计（建模）+计算机（算法）+经管/文科（场景理解）组合可优势互补，兼顾模型精度与实际意义；&lt;br&gt;零基础/入门级：不推荐；原因：涉及多种统计模型和数据处理技巧，需具备一定的统计和编程基础，入门难度大；&lt;br&gt;中等基础：谨慎选择；原因：需快速掌握贝叶斯模型、回归分析等统计方法，集中精力攻克投票预测核心任务，适合有基础统计知识但缺乏复杂建模经验的团队；&lt;br&gt;高阶基础/竞赛经验：推荐；原因：可在预测模型创新、新投票系统设计、多维度评价上形成亮点，易获得评委认可</w:t>
            </w:r>
          </w:p>
        </w:tc>
      </w:tr>
    </w:tbl>
    <w:p w14:paraId="15099007">
      <w:pPr>
        <w:spacing w:before="300" w:after="120" w:line="288" w:lineRule="auto"/>
        <w:ind w:left="0"/>
        <w:jc w:val="left"/>
        <w:outlineLvl w:val="9"/>
        <w:rPr>
          <w:rFonts w:ascii="Arial" w:hAnsi="Arial" w:eastAsia="等线" w:cs="Arial"/>
          <w:b/>
          <w:sz w:val="30"/>
        </w:rPr>
      </w:pPr>
      <w:bookmarkStart w:id="19" w:name="heading_19"/>
    </w:p>
    <w:p w14:paraId="4BBF0CFD">
      <w:pPr>
        <w:spacing w:before="300" w:after="120" w:line="288" w:lineRule="auto"/>
        <w:ind w:left="0"/>
        <w:jc w:val="left"/>
        <w:outlineLvl w:val="9"/>
        <w:rPr>
          <w:rFonts w:ascii="Arial" w:hAnsi="Arial" w:eastAsia="等线" w:cs="Arial"/>
          <w:b/>
          <w:sz w:val="30"/>
        </w:rPr>
      </w:pPr>
    </w:p>
    <w:p w14:paraId="115E31DB">
      <w:pPr>
        <w:spacing w:before="300" w:after="120" w:line="288" w:lineRule="auto"/>
        <w:ind w:left="0"/>
        <w:jc w:val="left"/>
        <w:outlineLvl w:val="9"/>
        <w:rPr>
          <w:rFonts w:ascii="Arial" w:hAnsi="Arial" w:eastAsia="等线" w:cs="Arial"/>
          <w:b/>
          <w:sz w:val="30"/>
        </w:rPr>
      </w:pPr>
    </w:p>
    <w:p w14:paraId="00C9D66F">
      <w:pPr>
        <w:spacing w:before="300" w:after="120" w:line="288" w:lineRule="auto"/>
        <w:ind w:left="0"/>
        <w:jc w:val="left"/>
        <w:outlineLvl w:val="9"/>
        <w:rPr>
          <w:rFonts w:ascii="Arial" w:hAnsi="Arial" w:eastAsia="等线" w:cs="Arial"/>
          <w:b/>
          <w:sz w:val="30"/>
        </w:rPr>
      </w:pPr>
    </w:p>
    <w:p w14:paraId="09DA77A7">
      <w:pPr>
        <w:spacing w:before="300" w:after="120" w:line="288" w:lineRule="auto"/>
        <w:ind w:left="0"/>
        <w:jc w:val="left"/>
        <w:outlineLvl w:val="9"/>
        <w:rPr>
          <w:rFonts w:ascii="Arial" w:hAnsi="Arial" w:eastAsia="等线" w:cs="Arial"/>
          <w:b/>
          <w:sz w:val="30"/>
        </w:rPr>
      </w:pPr>
    </w:p>
    <w:p w14:paraId="4B99AF87">
      <w:pPr>
        <w:spacing w:before="300" w:after="120" w:line="288" w:lineRule="auto"/>
        <w:ind w:left="0"/>
        <w:jc w:val="left"/>
        <w:outlineLvl w:val="2"/>
      </w:pPr>
      <w:r>
        <w:rPr>
          <w:rFonts w:ascii="Arial" w:hAnsi="Arial" w:eastAsia="等线" w:cs="Arial"/>
          <w:b/>
          <w:sz w:val="30"/>
        </w:rPr>
        <w:t>（四）ICM Problem D：体育赛事的成功管理</w:t>
      </w:r>
      <w:bookmarkEnd w:id="19"/>
    </w:p>
    <w:tbl>
      <w:tblPr>
        <w:tblStyle w:val="2"/>
        <w:tblW w:w="8521" w:type="dxa"/>
        <w:jc w:val="center"/>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2774"/>
        <w:gridCol w:w="5747"/>
      </w:tblGrid>
      <w:tr w14:paraId="3524AC3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74" w:type="dxa"/>
            <w:tcMar>
              <w:top w:w="60" w:type="dxa"/>
              <w:left w:w="120" w:type="dxa"/>
              <w:bottom w:w="30" w:type="dxa"/>
              <w:right w:w="120" w:type="dxa"/>
            </w:tcMar>
          </w:tcPr>
          <w:p w14:paraId="0ABF9B4C">
            <w:pPr>
              <w:keepNext/>
              <w:snapToGrid w:val="0"/>
              <w:spacing w:before="120" w:after="120" w:line="288" w:lineRule="auto"/>
              <w:ind w:left="0"/>
              <w:jc w:val="left"/>
            </w:pPr>
            <w:r>
              <w:rPr>
                <w:rFonts w:ascii="Arial" w:hAnsi="Arial" w:eastAsia="等线" w:cs="Arial"/>
                <w:sz w:val="22"/>
              </w:rPr>
              <w:t>分析维度</w:t>
            </w:r>
          </w:p>
        </w:tc>
        <w:tc>
          <w:tcPr>
            <w:tcW w:w="5747" w:type="dxa"/>
            <w:tcMar>
              <w:top w:w="60" w:type="dxa"/>
              <w:left w:w="120" w:type="dxa"/>
              <w:bottom w:w="30" w:type="dxa"/>
              <w:right w:w="120" w:type="dxa"/>
            </w:tcMar>
          </w:tcPr>
          <w:p w14:paraId="7A504889">
            <w:pPr>
              <w:keepNext/>
              <w:snapToGrid w:val="0"/>
              <w:spacing w:before="120" w:after="120" w:line="288" w:lineRule="auto"/>
              <w:ind w:left="0"/>
              <w:jc w:val="left"/>
            </w:pPr>
            <w:r>
              <w:rPr>
                <w:rFonts w:ascii="Arial" w:hAnsi="Arial" w:eastAsia="等线" w:cs="Arial"/>
                <w:sz w:val="22"/>
              </w:rPr>
              <w:t>具体内容</w:t>
            </w:r>
          </w:p>
        </w:tc>
      </w:tr>
      <w:tr w14:paraId="65A6ACC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74" w:type="dxa"/>
            <w:tcMar>
              <w:top w:w="60" w:type="dxa"/>
              <w:left w:w="120" w:type="dxa"/>
              <w:bottom w:w="30" w:type="dxa"/>
              <w:right w:w="120" w:type="dxa"/>
            </w:tcMar>
          </w:tcPr>
          <w:p w14:paraId="01082371">
            <w:pPr>
              <w:keepNext/>
              <w:snapToGrid w:val="0"/>
              <w:spacing w:before="120" w:after="120" w:line="288" w:lineRule="auto"/>
              <w:ind w:left="0"/>
              <w:jc w:val="left"/>
            </w:pPr>
            <w:r>
              <w:rPr>
                <w:rFonts w:ascii="Arial" w:hAnsi="Arial" w:eastAsia="等线" w:cs="Arial"/>
                <w:sz w:val="22"/>
              </w:rPr>
              <w:t>赛题编号</w:t>
            </w:r>
          </w:p>
        </w:tc>
        <w:tc>
          <w:tcPr>
            <w:tcW w:w="5747" w:type="dxa"/>
            <w:tcMar>
              <w:top w:w="60" w:type="dxa"/>
              <w:left w:w="120" w:type="dxa"/>
              <w:bottom w:w="30" w:type="dxa"/>
              <w:right w:w="120" w:type="dxa"/>
            </w:tcMar>
          </w:tcPr>
          <w:p w14:paraId="40870E41">
            <w:pPr>
              <w:keepNext/>
              <w:snapToGrid w:val="0"/>
              <w:spacing w:before="120" w:after="120" w:line="288" w:lineRule="auto"/>
              <w:ind w:left="0"/>
              <w:jc w:val="left"/>
            </w:pPr>
            <w:r>
              <w:rPr>
                <w:rFonts w:ascii="Arial" w:hAnsi="Arial" w:eastAsia="等线" w:cs="Arial"/>
                <w:sz w:val="22"/>
              </w:rPr>
              <w:t>ICM-D</w:t>
            </w:r>
          </w:p>
        </w:tc>
      </w:tr>
      <w:tr w14:paraId="21C7D3B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74" w:type="dxa"/>
            <w:tcMar>
              <w:top w:w="60" w:type="dxa"/>
              <w:left w:w="120" w:type="dxa"/>
              <w:bottom w:w="30" w:type="dxa"/>
              <w:right w:w="120" w:type="dxa"/>
            </w:tcMar>
          </w:tcPr>
          <w:p w14:paraId="170F4E1F">
            <w:pPr>
              <w:keepNext/>
              <w:snapToGrid w:val="0"/>
              <w:spacing w:before="120" w:after="120" w:line="288" w:lineRule="auto"/>
              <w:ind w:left="0"/>
              <w:jc w:val="left"/>
            </w:pPr>
            <w:r>
              <w:rPr>
                <w:rFonts w:ascii="Arial" w:hAnsi="Arial" w:eastAsia="等线" w:cs="Arial"/>
                <w:sz w:val="22"/>
              </w:rPr>
              <w:t>整体类型</w:t>
            </w:r>
          </w:p>
        </w:tc>
        <w:tc>
          <w:tcPr>
            <w:tcW w:w="5747" w:type="dxa"/>
            <w:tcMar>
              <w:top w:w="60" w:type="dxa"/>
              <w:left w:w="120" w:type="dxa"/>
              <w:bottom w:w="30" w:type="dxa"/>
              <w:right w:w="120" w:type="dxa"/>
            </w:tcMar>
          </w:tcPr>
          <w:p w14:paraId="5C9E9D89">
            <w:pPr>
              <w:keepNext/>
              <w:snapToGrid w:val="0"/>
              <w:spacing w:before="120" w:after="120" w:line="288" w:lineRule="auto"/>
              <w:ind w:left="0"/>
              <w:jc w:val="left"/>
            </w:pPr>
            <w:r>
              <w:rPr>
                <w:rFonts w:ascii="Arial" w:hAnsi="Arial" w:eastAsia="等线" w:cs="Arial"/>
                <w:sz w:val="22"/>
              </w:rPr>
              <w:t>综合类（核心：决策类+优化类，含预测、评价）</w:t>
            </w:r>
          </w:p>
        </w:tc>
      </w:tr>
      <w:tr w14:paraId="7092186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74" w:type="dxa"/>
            <w:tcMar>
              <w:top w:w="60" w:type="dxa"/>
              <w:left w:w="120" w:type="dxa"/>
              <w:bottom w:w="30" w:type="dxa"/>
              <w:right w:w="120" w:type="dxa"/>
            </w:tcMar>
          </w:tcPr>
          <w:p w14:paraId="3A012398">
            <w:pPr>
              <w:keepNext/>
              <w:snapToGrid w:val="0"/>
              <w:spacing w:before="120" w:after="120" w:line="288" w:lineRule="auto"/>
              <w:ind w:left="0"/>
              <w:jc w:val="left"/>
            </w:pPr>
            <w:r>
              <w:rPr>
                <w:rFonts w:ascii="Arial" w:hAnsi="Arial" w:eastAsia="等线" w:cs="Arial"/>
                <w:sz w:val="22"/>
              </w:rPr>
              <w:t>小问数量/小问类型</w:t>
            </w:r>
          </w:p>
        </w:tc>
        <w:tc>
          <w:tcPr>
            <w:tcW w:w="5747" w:type="dxa"/>
            <w:tcMar>
              <w:top w:w="60" w:type="dxa"/>
              <w:left w:w="120" w:type="dxa"/>
              <w:bottom w:w="30" w:type="dxa"/>
              <w:right w:w="120" w:type="dxa"/>
            </w:tcMar>
          </w:tcPr>
          <w:p w14:paraId="3B1E4AD9">
            <w:pPr>
              <w:keepNext/>
              <w:snapToGrid w:val="0"/>
              <w:spacing w:before="120" w:after="120" w:line="288" w:lineRule="auto"/>
              <w:ind w:left="0"/>
              <w:jc w:val="left"/>
            </w:pPr>
            <w:r>
              <w:rPr>
                <w:rFonts w:ascii="Arial" w:hAnsi="Arial" w:eastAsia="等线" w:cs="Arial"/>
                <w:sz w:val="22"/>
              </w:rPr>
              <w:t>6个小问；1.决策类（动态）；2.优化类；3.鲁棒性分析类；4.优化类；5.应急决策类；6.决策建议类</w:t>
            </w:r>
          </w:p>
        </w:tc>
      </w:tr>
      <w:tr w14:paraId="109C1F0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74" w:type="dxa"/>
            <w:tcMar>
              <w:top w:w="60" w:type="dxa"/>
              <w:left w:w="120" w:type="dxa"/>
              <w:bottom w:w="30" w:type="dxa"/>
              <w:right w:w="120" w:type="dxa"/>
            </w:tcMar>
          </w:tcPr>
          <w:p w14:paraId="06B00E28">
            <w:pPr>
              <w:keepNext/>
              <w:snapToGrid w:val="0"/>
              <w:spacing w:before="120" w:after="120" w:line="288" w:lineRule="auto"/>
              <w:ind w:left="0"/>
              <w:jc w:val="left"/>
            </w:pPr>
            <w:r>
              <w:rPr>
                <w:rFonts w:ascii="Arial" w:hAnsi="Arial" w:eastAsia="等线" w:cs="Arial"/>
                <w:sz w:val="22"/>
              </w:rPr>
              <w:t>每小问主要问题</w:t>
            </w:r>
          </w:p>
        </w:tc>
        <w:tc>
          <w:tcPr>
            <w:tcW w:w="5747" w:type="dxa"/>
            <w:tcMar>
              <w:top w:w="60" w:type="dxa"/>
              <w:left w:w="120" w:type="dxa"/>
              <w:bottom w:w="30" w:type="dxa"/>
              <w:right w:w="120" w:type="dxa"/>
            </w:tcMar>
          </w:tcPr>
          <w:p w14:paraId="46CBD579">
            <w:pPr>
              <w:keepNext/>
              <w:snapToGrid w:val="0"/>
              <w:spacing w:before="120" w:after="120" w:line="288" w:lineRule="auto"/>
              <w:ind w:left="0"/>
              <w:jc w:val="left"/>
            </w:pPr>
            <w:r>
              <w:rPr>
                <w:rFonts w:ascii="Arial" w:hAnsi="Arial" w:eastAsia="等线" w:cs="Arial"/>
                <w:sz w:val="22"/>
              </w:rPr>
              <w:t>1. 构建动态决策模型，平衡球队利润、价值与表现；2. 优化下赛季球员招募策略；3. 分析联赛扩张对球队策略的影响；4. 优化额外业务决策（如门票定价、场馆选择等）；5. 设计核心球员受伤后的调整策略；6. 向老板和总经理推荐策略，分析权衡与风险</w:t>
            </w:r>
          </w:p>
        </w:tc>
      </w:tr>
      <w:tr w14:paraId="4D31046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74" w:type="dxa"/>
            <w:tcMar>
              <w:top w:w="60" w:type="dxa"/>
              <w:left w:w="120" w:type="dxa"/>
              <w:bottom w:w="30" w:type="dxa"/>
              <w:right w:w="120" w:type="dxa"/>
            </w:tcMar>
          </w:tcPr>
          <w:p w14:paraId="1FBA9CE7">
            <w:pPr>
              <w:keepNext/>
              <w:snapToGrid w:val="0"/>
              <w:spacing w:before="120" w:after="120" w:line="288" w:lineRule="auto"/>
              <w:ind w:left="0"/>
              <w:jc w:val="left"/>
            </w:pPr>
            <w:r>
              <w:rPr>
                <w:rFonts w:ascii="Arial" w:hAnsi="Arial" w:eastAsia="等线" w:cs="Arial"/>
                <w:sz w:val="22"/>
              </w:rPr>
              <w:t>推荐算法+理由</w:t>
            </w:r>
          </w:p>
        </w:tc>
        <w:tc>
          <w:tcPr>
            <w:tcW w:w="5747" w:type="dxa"/>
            <w:tcMar>
              <w:top w:w="60" w:type="dxa"/>
              <w:left w:w="120" w:type="dxa"/>
              <w:bottom w:w="30" w:type="dxa"/>
              <w:right w:w="120" w:type="dxa"/>
            </w:tcMar>
          </w:tcPr>
          <w:p w14:paraId="38E36164">
            <w:pPr>
              <w:keepNext/>
              <w:snapToGrid w:val="0"/>
              <w:spacing w:before="120" w:after="120" w:line="288" w:lineRule="auto"/>
              <w:ind w:left="0"/>
              <w:jc w:val="left"/>
            </w:pPr>
            <w:r>
              <w:rPr>
                <w:rFonts w:ascii="Arial" w:hAnsi="Arial" w:eastAsia="等线" w:cs="Arial"/>
                <w:sz w:val="22"/>
              </w:rPr>
              <w:t>1. 动态决策类：系统动力学（SD）+马尔可夫决策过程（MDP）；理由：SD模拟球队业务与体育表现的动态反馈关系，MDP处理多阶段决策问题，适配长期动态优化需求；2. 优化类：多目标整数规划+Agent-Based模型；理由：整数规划处理球员招募的离散决策变量，Agent-Based模型模拟球员互动与团队动态，平衡竞技表现与财务目标；3. 鲁棒性分析类：情景分析法+蒙特卡洛模拟；理由：设计不同联赛扩张情景（新球队位置、数量），模拟策略在各情景下的表现；4. 优化类：收益管理模型+多目标优化（CPLEX求解）；理由：收益管理模型适配门票定价/场馆运营优化，多目标算法平衡短期收益与长期发展；5. 应急决策类：贝叶斯更新+鲁棒优化；理由：贝叶斯更新快速修正受伤后的球员价值评估，鲁棒优化确保调整策略的稳定性；6. 决策建议类：层次分析法（AHP）+TOPSIS；理由：整合财务、竞技、风险等多维度指标，对策略进行综合排序，支撑推荐</w:t>
            </w:r>
          </w:p>
        </w:tc>
      </w:tr>
      <w:tr w14:paraId="078B168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74" w:type="dxa"/>
            <w:tcMar>
              <w:top w:w="60" w:type="dxa"/>
              <w:left w:w="120" w:type="dxa"/>
              <w:bottom w:w="30" w:type="dxa"/>
              <w:right w:w="120" w:type="dxa"/>
            </w:tcMar>
          </w:tcPr>
          <w:p w14:paraId="10EE9914">
            <w:pPr>
              <w:keepNext/>
              <w:snapToGrid w:val="0"/>
              <w:spacing w:before="120" w:after="120" w:line="288" w:lineRule="auto"/>
              <w:ind w:left="0"/>
              <w:jc w:val="left"/>
            </w:pPr>
            <w:r>
              <w:rPr>
                <w:rFonts w:ascii="Arial" w:hAnsi="Arial" w:eastAsia="等线" w:cs="Arial"/>
                <w:sz w:val="22"/>
              </w:rPr>
              <w:t>难度系数</w:t>
            </w:r>
          </w:p>
        </w:tc>
        <w:tc>
          <w:tcPr>
            <w:tcW w:w="5747" w:type="dxa"/>
            <w:tcMar>
              <w:top w:w="60" w:type="dxa"/>
              <w:left w:w="120" w:type="dxa"/>
              <w:bottom w:w="30" w:type="dxa"/>
              <w:right w:w="120" w:type="dxa"/>
            </w:tcMar>
          </w:tcPr>
          <w:p w14:paraId="0187A248">
            <w:pPr>
              <w:keepNext/>
              <w:snapToGrid w:val="0"/>
              <w:spacing w:before="120" w:after="120" w:line="288" w:lineRule="auto"/>
              <w:ind w:left="0"/>
              <w:jc w:val="left"/>
            </w:pPr>
            <w:r>
              <w:rPr>
                <w:rFonts w:ascii="Arial" w:hAnsi="Arial" w:eastAsia="等线" w:cs="Arial"/>
                <w:sz w:val="22"/>
              </w:rPr>
              <w:t>4分（1-5分制）</w:t>
            </w:r>
          </w:p>
        </w:tc>
      </w:tr>
      <w:tr w14:paraId="10E94E0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74" w:type="dxa"/>
            <w:tcMar>
              <w:top w:w="60" w:type="dxa"/>
              <w:left w:w="120" w:type="dxa"/>
              <w:bottom w:w="30" w:type="dxa"/>
              <w:right w:w="120" w:type="dxa"/>
            </w:tcMar>
          </w:tcPr>
          <w:p w14:paraId="35F36954">
            <w:pPr>
              <w:keepNext/>
              <w:snapToGrid w:val="0"/>
              <w:spacing w:before="120" w:after="120" w:line="288" w:lineRule="auto"/>
              <w:ind w:left="0"/>
              <w:jc w:val="left"/>
            </w:pPr>
            <w:r>
              <w:rPr>
                <w:rFonts w:ascii="Arial" w:hAnsi="Arial" w:eastAsia="等线" w:cs="Arial"/>
                <w:sz w:val="22"/>
              </w:rPr>
              <w:t>评分依据</w:t>
            </w:r>
          </w:p>
        </w:tc>
        <w:tc>
          <w:tcPr>
            <w:tcW w:w="5747" w:type="dxa"/>
            <w:tcMar>
              <w:top w:w="60" w:type="dxa"/>
              <w:left w:w="120" w:type="dxa"/>
              <w:bottom w:w="30" w:type="dxa"/>
              <w:right w:w="120" w:type="dxa"/>
            </w:tcMar>
          </w:tcPr>
          <w:p w14:paraId="43379CA8">
            <w:pPr>
              <w:keepNext/>
              <w:snapToGrid w:val="0"/>
              <w:spacing w:before="120" w:after="120" w:line="288" w:lineRule="auto"/>
              <w:ind w:left="0"/>
              <w:jc w:val="left"/>
            </w:pPr>
            <w:r>
              <w:rPr>
                <w:rFonts w:ascii="Arial" w:hAnsi="Arial" w:eastAsia="等线" w:cs="Arial"/>
                <w:sz w:val="22"/>
              </w:rPr>
              <w:t>模型复杂度：高，需构建多模块集成模型，整合动态决策、优化、应急响应等功能，涉及多领域知识；数据获取难度：中等，需收集球队财务数据、球员表现数据、联赛规则等公开数据，部分参数需合理假设；创新设计要求：高，需设计动态耦合的决策框架，以及球员价值的多维度评估体系；建模工作量：高，需完成6个相互关联的小问，模型模块多且逻辑复杂；综合分析要求：高，需结合体育管理、财务、运营等多领域知识，考虑实际业务约束和联赛规则</w:t>
            </w:r>
          </w:p>
        </w:tc>
      </w:tr>
      <w:tr w14:paraId="5695F53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74" w:type="dxa"/>
            <w:tcMar>
              <w:top w:w="60" w:type="dxa"/>
              <w:left w:w="120" w:type="dxa"/>
              <w:bottom w:w="30" w:type="dxa"/>
              <w:right w:w="120" w:type="dxa"/>
            </w:tcMar>
          </w:tcPr>
          <w:p w14:paraId="06492C3E">
            <w:pPr>
              <w:keepNext/>
              <w:snapToGrid w:val="0"/>
              <w:spacing w:before="120" w:after="120" w:line="288" w:lineRule="auto"/>
              <w:ind w:left="0"/>
              <w:jc w:val="left"/>
            </w:pPr>
            <w:r>
              <w:rPr>
                <w:rFonts w:ascii="Arial" w:hAnsi="Arial" w:eastAsia="等线" w:cs="Arial"/>
                <w:sz w:val="22"/>
              </w:rPr>
              <w:t>解题难点</w:t>
            </w:r>
          </w:p>
        </w:tc>
        <w:tc>
          <w:tcPr>
            <w:tcW w:w="5747" w:type="dxa"/>
            <w:tcMar>
              <w:top w:w="60" w:type="dxa"/>
              <w:left w:w="120" w:type="dxa"/>
              <w:bottom w:w="30" w:type="dxa"/>
              <w:right w:w="120" w:type="dxa"/>
            </w:tcMar>
          </w:tcPr>
          <w:p w14:paraId="447747B5">
            <w:pPr>
              <w:keepNext/>
              <w:snapToGrid w:val="0"/>
              <w:spacing w:before="120" w:after="120" w:line="288" w:lineRule="auto"/>
              <w:ind w:left="0"/>
              <w:jc w:val="left"/>
            </w:pPr>
            <w:r>
              <w:rPr>
                <w:rFonts w:ascii="Arial" w:hAnsi="Arial" w:eastAsia="等线" w:cs="Arial"/>
                <w:sz w:val="22"/>
              </w:rPr>
              <w:t>1. 球队财务利润与竞技表现的动态耦合建模，量化两者的相互影响；2. 球员价值的多维度评估（竞技价值+商业价值），平衡短期成绩与长期利润；3. 联赛扩张情景的合理设计与策略适应性分析；4. 额外业务决策的选择与深度优化，需贴合球队实际运营场景；5. 核心球员受伤后的资源重分配与策略调整，兼顾稳定性与灵活性</w:t>
            </w:r>
          </w:p>
        </w:tc>
      </w:tr>
      <w:tr w14:paraId="326B4D0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74" w:type="dxa"/>
            <w:tcMar>
              <w:top w:w="60" w:type="dxa"/>
              <w:left w:w="120" w:type="dxa"/>
              <w:bottom w:w="30" w:type="dxa"/>
              <w:right w:w="120" w:type="dxa"/>
            </w:tcMar>
          </w:tcPr>
          <w:p w14:paraId="50254AF2">
            <w:pPr>
              <w:keepNext/>
              <w:snapToGrid w:val="0"/>
              <w:spacing w:before="120" w:after="120" w:line="288" w:lineRule="auto"/>
              <w:ind w:left="0"/>
              <w:jc w:val="left"/>
            </w:pPr>
            <w:r>
              <w:rPr>
                <w:rFonts w:ascii="Arial" w:hAnsi="Arial" w:eastAsia="等线" w:cs="Arial"/>
                <w:sz w:val="22"/>
              </w:rPr>
              <w:t>核心要点</w:t>
            </w:r>
          </w:p>
        </w:tc>
        <w:tc>
          <w:tcPr>
            <w:tcW w:w="5747" w:type="dxa"/>
            <w:tcMar>
              <w:top w:w="60" w:type="dxa"/>
              <w:left w:w="120" w:type="dxa"/>
              <w:bottom w:w="30" w:type="dxa"/>
              <w:right w:w="120" w:type="dxa"/>
            </w:tcMar>
          </w:tcPr>
          <w:p w14:paraId="78871398">
            <w:pPr>
              <w:keepNext/>
              <w:snapToGrid w:val="0"/>
              <w:spacing w:before="120" w:after="120" w:line="288" w:lineRule="auto"/>
              <w:ind w:left="0"/>
              <w:jc w:val="left"/>
            </w:pPr>
            <w:r>
              <w:rPr>
                <w:rFonts w:ascii="Arial" w:hAnsi="Arial" w:eastAsia="等线" w:cs="Arial"/>
                <w:sz w:val="22"/>
              </w:rPr>
              <w:t>1. 明确模型边界与假设，尤其是财务与竞技指标的量化关系；2. 球员招募策略需符合联赛规则（如薪资帽、选秀制度）；3. 动态模型需考虑时间因素（如赛季进程、球员合同周期）；4. 策略建议需量化收益与风险，提供可操作的实施步骤</w:t>
            </w:r>
          </w:p>
        </w:tc>
      </w:tr>
      <w:tr w14:paraId="55273B5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74" w:type="dxa"/>
            <w:tcMar>
              <w:top w:w="60" w:type="dxa"/>
              <w:left w:w="120" w:type="dxa"/>
              <w:bottom w:w="30" w:type="dxa"/>
              <w:right w:w="120" w:type="dxa"/>
            </w:tcMar>
          </w:tcPr>
          <w:p w14:paraId="5FF75C4A">
            <w:pPr>
              <w:keepNext/>
              <w:snapToGrid w:val="0"/>
              <w:spacing w:before="120" w:after="120" w:line="288" w:lineRule="auto"/>
              <w:ind w:left="0"/>
              <w:jc w:val="left"/>
            </w:pPr>
            <w:r>
              <w:rPr>
                <w:rFonts w:ascii="Arial" w:hAnsi="Arial" w:eastAsia="等线" w:cs="Arial"/>
                <w:sz w:val="22"/>
              </w:rPr>
              <w:t>解题思路</w:t>
            </w:r>
          </w:p>
        </w:tc>
        <w:tc>
          <w:tcPr>
            <w:tcW w:w="5747" w:type="dxa"/>
            <w:tcMar>
              <w:top w:w="60" w:type="dxa"/>
              <w:left w:w="120" w:type="dxa"/>
              <w:bottom w:w="30" w:type="dxa"/>
              <w:right w:w="120" w:type="dxa"/>
            </w:tcMar>
          </w:tcPr>
          <w:p w14:paraId="0C6C3304">
            <w:pPr>
              <w:keepNext/>
              <w:snapToGrid w:val="0"/>
              <w:spacing w:before="120" w:after="120" w:line="288" w:lineRule="auto"/>
              <w:ind w:left="0"/>
              <w:jc w:val="left"/>
            </w:pPr>
            <w:r>
              <w:rPr>
                <w:rFonts w:ascii="Arial" w:hAnsi="Arial" w:eastAsia="等线" w:cs="Arial"/>
                <w:sz w:val="22"/>
              </w:rPr>
              <w:t>1. 模型框架构建：搭建“财务-竞技”双目标动态决策框架，明确核心指标（如营收、胜率、球员价值）及其关系；2. 球员价值评估：建立多维度评估体系（竞技表现：得分、胜率贡献；商业价值：门票、球衣销量贡献），用熵权法确定指标权重；3. 球员招募优化：以薪资帽为约束，构建多目标整数规划模型，优化招募组合（选秀、自由球员、交易）；4. 联赛扩张影响分析：设计不同扩张情景，用蒙特卡洛模拟评估策略在各情景下的利润和胜率变化；5. 额外业务决策优化：选择门票定价策略，构建收益管理模型，结合季节、对手、球队表现动态调整定价；6. 应急策略设计：建立核心球员受伤后的贝叶斯更新模型，修正球员价值，通过鲁棒优化调整阵容和资源分配；7. 策略推荐：用AHP-TOPSIS法对多套策略进行综合评价，提出最终推荐方案</w:t>
            </w:r>
          </w:p>
        </w:tc>
      </w:tr>
      <w:tr w14:paraId="1DB9D8E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74" w:type="dxa"/>
            <w:tcMar>
              <w:top w:w="60" w:type="dxa"/>
              <w:left w:w="120" w:type="dxa"/>
              <w:bottom w:w="30" w:type="dxa"/>
              <w:right w:w="120" w:type="dxa"/>
            </w:tcMar>
          </w:tcPr>
          <w:p w14:paraId="6AEC7186">
            <w:pPr>
              <w:keepNext/>
              <w:snapToGrid w:val="0"/>
              <w:spacing w:before="120" w:after="120" w:line="288" w:lineRule="auto"/>
              <w:ind w:left="0"/>
              <w:jc w:val="left"/>
            </w:pPr>
            <w:r>
              <w:rPr>
                <w:rFonts w:ascii="Arial" w:hAnsi="Arial" w:eastAsia="等线" w:cs="Arial"/>
                <w:sz w:val="22"/>
              </w:rPr>
              <w:t>获奖要点</w:t>
            </w:r>
          </w:p>
        </w:tc>
        <w:tc>
          <w:tcPr>
            <w:tcW w:w="5747" w:type="dxa"/>
            <w:tcMar>
              <w:top w:w="60" w:type="dxa"/>
              <w:left w:w="120" w:type="dxa"/>
              <w:bottom w:w="30" w:type="dxa"/>
              <w:right w:w="120" w:type="dxa"/>
            </w:tcMar>
          </w:tcPr>
          <w:p w14:paraId="0EFB02BB">
            <w:pPr>
              <w:keepNext/>
              <w:snapToGrid w:val="0"/>
              <w:spacing w:before="120" w:after="120" w:line="288" w:lineRule="auto"/>
              <w:ind w:left="0"/>
              <w:jc w:val="left"/>
            </w:pPr>
            <w:r>
              <w:rPr>
                <w:rFonts w:ascii="Arial" w:hAnsi="Arial" w:eastAsia="等线" w:cs="Arial"/>
                <w:sz w:val="22"/>
              </w:rPr>
              <w:t>1. 模型创新：提出“财务-竞技”动态耦合模型，或设计球员商业价值与竞技价值的整合评估方法；2. 量化结果：给出招募策略的具体组合、预期利润、胜率目标、门票定价方案及预期收入；3. 可视化：绘制动态决策流程图、球员价值雷达图、不同情景下的策略表现对比图；4. 模型检验：通过历史数据（如NBA/WNBA球队数据）验证模型合理性，分析参数敏感性；5. 逻辑闭环：从模型构建、多模块分析到策略推荐，形成完整的决策支持体系，考虑实际业务约束和风险</w:t>
            </w:r>
          </w:p>
        </w:tc>
      </w:tr>
      <w:tr w14:paraId="19F7C0E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74" w:type="dxa"/>
            <w:tcMar>
              <w:top w:w="60" w:type="dxa"/>
              <w:left w:w="120" w:type="dxa"/>
              <w:bottom w:w="30" w:type="dxa"/>
              <w:right w:w="120" w:type="dxa"/>
            </w:tcMar>
          </w:tcPr>
          <w:p w14:paraId="5B6F4208">
            <w:pPr>
              <w:keepNext/>
              <w:snapToGrid w:val="0"/>
              <w:spacing w:before="120" w:after="120" w:line="288" w:lineRule="auto"/>
              <w:ind w:left="0"/>
              <w:jc w:val="left"/>
            </w:pPr>
            <w:r>
              <w:rPr>
                <w:rFonts w:ascii="Arial" w:hAnsi="Arial" w:eastAsia="等线" w:cs="Arial"/>
                <w:sz w:val="22"/>
              </w:rPr>
              <w:t>分专业/分基础选题建议</w:t>
            </w:r>
          </w:p>
        </w:tc>
        <w:tc>
          <w:tcPr>
            <w:tcW w:w="5747" w:type="dxa"/>
            <w:tcMar>
              <w:top w:w="60" w:type="dxa"/>
              <w:left w:w="120" w:type="dxa"/>
              <w:bottom w:w="30" w:type="dxa"/>
              <w:right w:w="120" w:type="dxa"/>
            </w:tcMar>
          </w:tcPr>
          <w:p w14:paraId="23852471">
            <w:pPr>
              <w:keepNext/>
              <w:snapToGrid w:val="0"/>
              <w:spacing w:before="120" w:after="120" w:line="288" w:lineRule="auto"/>
              <w:ind w:left="0"/>
              <w:jc w:val="left"/>
            </w:pPr>
            <w:r>
              <w:rPr>
                <w:rFonts w:ascii="Arial" w:hAnsi="Arial" w:eastAsia="等线" w:cs="Arial"/>
                <w:sz w:val="22"/>
              </w:rPr>
              <w:t>数学/统计：推荐；原因：擅长优化模型构建、多指标量化和敏感性分析，能处理动态决策中的复杂数学关系；&lt;br&gt;计算机/人工智能：推荐；原因：可实现Agent-Based模型、蒙特卡洛模拟等复杂模拟，高效处理大量数据和情景分析；&lt;br&gt;工科/理科：谨慎选择；原因：需补充体育管理和财务知识，适合有系统动力学或优化建模基础的团队；&lt;br&gt;经管/文科：推荐；原因：具备体育商业场景理解、财务分析和策略设计优势，可主导情景设计和建议撰写；&lt;br&gt;跨专业组合：强烈推荐；原因：经管（场景+财务）+数学（建模）+计算机（模拟）组合可覆盖所有维度，提升方案的可行性和深度；&lt;br&gt;零基础/入门级：不推荐；原因：涉及多领域知识和复杂模型，需具备系统思维和建模基础，入门难度极大；&lt;br&gt;中等基础：不推荐；原因：需掌握系统动力学、多目标优化等高级方法，以及体育管理相关知识，难以在短时间内完成高质量建模；&lt;br&gt;高阶基础/竞赛经验：推荐；原因：有能力整合多领域知识，设计复杂的动态决策框架，在模型创新和实际应用价值上形成优势</w:t>
            </w:r>
          </w:p>
        </w:tc>
      </w:tr>
    </w:tbl>
    <w:p w14:paraId="1E75C85E">
      <w:pPr>
        <w:spacing w:before="300" w:after="120" w:line="288" w:lineRule="auto"/>
        <w:ind w:left="0"/>
        <w:jc w:val="left"/>
        <w:outlineLvl w:val="9"/>
        <w:rPr>
          <w:rFonts w:ascii="Arial" w:hAnsi="Arial" w:eastAsia="等线" w:cs="Arial"/>
          <w:b/>
          <w:sz w:val="30"/>
        </w:rPr>
      </w:pPr>
      <w:bookmarkStart w:id="20" w:name="heading_20"/>
    </w:p>
    <w:p w14:paraId="26D12B30">
      <w:pPr>
        <w:spacing w:before="300" w:after="120" w:line="288" w:lineRule="auto"/>
        <w:ind w:left="0"/>
        <w:jc w:val="left"/>
        <w:outlineLvl w:val="9"/>
        <w:rPr>
          <w:rFonts w:ascii="Arial" w:hAnsi="Arial" w:eastAsia="等线" w:cs="Arial"/>
          <w:b/>
          <w:sz w:val="30"/>
        </w:rPr>
      </w:pPr>
    </w:p>
    <w:p w14:paraId="4442E567">
      <w:pPr>
        <w:spacing w:before="300" w:after="120" w:line="288" w:lineRule="auto"/>
        <w:ind w:left="0"/>
        <w:jc w:val="left"/>
        <w:outlineLvl w:val="9"/>
        <w:rPr>
          <w:rFonts w:ascii="Arial" w:hAnsi="Arial" w:eastAsia="等线" w:cs="Arial"/>
          <w:b/>
          <w:sz w:val="30"/>
        </w:rPr>
      </w:pPr>
    </w:p>
    <w:p w14:paraId="2ED81745">
      <w:pPr>
        <w:spacing w:before="300" w:after="120" w:line="288" w:lineRule="auto"/>
        <w:ind w:left="0"/>
        <w:jc w:val="left"/>
        <w:outlineLvl w:val="9"/>
        <w:rPr>
          <w:rFonts w:ascii="Arial" w:hAnsi="Arial" w:eastAsia="等线" w:cs="Arial"/>
          <w:b/>
          <w:sz w:val="30"/>
        </w:rPr>
      </w:pPr>
    </w:p>
    <w:p w14:paraId="7430317E">
      <w:pPr>
        <w:spacing w:before="300" w:after="120" w:line="288" w:lineRule="auto"/>
        <w:ind w:left="0"/>
        <w:jc w:val="left"/>
        <w:outlineLvl w:val="9"/>
        <w:rPr>
          <w:rFonts w:ascii="Arial" w:hAnsi="Arial" w:eastAsia="等线" w:cs="Arial"/>
          <w:b/>
          <w:sz w:val="30"/>
        </w:rPr>
      </w:pPr>
    </w:p>
    <w:p w14:paraId="10801B75">
      <w:pPr>
        <w:spacing w:before="300" w:after="120" w:line="288" w:lineRule="auto"/>
        <w:ind w:left="0"/>
        <w:jc w:val="left"/>
        <w:outlineLvl w:val="2"/>
      </w:pPr>
      <w:r>
        <w:rPr>
          <w:rFonts w:ascii="Arial" w:hAnsi="Arial" w:eastAsia="等线" w:cs="Arial"/>
          <w:b/>
          <w:sz w:val="30"/>
        </w:rPr>
        <w:t>（五）ICM Problem E：被动式太阳能遮阳系统</w:t>
      </w:r>
      <w:bookmarkEnd w:id="20"/>
    </w:p>
    <w:tbl>
      <w:tblPr>
        <w:tblStyle w:val="2"/>
        <w:tblW w:w="8521" w:type="dxa"/>
        <w:jc w:val="center"/>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2814"/>
        <w:gridCol w:w="5707"/>
      </w:tblGrid>
      <w:tr w14:paraId="1CEA3E9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14" w:type="dxa"/>
            <w:tcMar>
              <w:top w:w="60" w:type="dxa"/>
              <w:left w:w="120" w:type="dxa"/>
              <w:bottom w:w="30" w:type="dxa"/>
              <w:right w:w="120" w:type="dxa"/>
            </w:tcMar>
          </w:tcPr>
          <w:p w14:paraId="70CBEC74">
            <w:pPr>
              <w:keepNext/>
              <w:snapToGrid w:val="0"/>
              <w:spacing w:before="120" w:after="120" w:line="288" w:lineRule="auto"/>
              <w:ind w:left="0"/>
              <w:jc w:val="left"/>
            </w:pPr>
            <w:r>
              <w:rPr>
                <w:rFonts w:ascii="Arial" w:hAnsi="Arial" w:eastAsia="等线" w:cs="Arial"/>
                <w:sz w:val="22"/>
              </w:rPr>
              <w:t>分析维度</w:t>
            </w:r>
          </w:p>
        </w:tc>
        <w:tc>
          <w:tcPr>
            <w:tcW w:w="5707" w:type="dxa"/>
            <w:tcMar>
              <w:top w:w="60" w:type="dxa"/>
              <w:left w:w="120" w:type="dxa"/>
              <w:bottom w:w="30" w:type="dxa"/>
              <w:right w:w="120" w:type="dxa"/>
            </w:tcMar>
          </w:tcPr>
          <w:p w14:paraId="3B651948">
            <w:pPr>
              <w:keepNext/>
              <w:snapToGrid w:val="0"/>
              <w:spacing w:before="120" w:after="120" w:line="288" w:lineRule="auto"/>
              <w:ind w:left="0"/>
              <w:jc w:val="left"/>
            </w:pPr>
            <w:r>
              <w:rPr>
                <w:rFonts w:ascii="Arial" w:hAnsi="Arial" w:eastAsia="等线" w:cs="Arial"/>
                <w:sz w:val="22"/>
              </w:rPr>
              <w:t>具体内容</w:t>
            </w:r>
          </w:p>
        </w:tc>
      </w:tr>
      <w:tr w14:paraId="5CFDDDB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14" w:type="dxa"/>
            <w:tcMar>
              <w:top w:w="60" w:type="dxa"/>
              <w:left w:w="120" w:type="dxa"/>
              <w:bottom w:w="30" w:type="dxa"/>
              <w:right w:w="120" w:type="dxa"/>
            </w:tcMar>
          </w:tcPr>
          <w:p w14:paraId="77E29994">
            <w:pPr>
              <w:keepNext/>
              <w:snapToGrid w:val="0"/>
              <w:spacing w:before="120" w:after="120" w:line="288" w:lineRule="auto"/>
              <w:ind w:left="0"/>
              <w:jc w:val="left"/>
            </w:pPr>
            <w:r>
              <w:rPr>
                <w:rFonts w:ascii="Arial" w:hAnsi="Arial" w:eastAsia="等线" w:cs="Arial"/>
                <w:sz w:val="22"/>
              </w:rPr>
              <w:t>赛题编号</w:t>
            </w:r>
          </w:p>
        </w:tc>
        <w:tc>
          <w:tcPr>
            <w:tcW w:w="5707" w:type="dxa"/>
            <w:tcMar>
              <w:top w:w="60" w:type="dxa"/>
              <w:left w:w="120" w:type="dxa"/>
              <w:bottom w:w="30" w:type="dxa"/>
              <w:right w:w="120" w:type="dxa"/>
            </w:tcMar>
          </w:tcPr>
          <w:p w14:paraId="657266D3">
            <w:pPr>
              <w:keepNext/>
              <w:snapToGrid w:val="0"/>
              <w:spacing w:before="120" w:after="120" w:line="288" w:lineRule="auto"/>
              <w:ind w:left="0"/>
              <w:jc w:val="left"/>
            </w:pPr>
            <w:r>
              <w:rPr>
                <w:rFonts w:ascii="Arial" w:hAnsi="Arial" w:eastAsia="等线" w:cs="Arial"/>
                <w:sz w:val="22"/>
              </w:rPr>
              <w:t>ICM-E</w:t>
            </w:r>
          </w:p>
        </w:tc>
      </w:tr>
      <w:tr w14:paraId="3D46515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14" w:type="dxa"/>
            <w:tcMar>
              <w:top w:w="60" w:type="dxa"/>
              <w:left w:w="120" w:type="dxa"/>
              <w:bottom w:w="30" w:type="dxa"/>
              <w:right w:w="120" w:type="dxa"/>
            </w:tcMar>
          </w:tcPr>
          <w:p w14:paraId="3026353B">
            <w:pPr>
              <w:keepNext/>
              <w:snapToGrid w:val="0"/>
              <w:spacing w:before="120" w:after="120" w:line="288" w:lineRule="auto"/>
              <w:ind w:left="0"/>
              <w:jc w:val="left"/>
            </w:pPr>
            <w:r>
              <w:rPr>
                <w:rFonts w:ascii="Arial" w:hAnsi="Arial" w:eastAsia="等线" w:cs="Arial"/>
                <w:sz w:val="22"/>
              </w:rPr>
              <w:t>整体类型</w:t>
            </w:r>
          </w:p>
        </w:tc>
        <w:tc>
          <w:tcPr>
            <w:tcW w:w="5707" w:type="dxa"/>
            <w:tcMar>
              <w:top w:w="60" w:type="dxa"/>
              <w:left w:w="120" w:type="dxa"/>
              <w:bottom w:w="30" w:type="dxa"/>
              <w:right w:w="120" w:type="dxa"/>
            </w:tcMar>
          </w:tcPr>
          <w:p w14:paraId="11F2D04E">
            <w:pPr>
              <w:keepNext/>
              <w:snapToGrid w:val="0"/>
              <w:spacing w:before="120" w:after="120" w:line="288" w:lineRule="auto"/>
              <w:ind w:left="0"/>
              <w:jc w:val="left"/>
            </w:pPr>
            <w:r>
              <w:rPr>
                <w:rFonts w:ascii="Arial" w:hAnsi="Arial" w:eastAsia="等线" w:cs="Arial"/>
                <w:sz w:val="22"/>
              </w:rPr>
              <w:t>优化类（核心）+机理分析类</w:t>
            </w:r>
          </w:p>
        </w:tc>
      </w:tr>
      <w:tr w14:paraId="512EABB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14" w:type="dxa"/>
            <w:tcMar>
              <w:top w:w="60" w:type="dxa"/>
              <w:left w:w="120" w:type="dxa"/>
              <w:bottom w:w="30" w:type="dxa"/>
              <w:right w:w="120" w:type="dxa"/>
            </w:tcMar>
          </w:tcPr>
          <w:p w14:paraId="140F60AD">
            <w:pPr>
              <w:keepNext/>
              <w:snapToGrid w:val="0"/>
              <w:spacing w:before="120" w:after="120" w:line="288" w:lineRule="auto"/>
              <w:ind w:left="0"/>
              <w:jc w:val="left"/>
            </w:pPr>
            <w:r>
              <w:rPr>
                <w:rFonts w:ascii="Arial" w:hAnsi="Arial" w:eastAsia="等线" w:cs="Arial"/>
                <w:sz w:val="22"/>
              </w:rPr>
              <w:t>小问数量/小问类型</w:t>
            </w:r>
          </w:p>
        </w:tc>
        <w:tc>
          <w:tcPr>
            <w:tcW w:w="5707" w:type="dxa"/>
            <w:tcMar>
              <w:top w:w="60" w:type="dxa"/>
              <w:left w:w="120" w:type="dxa"/>
              <w:bottom w:w="30" w:type="dxa"/>
              <w:right w:w="120" w:type="dxa"/>
            </w:tcMar>
          </w:tcPr>
          <w:p w14:paraId="5820A25C">
            <w:pPr>
              <w:keepNext/>
              <w:snapToGrid w:val="0"/>
              <w:spacing w:before="120" w:after="120" w:line="288" w:lineRule="auto"/>
              <w:ind w:left="0"/>
              <w:jc w:val="left"/>
            </w:pPr>
            <w:r>
              <w:rPr>
                <w:rFonts w:ascii="Arial" w:hAnsi="Arial" w:eastAsia="等线" w:cs="Arial"/>
                <w:sz w:val="22"/>
              </w:rPr>
              <w:t>5个小问；1.优化类；2.优化类（适配性调整）；3.泛化类；4.优化类（新建筑设计）；5.决策建议类</w:t>
            </w:r>
          </w:p>
        </w:tc>
      </w:tr>
      <w:tr w14:paraId="2346F11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14" w:type="dxa"/>
            <w:tcMar>
              <w:top w:w="60" w:type="dxa"/>
              <w:left w:w="120" w:type="dxa"/>
              <w:bottom w:w="30" w:type="dxa"/>
              <w:right w:w="120" w:type="dxa"/>
            </w:tcMar>
          </w:tcPr>
          <w:p w14:paraId="429D81B4">
            <w:pPr>
              <w:keepNext/>
              <w:snapToGrid w:val="0"/>
              <w:spacing w:before="120" w:after="120" w:line="288" w:lineRule="auto"/>
              <w:ind w:left="0"/>
              <w:jc w:val="left"/>
            </w:pPr>
            <w:r>
              <w:rPr>
                <w:rFonts w:ascii="Arial" w:hAnsi="Arial" w:eastAsia="等线" w:cs="Arial"/>
                <w:sz w:val="22"/>
              </w:rPr>
              <w:t>每小问主要问题</w:t>
            </w:r>
          </w:p>
        </w:tc>
        <w:tc>
          <w:tcPr>
            <w:tcW w:w="5707" w:type="dxa"/>
            <w:tcMar>
              <w:top w:w="60" w:type="dxa"/>
              <w:left w:w="120" w:type="dxa"/>
              <w:bottom w:w="30" w:type="dxa"/>
              <w:right w:w="120" w:type="dxa"/>
            </w:tcMar>
          </w:tcPr>
          <w:p w14:paraId="14938F05">
            <w:pPr>
              <w:keepNext/>
              <w:snapToGrid w:val="0"/>
              <w:spacing w:before="120" w:after="120" w:line="288" w:lineRule="auto"/>
              <w:ind w:left="0"/>
              <w:jc w:val="left"/>
            </w:pPr>
            <w:r>
              <w:rPr>
                <w:rFonts w:ascii="Arial" w:hAnsi="Arial" w:eastAsia="等线" w:cs="Arial"/>
                <w:sz w:val="22"/>
              </w:rPr>
              <w:t>1. 优化桑格罗夫大学北学术楼的被动式太阳能改造方案，减少制冷负荷；2. 调整方案适配博雷alis大学，最大化冬季热量吸收；3. 泛化模型适配不同纬度地区；4. 优化新学生会大楼的被动式遮阳策略；5. 向目标大学推荐改造和新建建筑的实施步骤</w:t>
            </w:r>
          </w:p>
        </w:tc>
      </w:tr>
      <w:tr w14:paraId="0FD040D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14" w:type="dxa"/>
            <w:tcMar>
              <w:top w:w="60" w:type="dxa"/>
              <w:left w:w="120" w:type="dxa"/>
              <w:bottom w:w="30" w:type="dxa"/>
              <w:right w:w="120" w:type="dxa"/>
            </w:tcMar>
          </w:tcPr>
          <w:p w14:paraId="4533C5B4">
            <w:pPr>
              <w:keepNext/>
              <w:snapToGrid w:val="0"/>
              <w:spacing w:before="120" w:after="120" w:line="288" w:lineRule="auto"/>
              <w:ind w:left="0"/>
              <w:jc w:val="left"/>
            </w:pPr>
            <w:r>
              <w:rPr>
                <w:rFonts w:ascii="Arial" w:hAnsi="Arial" w:eastAsia="等线" w:cs="Arial"/>
                <w:sz w:val="22"/>
              </w:rPr>
              <w:t>推荐算法+理由</w:t>
            </w:r>
          </w:p>
        </w:tc>
        <w:tc>
          <w:tcPr>
            <w:tcW w:w="5707" w:type="dxa"/>
            <w:tcMar>
              <w:top w:w="60" w:type="dxa"/>
              <w:left w:w="120" w:type="dxa"/>
              <w:bottom w:w="30" w:type="dxa"/>
              <w:right w:w="120" w:type="dxa"/>
            </w:tcMar>
          </w:tcPr>
          <w:p w14:paraId="2A7A6241">
            <w:pPr>
              <w:keepNext/>
              <w:snapToGrid w:val="0"/>
              <w:spacing w:before="120" w:after="120" w:line="288" w:lineRule="auto"/>
              <w:ind w:left="0"/>
              <w:jc w:val="left"/>
            </w:pPr>
            <w:r>
              <w:rPr>
                <w:rFonts w:ascii="Arial" w:hAnsi="Arial" w:eastAsia="等线" w:cs="Arial"/>
                <w:sz w:val="22"/>
              </w:rPr>
              <w:t>1. 优化类：EnergyPlus模拟+多目标遗传算法（NSGA-Ⅱ）；理由：EnergyPlus精准模拟建筑能耗，NSGA-Ⅱ优化遮阳系统参数（如挑檐长度、材料、角度），平衡制冷/供暖负荷与采光需求；2. 优化类（适配性调整）：响应面法（RSM）+多目标优化；理由：RSM构建热质体效果与建筑参数的关系模型，快速调整方案适配高纬度气候；3. 泛化类：地理加权回归（GWR）+情景迁移模型；理由：GWR量化纬度、气候等地理因素对模型参数的影响，实现模型跨地区泛化；4. 优化类（新建筑设计）：BIM+多目标优化；理由：BIM构建新建筑三维模型，结合能耗模拟优化遮阳系统与建筑形态的整合设计；5. 决策建议类：层次分析法（AHP）+TOPSIS；理由：整合成本、能耗 reduction、美观性等指标，对方案进行综合排序，支撑推荐</w:t>
            </w:r>
          </w:p>
        </w:tc>
      </w:tr>
      <w:tr w14:paraId="345964A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814" w:type="dxa"/>
            <w:tcMar>
              <w:top w:w="60" w:type="dxa"/>
              <w:left w:w="120" w:type="dxa"/>
              <w:bottom w:w="30" w:type="dxa"/>
              <w:right w:w="120" w:type="dxa"/>
            </w:tcMar>
          </w:tcPr>
          <w:p w14:paraId="3F4D571B">
            <w:pPr>
              <w:keepNext/>
              <w:snapToGrid w:val="0"/>
              <w:spacing w:before="120" w:after="120" w:line="288" w:lineRule="auto"/>
              <w:ind w:left="0"/>
              <w:jc w:val="left"/>
            </w:pPr>
            <w:r>
              <w:rPr>
                <w:rFonts w:ascii="Arial" w:hAnsi="Arial" w:eastAsia="等线" w:cs="Arial"/>
                <w:sz w:val="22"/>
              </w:rPr>
              <w:t>难度系数</w:t>
            </w:r>
          </w:p>
        </w:tc>
        <w:tc>
          <w:tcPr>
            <w:tcW w:w="5707" w:type="dxa"/>
            <w:tcMar>
              <w:top w:w="60" w:type="dxa"/>
              <w:left w:w="120" w:type="dxa"/>
              <w:bottom w:w="30" w:type="dxa"/>
              <w:right w:w="120" w:type="dxa"/>
            </w:tcMar>
          </w:tcPr>
          <w:p w14:paraId="69B83CA9">
            <w:pPr>
              <w:keepNext/>
              <w:snapToGrid w:val="0"/>
              <w:spacing w:before="120" w:after="120" w:line="288" w:lineRule="auto"/>
              <w:ind w:left="0"/>
              <w:jc w:val="left"/>
            </w:pPr>
            <w:r>
              <w:rPr>
                <w:rFonts w:ascii="Arial" w:hAnsi="Arial" w:eastAsia="等线" w:cs="Arial"/>
                <w:sz w:val="22"/>
              </w:rPr>
              <w:t>3.5分（1-5分制</w:t>
            </w:r>
          </w:p>
        </w:tc>
      </w:tr>
    </w:tbl>
    <w:p w14:paraId="045390AA">
      <w:pPr>
        <w:spacing w:before="300" w:after="120" w:line="288" w:lineRule="auto"/>
        <w:ind w:left="0"/>
        <w:jc w:val="left"/>
        <w:outlineLvl w:val="2"/>
      </w:pPr>
      <w:r>
        <w:rPr>
          <w:rFonts w:ascii="Arial" w:hAnsi="Arial" w:eastAsia="等线" w:cs="Arial"/>
          <w:b/>
          <w:sz w:val="30"/>
        </w:rPr>
        <w:t>（六）ICM Problem F：生成式人工智能（Gen-AI）：用、不用还是如何用？这是个问题！</w:t>
      </w:r>
    </w:p>
    <w:tbl>
      <w:tblPr>
        <w:tblStyle w:val="2"/>
        <w:tblW w:w="8521" w:type="dxa"/>
        <w:jc w:val="center"/>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2783"/>
        <w:gridCol w:w="5738"/>
      </w:tblGrid>
      <w:tr w14:paraId="418A6C2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83" w:type="dxa"/>
            <w:tcMar>
              <w:top w:w="60" w:type="dxa"/>
              <w:left w:w="120" w:type="dxa"/>
              <w:bottom w:w="30" w:type="dxa"/>
              <w:right w:w="120" w:type="dxa"/>
            </w:tcMar>
          </w:tcPr>
          <w:p w14:paraId="3E6F7D13">
            <w:pPr>
              <w:keepNext/>
              <w:snapToGrid w:val="0"/>
              <w:spacing w:before="120" w:after="120" w:line="288" w:lineRule="auto"/>
              <w:ind w:left="0"/>
              <w:jc w:val="left"/>
            </w:pPr>
            <w:r>
              <w:rPr>
                <w:rFonts w:ascii="Arial" w:hAnsi="Arial" w:eastAsia="等线" w:cs="Arial"/>
                <w:sz w:val="22"/>
              </w:rPr>
              <w:t>分析维度</w:t>
            </w:r>
          </w:p>
        </w:tc>
        <w:tc>
          <w:tcPr>
            <w:tcW w:w="5738" w:type="dxa"/>
            <w:tcMar>
              <w:top w:w="60" w:type="dxa"/>
              <w:left w:w="120" w:type="dxa"/>
              <w:bottom w:w="30" w:type="dxa"/>
              <w:right w:w="120" w:type="dxa"/>
            </w:tcMar>
          </w:tcPr>
          <w:p w14:paraId="0BA77D05">
            <w:pPr>
              <w:keepNext/>
              <w:snapToGrid w:val="0"/>
              <w:spacing w:before="120" w:after="120" w:line="288" w:lineRule="auto"/>
              <w:ind w:left="0"/>
              <w:jc w:val="left"/>
            </w:pPr>
            <w:r>
              <w:rPr>
                <w:rFonts w:ascii="Arial" w:hAnsi="Arial" w:eastAsia="等线" w:cs="Arial"/>
                <w:sz w:val="22"/>
              </w:rPr>
              <w:t>具体内容</w:t>
            </w:r>
          </w:p>
        </w:tc>
      </w:tr>
      <w:tr w14:paraId="4CD1010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83" w:type="dxa"/>
            <w:tcMar>
              <w:top w:w="60" w:type="dxa"/>
              <w:left w:w="120" w:type="dxa"/>
              <w:bottom w:w="30" w:type="dxa"/>
              <w:right w:w="120" w:type="dxa"/>
            </w:tcMar>
          </w:tcPr>
          <w:p w14:paraId="585179E7">
            <w:pPr>
              <w:keepNext/>
              <w:snapToGrid w:val="0"/>
              <w:spacing w:before="120" w:after="120" w:line="288" w:lineRule="auto"/>
              <w:ind w:left="0"/>
              <w:jc w:val="left"/>
            </w:pPr>
            <w:r>
              <w:rPr>
                <w:rFonts w:ascii="Arial" w:hAnsi="Arial" w:eastAsia="等线" w:cs="Arial"/>
                <w:sz w:val="22"/>
              </w:rPr>
              <w:t>赛题编号</w:t>
            </w:r>
          </w:p>
        </w:tc>
        <w:tc>
          <w:tcPr>
            <w:tcW w:w="5738" w:type="dxa"/>
            <w:tcMar>
              <w:top w:w="60" w:type="dxa"/>
              <w:left w:w="120" w:type="dxa"/>
              <w:bottom w:w="30" w:type="dxa"/>
              <w:right w:w="120" w:type="dxa"/>
            </w:tcMar>
          </w:tcPr>
          <w:p w14:paraId="729B6D2D">
            <w:pPr>
              <w:keepNext/>
              <w:snapToGrid w:val="0"/>
              <w:spacing w:before="120" w:after="120" w:line="288" w:lineRule="auto"/>
              <w:ind w:left="0"/>
              <w:jc w:val="left"/>
            </w:pPr>
            <w:r>
              <w:rPr>
                <w:rFonts w:ascii="Arial" w:hAnsi="Arial" w:eastAsia="等线" w:cs="Arial"/>
                <w:sz w:val="22"/>
              </w:rPr>
              <w:t>ICM-F</w:t>
            </w:r>
          </w:p>
        </w:tc>
      </w:tr>
      <w:tr w14:paraId="7831379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83" w:type="dxa"/>
            <w:tcMar>
              <w:top w:w="60" w:type="dxa"/>
              <w:left w:w="120" w:type="dxa"/>
              <w:bottom w:w="30" w:type="dxa"/>
              <w:right w:w="120" w:type="dxa"/>
            </w:tcMar>
          </w:tcPr>
          <w:p w14:paraId="024F5C6B">
            <w:pPr>
              <w:keepNext/>
              <w:snapToGrid w:val="0"/>
              <w:spacing w:before="120" w:after="120" w:line="288" w:lineRule="auto"/>
              <w:ind w:left="0"/>
              <w:jc w:val="left"/>
            </w:pPr>
            <w:r>
              <w:rPr>
                <w:rFonts w:ascii="Arial" w:hAnsi="Arial" w:eastAsia="等线" w:cs="Arial"/>
                <w:sz w:val="22"/>
              </w:rPr>
              <w:t>整体类型</w:t>
            </w:r>
          </w:p>
        </w:tc>
        <w:tc>
          <w:tcPr>
            <w:tcW w:w="5738" w:type="dxa"/>
            <w:tcMar>
              <w:top w:w="60" w:type="dxa"/>
              <w:left w:w="120" w:type="dxa"/>
              <w:bottom w:w="30" w:type="dxa"/>
              <w:right w:w="120" w:type="dxa"/>
            </w:tcMar>
          </w:tcPr>
          <w:p w14:paraId="004CED60">
            <w:pPr>
              <w:keepNext/>
              <w:snapToGrid w:val="0"/>
              <w:spacing w:before="120" w:after="120" w:line="288" w:lineRule="auto"/>
              <w:ind w:left="0"/>
              <w:jc w:val="left"/>
            </w:pPr>
            <w:r>
              <w:rPr>
                <w:rFonts w:ascii="Arial" w:hAnsi="Arial" w:eastAsia="等线" w:cs="Arial"/>
                <w:sz w:val="22"/>
              </w:rPr>
              <w:t>综合类（核心：预测类+决策类，含评价、优化）</w:t>
            </w:r>
          </w:p>
        </w:tc>
      </w:tr>
      <w:tr w14:paraId="1027A2E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83" w:type="dxa"/>
            <w:tcMar>
              <w:top w:w="60" w:type="dxa"/>
              <w:left w:w="120" w:type="dxa"/>
              <w:bottom w:w="30" w:type="dxa"/>
              <w:right w:w="120" w:type="dxa"/>
            </w:tcMar>
          </w:tcPr>
          <w:p w14:paraId="2E4DD62F">
            <w:pPr>
              <w:keepNext/>
              <w:snapToGrid w:val="0"/>
              <w:spacing w:before="120" w:after="120" w:line="288" w:lineRule="auto"/>
              <w:ind w:left="0"/>
              <w:jc w:val="left"/>
            </w:pPr>
            <w:r>
              <w:rPr>
                <w:rFonts w:ascii="Arial" w:hAnsi="Arial" w:eastAsia="等线" w:cs="Arial"/>
                <w:sz w:val="22"/>
              </w:rPr>
              <w:t>小问数量/小问类型</w:t>
            </w:r>
          </w:p>
        </w:tc>
        <w:tc>
          <w:tcPr>
            <w:tcW w:w="5738" w:type="dxa"/>
            <w:tcMar>
              <w:top w:w="60" w:type="dxa"/>
              <w:left w:w="120" w:type="dxa"/>
              <w:bottom w:w="30" w:type="dxa"/>
              <w:right w:w="120" w:type="dxa"/>
            </w:tcMar>
          </w:tcPr>
          <w:p w14:paraId="00DFE77E">
            <w:pPr>
              <w:keepNext/>
              <w:snapToGrid w:val="0"/>
              <w:spacing w:before="120" w:after="120" w:line="288" w:lineRule="auto"/>
              <w:ind w:left="0"/>
              <w:jc w:val="left"/>
            </w:pPr>
            <w:r>
              <w:rPr>
                <w:rFonts w:ascii="Arial" w:hAnsi="Arial" w:eastAsia="等线" w:cs="Arial"/>
                <w:sz w:val="22"/>
              </w:rPr>
              <w:t>4个核心任务+延伸分析，无明确分问；1.预测类（职业未来趋势）；2.决策类（教育方案优化）；3.评价类（多因素影响分析）；4.泛化类（建议推广性分析）</w:t>
            </w:r>
          </w:p>
        </w:tc>
      </w:tr>
      <w:tr w14:paraId="2EA014E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83" w:type="dxa"/>
            <w:tcMar>
              <w:top w:w="60" w:type="dxa"/>
              <w:left w:w="120" w:type="dxa"/>
              <w:bottom w:w="30" w:type="dxa"/>
              <w:right w:w="120" w:type="dxa"/>
            </w:tcMar>
          </w:tcPr>
          <w:p w14:paraId="5373468F">
            <w:pPr>
              <w:keepNext/>
              <w:snapToGrid w:val="0"/>
              <w:spacing w:before="120" w:after="120" w:line="288" w:lineRule="auto"/>
              <w:ind w:left="0"/>
              <w:jc w:val="left"/>
            </w:pPr>
            <w:r>
              <w:rPr>
                <w:rFonts w:ascii="Arial" w:hAnsi="Arial" w:eastAsia="等线" w:cs="Arial"/>
                <w:sz w:val="22"/>
              </w:rPr>
              <w:t>每小问主要问题</w:t>
            </w:r>
          </w:p>
        </w:tc>
        <w:tc>
          <w:tcPr>
            <w:tcW w:w="5738" w:type="dxa"/>
            <w:tcMar>
              <w:top w:w="60" w:type="dxa"/>
              <w:left w:w="120" w:type="dxa"/>
              <w:bottom w:w="30" w:type="dxa"/>
              <w:right w:w="120" w:type="dxa"/>
            </w:tcMar>
          </w:tcPr>
          <w:p w14:paraId="57B3F561">
            <w:pPr>
              <w:keepNext/>
              <w:snapToGrid w:val="0"/>
              <w:spacing w:before="120" w:after="120" w:line="288" w:lineRule="auto"/>
              <w:ind w:left="0"/>
              <w:jc w:val="left"/>
            </w:pPr>
            <w:r>
              <w:rPr>
                <w:rFonts w:ascii="Arial" w:hAnsi="Arial" w:eastAsia="等线" w:cs="Arial"/>
                <w:sz w:val="22"/>
              </w:rPr>
              <w:t>1. 选择STEM、技术贸易、艺术各一个职业，预测Gen-AI对其未来的影响；2. 为对应职业的教育机构设计Gen-AI相关课程与招生策略；3. 分析就业需求外的其他影响因素，调整模型与建议；4. 论证建议的推广性，说明适用范围与依据</w:t>
            </w:r>
          </w:p>
        </w:tc>
      </w:tr>
      <w:tr w14:paraId="4E040F4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83" w:type="dxa"/>
            <w:tcMar>
              <w:top w:w="60" w:type="dxa"/>
              <w:left w:w="120" w:type="dxa"/>
              <w:bottom w:w="30" w:type="dxa"/>
              <w:right w:w="120" w:type="dxa"/>
            </w:tcMar>
          </w:tcPr>
          <w:p w14:paraId="6FBF6D2E">
            <w:pPr>
              <w:keepNext/>
              <w:snapToGrid w:val="0"/>
              <w:spacing w:before="120" w:after="120" w:line="288" w:lineRule="auto"/>
              <w:ind w:left="0"/>
              <w:jc w:val="left"/>
            </w:pPr>
            <w:r>
              <w:rPr>
                <w:rFonts w:ascii="Arial" w:hAnsi="Arial" w:eastAsia="等线" w:cs="Arial"/>
                <w:sz w:val="22"/>
              </w:rPr>
              <w:t>推荐算法+理由</w:t>
            </w:r>
          </w:p>
        </w:tc>
        <w:tc>
          <w:tcPr>
            <w:tcW w:w="5738" w:type="dxa"/>
            <w:tcMar>
              <w:top w:w="60" w:type="dxa"/>
              <w:left w:w="120" w:type="dxa"/>
              <w:bottom w:w="30" w:type="dxa"/>
              <w:right w:w="120" w:type="dxa"/>
            </w:tcMar>
          </w:tcPr>
          <w:p w14:paraId="603B1063">
            <w:pPr>
              <w:keepNext/>
              <w:snapToGrid w:val="0"/>
              <w:spacing w:before="120" w:after="120" w:line="288" w:lineRule="auto"/>
              <w:ind w:left="0"/>
              <w:jc w:val="left"/>
            </w:pPr>
            <w:r>
              <w:rPr>
                <w:rFonts w:ascii="Arial" w:hAnsi="Arial" w:eastAsia="等线" w:cs="Arial"/>
                <w:sz w:val="22"/>
              </w:rPr>
              <w:t>1. 预测类：系统动力学（SD）+贝叶斯网络；理由：SD模拟Gen-AI、职业需求、技术发展的动态反馈，贝叶斯网络量化不确定性（如技术迭代概率），适配长期趋势预测；2. 决策类：多目标优化（MOEA/D）+层次分析法（AHP）；理由：AHP确定教育目标权重（如就业能力、伦理素养），MOEA/D优化课程设置与招生规模，平衡多方需求；3. 评价类：模糊综合评价法+相关性分析；理由：模糊评价量化非就业因素（如伦理风险、创新能力），相关性分析识别因素间交互作用；4. 泛化类：案例推理（CBR）+地理加权回归（GWR）；理由：CBR基于相似机构案例验证推广性，GWR量化地区差异对推广效果的影响</w:t>
            </w:r>
          </w:p>
        </w:tc>
      </w:tr>
      <w:tr w14:paraId="53D0B51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83" w:type="dxa"/>
            <w:tcMar>
              <w:top w:w="60" w:type="dxa"/>
              <w:left w:w="120" w:type="dxa"/>
              <w:bottom w:w="30" w:type="dxa"/>
              <w:right w:w="120" w:type="dxa"/>
            </w:tcMar>
          </w:tcPr>
          <w:p w14:paraId="1BC6CA47">
            <w:pPr>
              <w:keepNext/>
              <w:snapToGrid w:val="0"/>
              <w:spacing w:before="120" w:after="120" w:line="288" w:lineRule="auto"/>
              <w:ind w:left="0"/>
              <w:jc w:val="left"/>
            </w:pPr>
            <w:r>
              <w:rPr>
                <w:rFonts w:ascii="Arial" w:hAnsi="Arial" w:eastAsia="等线" w:cs="Arial"/>
                <w:sz w:val="22"/>
              </w:rPr>
              <w:t>难度系数</w:t>
            </w:r>
          </w:p>
        </w:tc>
        <w:tc>
          <w:tcPr>
            <w:tcW w:w="5738" w:type="dxa"/>
            <w:tcMar>
              <w:top w:w="60" w:type="dxa"/>
              <w:left w:w="120" w:type="dxa"/>
              <w:bottom w:w="30" w:type="dxa"/>
              <w:right w:w="120" w:type="dxa"/>
            </w:tcMar>
          </w:tcPr>
          <w:p w14:paraId="2813E48D">
            <w:pPr>
              <w:keepNext/>
              <w:snapToGrid w:val="0"/>
              <w:spacing w:before="120" w:after="120" w:line="288" w:lineRule="auto"/>
              <w:ind w:left="0"/>
              <w:jc w:val="left"/>
            </w:pPr>
            <w:r>
              <w:rPr>
                <w:rFonts w:ascii="Arial" w:hAnsi="Arial" w:eastAsia="等线" w:cs="Arial"/>
                <w:sz w:val="22"/>
              </w:rPr>
              <w:t>3.5分（1-5分制）</w:t>
            </w:r>
          </w:p>
        </w:tc>
      </w:tr>
      <w:tr w14:paraId="260F76E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83" w:type="dxa"/>
            <w:tcMar>
              <w:top w:w="60" w:type="dxa"/>
              <w:left w:w="120" w:type="dxa"/>
              <w:bottom w:w="30" w:type="dxa"/>
              <w:right w:w="120" w:type="dxa"/>
            </w:tcMar>
          </w:tcPr>
          <w:p w14:paraId="3CA1F425">
            <w:pPr>
              <w:keepNext/>
              <w:snapToGrid w:val="0"/>
              <w:spacing w:before="120" w:after="120" w:line="288" w:lineRule="auto"/>
              <w:ind w:left="0"/>
              <w:jc w:val="left"/>
            </w:pPr>
            <w:r>
              <w:rPr>
                <w:rFonts w:ascii="Arial" w:hAnsi="Arial" w:eastAsia="等线" w:cs="Arial"/>
                <w:sz w:val="22"/>
              </w:rPr>
              <w:t>评分依据</w:t>
            </w:r>
          </w:p>
        </w:tc>
        <w:tc>
          <w:tcPr>
            <w:tcW w:w="5738" w:type="dxa"/>
            <w:tcMar>
              <w:top w:w="60" w:type="dxa"/>
              <w:left w:w="120" w:type="dxa"/>
              <w:bottom w:w="30" w:type="dxa"/>
              <w:right w:w="120" w:type="dxa"/>
            </w:tcMar>
          </w:tcPr>
          <w:p w14:paraId="48AC9005">
            <w:pPr>
              <w:keepNext/>
              <w:snapToGrid w:val="0"/>
              <w:spacing w:before="120" w:after="120" w:line="288" w:lineRule="auto"/>
              <w:ind w:left="0"/>
              <w:jc w:val="left"/>
            </w:pPr>
            <w:r>
              <w:rPr>
                <w:rFonts w:ascii="Arial" w:hAnsi="Arial" w:eastAsia="等线" w:cs="Arial"/>
                <w:sz w:val="22"/>
              </w:rPr>
              <w:t>模型复杂度：中等偏高，需整合预测、决策、评价多模块，处理定性与定量因素结合的问题；数据获取难度：中等，需收集职业就业数据、Gen-AI技术发展报告、教育机构课程信息等公开数据；创新设计要求：高，需设计贴合不同职业特性的Gen-AI教育方案，体现职业差异化；建模工作量：中等偏高，需完成3个职业的针对性分析与建议，逻辑链条长；综合分析要求：高，需跨领域整合人工智能、教育、职业发展知识，考虑伦理、技术、社会多维度因素</w:t>
            </w:r>
          </w:p>
        </w:tc>
      </w:tr>
      <w:tr w14:paraId="7B07F81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83" w:type="dxa"/>
            <w:tcMar>
              <w:top w:w="60" w:type="dxa"/>
              <w:left w:w="120" w:type="dxa"/>
              <w:bottom w:w="30" w:type="dxa"/>
              <w:right w:w="120" w:type="dxa"/>
            </w:tcMar>
          </w:tcPr>
          <w:p w14:paraId="6587BD3B">
            <w:pPr>
              <w:keepNext/>
              <w:snapToGrid w:val="0"/>
              <w:spacing w:before="120" w:after="120" w:line="288" w:lineRule="auto"/>
              <w:ind w:left="0"/>
              <w:jc w:val="left"/>
            </w:pPr>
            <w:r>
              <w:rPr>
                <w:rFonts w:ascii="Arial" w:hAnsi="Arial" w:eastAsia="等线" w:cs="Arial"/>
                <w:sz w:val="22"/>
              </w:rPr>
              <w:t>解题难点</w:t>
            </w:r>
          </w:p>
        </w:tc>
        <w:tc>
          <w:tcPr>
            <w:tcW w:w="5738" w:type="dxa"/>
            <w:tcMar>
              <w:top w:w="60" w:type="dxa"/>
              <w:left w:w="120" w:type="dxa"/>
              <w:bottom w:w="30" w:type="dxa"/>
              <w:right w:w="120" w:type="dxa"/>
            </w:tcMar>
          </w:tcPr>
          <w:p w14:paraId="41B3D779">
            <w:pPr>
              <w:keepNext/>
              <w:snapToGrid w:val="0"/>
              <w:spacing w:before="120" w:after="120" w:line="288" w:lineRule="auto"/>
              <w:ind w:left="0"/>
              <w:jc w:val="left"/>
            </w:pPr>
            <w:r>
              <w:rPr>
                <w:rFonts w:ascii="Arial" w:hAnsi="Arial" w:eastAsia="等线" w:cs="Arial"/>
                <w:sz w:val="22"/>
              </w:rPr>
              <w:t>1. Gen-AI对不同类型职业影响的量化建模，尤其是艺术、技术贸易等非标准化职业；2. 教育方案的差异化设计，需匹配职业特性与机构定位；3. 非就业因素（如伦理、创新、社会责任）的量化评价；4. 建议推广性的合理论证，需平衡共性与个性差异</w:t>
            </w:r>
          </w:p>
        </w:tc>
      </w:tr>
      <w:tr w14:paraId="78C65F2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83" w:type="dxa"/>
            <w:tcMar>
              <w:top w:w="60" w:type="dxa"/>
              <w:left w:w="120" w:type="dxa"/>
              <w:bottom w:w="30" w:type="dxa"/>
              <w:right w:w="120" w:type="dxa"/>
            </w:tcMar>
          </w:tcPr>
          <w:p w14:paraId="30611EDF">
            <w:pPr>
              <w:keepNext/>
              <w:snapToGrid w:val="0"/>
              <w:spacing w:before="120" w:after="120" w:line="288" w:lineRule="auto"/>
              <w:ind w:left="0"/>
              <w:jc w:val="left"/>
            </w:pPr>
            <w:r>
              <w:rPr>
                <w:rFonts w:ascii="Arial" w:hAnsi="Arial" w:eastAsia="等线" w:cs="Arial"/>
                <w:sz w:val="22"/>
              </w:rPr>
              <w:t>核心要点</w:t>
            </w:r>
          </w:p>
        </w:tc>
        <w:tc>
          <w:tcPr>
            <w:tcW w:w="5738" w:type="dxa"/>
            <w:tcMar>
              <w:top w:w="60" w:type="dxa"/>
              <w:left w:w="120" w:type="dxa"/>
              <w:bottom w:w="30" w:type="dxa"/>
              <w:right w:w="120" w:type="dxa"/>
            </w:tcMar>
          </w:tcPr>
          <w:p w14:paraId="4FE52D4A">
            <w:pPr>
              <w:keepNext/>
              <w:snapToGrid w:val="0"/>
              <w:spacing w:before="120" w:after="120" w:line="288" w:lineRule="auto"/>
              <w:ind w:left="0"/>
              <w:jc w:val="left"/>
            </w:pPr>
            <w:r>
              <w:rPr>
                <w:rFonts w:ascii="Arial" w:hAnsi="Arial" w:eastAsia="等线" w:cs="Arial"/>
                <w:sz w:val="22"/>
              </w:rPr>
              <w:t>1. 职业选择需覆盖三类且具有代表性，数据来源需权威可追溯；2. 模型需明确Gen-AI影响职业的核心驱动因素（如自动化替代、效率提升）；3. 教育建议需具体可行，包含课程设置、招生策略、实践环节；4. 非就业因素的选择需贴合职业与教育场景，评价标准清晰</w:t>
            </w:r>
          </w:p>
        </w:tc>
      </w:tr>
      <w:tr w14:paraId="0E372A0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83" w:type="dxa"/>
            <w:tcMar>
              <w:top w:w="60" w:type="dxa"/>
              <w:left w:w="120" w:type="dxa"/>
              <w:bottom w:w="30" w:type="dxa"/>
              <w:right w:w="120" w:type="dxa"/>
            </w:tcMar>
          </w:tcPr>
          <w:p w14:paraId="599EBF96">
            <w:pPr>
              <w:keepNext/>
              <w:snapToGrid w:val="0"/>
              <w:spacing w:before="120" w:after="120" w:line="288" w:lineRule="auto"/>
              <w:ind w:left="0"/>
              <w:jc w:val="left"/>
            </w:pPr>
            <w:r>
              <w:rPr>
                <w:rFonts w:ascii="Arial" w:hAnsi="Arial" w:eastAsia="等线" w:cs="Arial"/>
                <w:sz w:val="22"/>
              </w:rPr>
              <w:t>解题思路</w:t>
            </w:r>
          </w:p>
        </w:tc>
        <w:tc>
          <w:tcPr>
            <w:tcW w:w="5738" w:type="dxa"/>
            <w:tcMar>
              <w:top w:w="60" w:type="dxa"/>
              <w:left w:w="120" w:type="dxa"/>
              <w:bottom w:w="30" w:type="dxa"/>
              <w:right w:w="120" w:type="dxa"/>
            </w:tcMar>
          </w:tcPr>
          <w:p w14:paraId="34BB3342">
            <w:pPr>
              <w:keepNext/>
              <w:snapToGrid w:val="0"/>
              <w:spacing w:before="120" w:after="120" w:line="288" w:lineRule="auto"/>
              <w:ind w:left="0"/>
              <w:jc w:val="left"/>
            </w:pPr>
            <w:r>
              <w:rPr>
                <w:rFonts w:ascii="Arial" w:hAnsi="Arial" w:eastAsia="等线" w:cs="Arial"/>
                <w:sz w:val="22"/>
              </w:rPr>
              <w:t>1. 职业与机构选择：选择代表性职业（如STEM：数据科学家；技术贸易：高级厨师；艺术：新媒体艺术家），匹配对应教育机构（大学、职业学校、艺术学院）；2. 影响预测建模：构建SD模型，整合Gen-AI技术成熟度、职业任务自动化率、市场需求等变量，预测职业规模与技能需求变化；3. 教育方案优化：用AHP确定教育目标权重，通过多目标优化设计课程体系（如AI工具应用、伦理规范、创造性思维培养），制定招生策略；4. 多因素评价：设计非就业因素评价指标体系，用模糊综合评价法评估方案效果，调整模型参数；5. 推广性论证：通过案例推理验证建议在相似机构的适用性，用GWR分析地区、行业差异对推广效果的影响，明确推广边界</w:t>
            </w:r>
          </w:p>
        </w:tc>
      </w:tr>
      <w:tr w14:paraId="2AC3567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83" w:type="dxa"/>
            <w:tcMar>
              <w:top w:w="60" w:type="dxa"/>
              <w:left w:w="120" w:type="dxa"/>
              <w:bottom w:w="30" w:type="dxa"/>
              <w:right w:w="120" w:type="dxa"/>
            </w:tcMar>
          </w:tcPr>
          <w:p w14:paraId="5B8D4928">
            <w:pPr>
              <w:keepNext/>
              <w:snapToGrid w:val="0"/>
              <w:spacing w:before="120" w:after="120" w:line="288" w:lineRule="auto"/>
              <w:ind w:left="0"/>
              <w:jc w:val="left"/>
            </w:pPr>
            <w:r>
              <w:rPr>
                <w:rFonts w:ascii="Arial" w:hAnsi="Arial" w:eastAsia="等线" w:cs="Arial"/>
                <w:sz w:val="22"/>
              </w:rPr>
              <w:t>获奖要点</w:t>
            </w:r>
          </w:p>
        </w:tc>
        <w:tc>
          <w:tcPr>
            <w:tcW w:w="5738" w:type="dxa"/>
            <w:tcMar>
              <w:top w:w="60" w:type="dxa"/>
              <w:left w:w="120" w:type="dxa"/>
              <w:bottom w:w="30" w:type="dxa"/>
              <w:right w:w="120" w:type="dxa"/>
            </w:tcMar>
          </w:tcPr>
          <w:p w14:paraId="31B0C0E1">
            <w:pPr>
              <w:keepNext/>
              <w:snapToGrid w:val="0"/>
              <w:spacing w:before="120" w:after="120" w:line="288" w:lineRule="auto"/>
              <w:ind w:left="0"/>
              <w:jc w:val="left"/>
            </w:pPr>
            <w:r>
              <w:rPr>
                <w:rFonts w:ascii="Arial" w:hAnsi="Arial" w:eastAsia="等线" w:cs="Arial"/>
                <w:sz w:val="22"/>
              </w:rPr>
              <w:t>1. 模型创新：提出Gen-AI对不同类型职业影响的差异化预测框架，或设计融合伦理与创新的教育方案；2. 量化结果：给出职业规模变化预测值、课程设置最优比例、招生规模调整建议等量化结论；3. 可视化：绘制职业趋势预测曲线、教育方案权重雷达图、推广性分析热力图；4. 模型检验：通过敏感性分析验证核心参数对结果的影响，用历史数据（如AI对相关职业的影响）验证预测模型；5. 逻辑闭环：从职业影响预测到教育方案设计，再到多因素评价与推广性论证，形成完整逻辑链，体现跨领域整合能力</w:t>
            </w:r>
          </w:p>
        </w:tc>
      </w:tr>
      <w:tr w14:paraId="3260E53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2783" w:type="dxa"/>
            <w:tcMar>
              <w:top w:w="60" w:type="dxa"/>
              <w:left w:w="120" w:type="dxa"/>
              <w:bottom w:w="30" w:type="dxa"/>
              <w:right w:w="120" w:type="dxa"/>
            </w:tcMar>
          </w:tcPr>
          <w:p w14:paraId="686530B3">
            <w:pPr>
              <w:keepNext/>
              <w:snapToGrid w:val="0"/>
              <w:spacing w:before="120" w:after="120" w:line="288" w:lineRule="auto"/>
              <w:ind w:left="0"/>
              <w:jc w:val="left"/>
            </w:pPr>
            <w:r>
              <w:rPr>
                <w:rFonts w:ascii="Arial" w:hAnsi="Arial" w:eastAsia="等线" w:cs="Arial"/>
                <w:sz w:val="22"/>
              </w:rPr>
              <w:t>分专业/分基础选题建议</w:t>
            </w:r>
          </w:p>
        </w:tc>
        <w:tc>
          <w:tcPr>
            <w:tcW w:w="5738" w:type="dxa"/>
            <w:tcMar>
              <w:top w:w="60" w:type="dxa"/>
              <w:left w:w="120" w:type="dxa"/>
              <w:bottom w:w="30" w:type="dxa"/>
              <w:right w:w="120" w:type="dxa"/>
            </w:tcMar>
          </w:tcPr>
          <w:p w14:paraId="2AE71398">
            <w:pPr>
              <w:keepNext/>
              <w:snapToGrid w:val="0"/>
              <w:spacing w:before="120" w:after="120" w:line="288" w:lineRule="auto"/>
              <w:ind w:left="0"/>
              <w:jc w:val="left"/>
            </w:pPr>
            <w:r>
              <w:rPr>
                <w:rFonts w:ascii="Arial" w:hAnsi="Arial" w:eastAsia="等线" w:cs="Arial"/>
                <w:sz w:val="22"/>
              </w:rPr>
              <w:t>数学/统计：推荐；原因：擅长量化建模、趋势预测和多因素评价，能精准处理不确定性与数据驱动分析；&lt;br&gt;计算机/人工智能：推荐；原因：了解Gen-AI技术特性与应用场景，可精准量化技术对职业的影响，设计贴合实际的教育内容；&lt;br&gt;工科/理科：谨慎选择；原因：需补充教育管理、职业发展相关知识，适合有跨领域学习能力的团队；&lt;br&gt;经管/文科：推荐；原因：具备职业发展、教育政策、伦理分析优势，可主导方案设计与多因素评价，需与理工科合作完成量化建模；&lt;br&gt;跨专业组合：强烈推荐；原因：计算机（技术分析）+教育/经管（方案设计）+数学（量化建模）组合可覆盖所有维度，提升方案深度与可行性；&lt;br&gt;零基础/入门级：谨慎选择；原因：需掌握系统动力学、多目标优化等方法，且需了解Gen-AI与教育相关知识，入门难度较大；&lt;br&gt;中等基础：推荐；原因：可选择其中1-2个职业重点突破，聚焦教育方案设计，量化部分简化处理，适合有基础建模能力且愿意补充跨领域知识的团队；&lt;br&gt;高阶基础/竞赛经验：推荐；原因：可在差异化预测模型、创新教育方案、多维度评价上形成亮点，易获得高分</w:t>
            </w:r>
          </w:p>
        </w:tc>
      </w:tr>
    </w:tbl>
    <w:p w14:paraId="3370AC50">
      <w:pPr>
        <w:spacing w:before="320" w:after="120" w:line="288" w:lineRule="auto"/>
        <w:ind w:left="0"/>
        <w:jc w:val="left"/>
        <w:outlineLvl w:val="1"/>
      </w:pPr>
      <w:r>
        <w:rPr>
          <w:rFonts w:ascii="Arial" w:hAnsi="Arial" w:eastAsia="等线" w:cs="Arial"/>
          <w:b/>
          <w:sz w:val="32"/>
        </w:rPr>
        <w:t>三、6个题目难度综合排序（从易到难）</w:t>
      </w:r>
    </w:p>
    <w:p w14:paraId="7036BE2F">
      <w:pPr>
        <w:numPr>
          <w:ilvl w:val="0"/>
          <w:numId w:val="1"/>
        </w:numPr>
        <w:spacing w:before="120" w:after="120" w:line="288" w:lineRule="auto"/>
        <w:ind w:left="0"/>
        <w:jc w:val="left"/>
        <w:outlineLvl w:val="9"/>
      </w:pPr>
      <w:r>
        <w:rPr>
          <w:rFonts w:ascii="Arial" w:hAnsi="Arial" w:eastAsia="等线" w:cs="Arial"/>
          <w:sz w:val="22"/>
        </w:rPr>
        <w:t xml:space="preserve">MCM-A（智能手机电池耗电建模）：3分  </w:t>
      </w:r>
    </w:p>
    <w:p w14:paraId="2DD1C1E3">
      <w:pPr>
        <w:numPr>
          <w:ilvl w:val="0"/>
          <w:numId w:val="2"/>
        </w:numPr>
        <w:spacing w:before="120" w:after="120" w:line="288" w:lineRule="auto"/>
        <w:ind w:left="0"/>
        <w:jc w:val="left"/>
        <w:outlineLvl w:val="9"/>
      </w:pPr>
      <w:r>
        <w:rPr>
          <w:rFonts w:ascii="Arial" w:hAnsi="Arial" w:eastAsia="等线" w:cs="Arial"/>
          <w:sz w:val="22"/>
        </w:rPr>
        <w:t xml:space="preserve">ICM-F（Gen-AI与高等教育）：3.5分  </w:t>
      </w:r>
    </w:p>
    <w:p w14:paraId="07CE5874">
      <w:pPr>
        <w:numPr>
          <w:ilvl w:val="0"/>
          <w:numId w:val="3"/>
        </w:numPr>
        <w:spacing w:before="120" w:after="120" w:line="288" w:lineRule="auto"/>
        <w:ind w:left="0"/>
        <w:jc w:val="left"/>
        <w:outlineLvl w:val="9"/>
      </w:pPr>
      <w:r>
        <w:rPr>
          <w:rFonts w:ascii="Arial" w:hAnsi="Arial" w:eastAsia="等线" w:cs="Arial"/>
          <w:sz w:val="22"/>
        </w:rPr>
        <w:t xml:space="preserve">MCM-C（与星共舞数据建模）：3.5分（并列，依据：数据获取更易，但建模模块更多，综合难度与ICM-F相当）  </w:t>
      </w:r>
    </w:p>
    <w:p w14:paraId="15109528">
      <w:pPr>
        <w:numPr>
          <w:ilvl w:val="0"/>
          <w:numId w:val="4"/>
        </w:numPr>
        <w:spacing w:before="120" w:after="120" w:line="288" w:lineRule="auto"/>
        <w:ind w:left="0"/>
        <w:jc w:val="left"/>
        <w:outlineLvl w:val="9"/>
      </w:pPr>
      <w:r>
        <w:rPr>
          <w:rFonts w:ascii="Arial" w:hAnsi="Arial" w:eastAsia="等线" w:cs="Arial"/>
          <w:sz w:val="22"/>
        </w:rPr>
        <w:t xml:space="preserve">ICM-E（被动式太阳能遮阳系统）：3.5分（并列，依据：机理建模难度中等，但需结合建筑设计知识，跨领域要求较高）  </w:t>
      </w:r>
    </w:p>
    <w:p w14:paraId="7A2F76FB">
      <w:pPr>
        <w:numPr>
          <w:ilvl w:val="0"/>
          <w:numId w:val="5"/>
        </w:numPr>
        <w:spacing w:before="120" w:after="120" w:line="288" w:lineRule="auto"/>
        <w:ind w:left="0"/>
        <w:jc w:val="left"/>
        <w:outlineLvl w:val="9"/>
      </w:pPr>
      <w:r>
        <w:rPr>
          <w:rFonts w:ascii="Arial" w:hAnsi="Arial" w:eastAsia="等线" w:cs="Arial"/>
          <w:sz w:val="22"/>
        </w:rPr>
        <w:t xml:space="preserve">ICM-D（体育赛事的成功管理）：4分  </w:t>
      </w:r>
    </w:p>
    <w:p w14:paraId="10748EA0">
      <w:pPr>
        <w:numPr>
          <w:ilvl w:val="0"/>
          <w:numId w:val="6"/>
        </w:numPr>
        <w:spacing w:before="120" w:after="120" w:line="288" w:lineRule="auto"/>
        <w:ind w:left="0"/>
        <w:jc w:val="left"/>
        <w:outlineLvl w:val="9"/>
      </w:pPr>
      <w:r>
        <w:rPr>
          <w:rFonts w:ascii="Arial" w:hAnsi="Arial" w:eastAsia="等线" w:cs="Arial"/>
          <w:sz w:val="22"/>
        </w:rPr>
        <w:t xml:space="preserve">MCM-B（月球殖民地运输系统建模）：4分（并列，依据：模型复杂度与ICM-D相当，但技术参数假设与环境影响评估难度更高）  </w:t>
      </w:r>
    </w:p>
    <w:p w14:paraId="367FF1E4">
      <w:pPr>
        <w:spacing w:before="300" w:after="120" w:line="288" w:lineRule="auto"/>
        <w:ind w:left="0"/>
        <w:jc w:val="left"/>
        <w:outlineLvl w:val="9"/>
      </w:pPr>
      <w:r>
        <w:rPr>
          <w:rFonts w:ascii="Arial" w:hAnsi="Arial" w:eastAsia="等线" w:cs="Arial"/>
          <w:b/>
          <w:sz w:val="30"/>
        </w:rPr>
        <w:t>排序说明：</w:t>
      </w:r>
    </w:p>
    <w:p w14:paraId="7F3903C1">
      <w:pPr>
        <w:numPr>
          <w:ilvl w:val="0"/>
          <w:numId w:val="7"/>
        </w:numPr>
        <w:spacing w:before="120" w:after="120" w:line="288" w:lineRule="auto"/>
        <w:ind w:left="0"/>
        <w:jc w:val="left"/>
        <w:outlineLvl w:val="9"/>
      </w:pPr>
      <w:r>
        <w:rPr>
          <w:rFonts w:ascii="Arial" w:hAnsi="Arial" w:eastAsia="等线" w:cs="Arial"/>
          <w:sz w:val="22"/>
        </w:rPr>
        <w:t xml:space="preserve">并列题目判定依据：核心难度系数一致，差异主要体现在跨领域知识要求或数据处理复杂度，对不同专业背景团队的挑战度互补，无明显难易层级差异；  </w:t>
      </w:r>
    </w:p>
    <w:p w14:paraId="5840E852">
      <w:pPr>
        <w:numPr>
          <w:ilvl w:val="0"/>
          <w:numId w:val="8"/>
        </w:numPr>
        <w:spacing w:before="120" w:after="120" w:line="288" w:lineRule="auto"/>
        <w:ind w:left="0"/>
        <w:jc w:val="left"/>
        <w:outlineLvl w:val="9"/>
      </w:pPr>
      <w:r>
        <w:rPr>
          <w:rFonts w:ascii="Arial" w:hAnsi="Arial" w:eastAsia="等线" w:cs="Arial"/>
          <w:sz w:val="22"/>
        </w:rPr>
        <w:t>排序核心维度：模型复杂度＞创新设计要求＞综合分析要求＞数据获取难度＞建模工作量，兼顾美赛评分偏好与实际建模可行性。</w:t>
      </w:r>
    </w:p>
    <w:p w14:paraId="1DDA4A6E">
      <w:pPr>
        <w:spacing w:before="120" w:after="120" w:line="288" w:lineRule="auto"/>
        <w:ind w:left="0"/>
        <w:jc w:val="left"/>
      </w:pPr>
    </w:p>
    <w:sectPr>
      <w:headerReference r:id="rId3" w:type="default"/>
      <w:pgSz w:w="11905" w:h="1684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1F0F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A4B87"/>
    <w:multiLevelType w:val="singleLevel"/>
    <w:tmpl w:val="813A4B87"/>
    <w:lvl w:ilvl="0" w:tentative="0">
      <w:start w:val="4"/>
      <w:numFmt w:val="decimal"/>
      <w:lvlText w:val="%1."/>
      <w:lvlJc w:val="left"/>
      <w:rPr>
        <w:color w:val="3370FF"/>
      </w:rPr>
    </w:lvl>
  </w:abstractNum>
  <w:abstractNum w:abstractNumId="1">
    <w:nsid w:val="845B5372"/>
    <w:multiLevelType w:val="singleLevel"/>
    <w:tmpl w:val="845B5372"/>
    <w:lvl w:ilvl="0" w:tentative="0">
      <w:start w:val="0"/>
      <w:numFmt w:val="bullet"/>
      <w:lvlText w:val="•"/>
      <w:lvlJc w:val="left"/>
      <w:rPr>
        <w:color w:val="3370FF"/>
      </w:rPr>
    </w:lvl>
  </w:abstractNum>
  <w:abstractNum w:abstractNumId="2">
    <w:nsid w:val="8461FADE"/>
    <w:multiLevelType w:val="singleLevel"/>
    <w:tmpl w:val="8461FADE"/>
    <w:lvl w:ilvl="0" w:tentative="0">
      <w:start w:val="1"/>
      <w:numFmt w:val="decimal"/>
      <w:lvlText w:val="%1."/>
      <w:lvlJc w:val="left"/>
      <w:rPr>
        <w:color w:val="3370FF"/>
      </w:rPr>
    </w:lvl>
  </w:abstractNum>
  <w:abstractNum w:abstractNumId="3">
    <w:nsid w:val="8CAEB125"/>
    <w:multiLevelType w:val="singleLevel"/>
    <w:tmpl w:val="8CAEB125"/>
    <w:lvl w:ilvl="0" w:tentative="0">
      <w:start w:val="1"/>
      <w:numFmt w:val="decimal"/>
      <w:lvlText w:val="%1."/>
      <w:lvlJc w:val="left"/>
      <w:rPr>
        <w:color w:val="3370FF"/>
      </w:rPr>
    </w:lvl>
  </w:abstractNum>
  <w:abstractNum w:abstractNumId="4">
    <w:nsid w:val="91995D4F"/>
    <w:multiLevelType w:val="singleLevel"/>
    <w:tmpl w:val="91995D4F"/>
    <w:lvl w:ilvl="0" w:tentative="0">
      <w:start w:val="6"/>
      <w:numFmt w:val="decimal"/>
      <w:lvlText w:val="%1."/>
      <w:lvlJc w:val="left"/>
      <w:rPr>
        <w:color w:val="3370FF"/>
      </w:rPr>
    </w:lvl>
  </w:abstractNum>
  <w:abstractNum w:abstractNumId="5">
    <w:nsid w:val="9239341B"/>
    <w:multiLevelType w:val="singleLevel"/>
    <w:tmpl w:val="9239341B"/>
    <w:lvl w:ilvl="0" w:tentative="0">
      <w:start w:val="0"/>
      <w:numFmt w:val="bullet"/>
      <w:lvlText w:val="•"/>
      <w:lvlJc w:val="left"/>
      <w:rPr>
        <w:color w:val="3370FF"/>
      </w:rPr>
    </w:lvl>
  </w:abstractNum>
  <w:abstractNum w:abstractNumId="6">
    <w:nsid w:val="9288B902"/>
    <w:multiLevelType w:val="singleLevel"/>
    <w:tmpl w:val="9288B902"/>
    <w:lvl w:ilvl="0" w:tentative="0">
      <w:start w:val="3"/>
      <w:numFmt w:val="decimal"/>
      <w:lvlText w:val="%1."/>
      <w:lvlJc w:val="left"/>
      <w:rPr>
        <w:color w:val="3370FF"/>
      </w:rPr>
    </w:lvl>
  </w:abstractNum>
  <w:abstractNum w:abstractNumId="7">
    <w:nsid w:val="9C8AC8EF"/>
    <w:multiLevelType w:val="singleLevel"/>
    <w:tmpl w:val="9C8AC8EF"/>
    <w:lvl w:ilvl="0" w:tentative="0">
      <w:start w:val="0"/>
      <w:numFmt w:val="bullet"/>
      <w:lvlText w:val="￮"/>
      <w:lvlJc w:val="left"/>
      <w:rPr>
        <w:color w:val="3370FF"/>
      </w:rPr>
    </w:lvl>
  </w:abstractNum>
  <w:abstractNum w:abstractNumId="8">
    <w:nsid w:val="B0F1ACD9"/>
    <w:multiLevelType w:val="singleLevel"/>
    <w:tmpl w:val="B0F1ACD9"/>
    <w:lvl w:ilvl="0" w:tentative="0">
      <w:start w:val="0"/>
      <w:numFmt w:val="bullet"/>
      <w:lvlText w:val="▪"/>
      <w:lvlJc w:val="left"/>
      <w:rPr>
        <w:color w:val="3370FF"/>
        <w:sz w:val="11"/>
      </w:rPr>
    </w:lvl>
  </w:abstractNum>
  <w:abstractNum w:abstractNumId="9">
    <w:nsid w:val="B53F3350"/>
    <w:multiLevelType w:val="singleLevel"/>
    <w:tmpl w:val="B53F3350"/>
    <w:lvl w:ilvl="0" w:tentative="0">
      <w:start w:val="0"/>
      <w:numFmt w:val="bullet"/>
      <w:lvlText w:val="•"/>
      <w:lvlJc w:val="left"/>
      <w:rPr>
        <w:color w:val="3370FF"/>
      </w:rPr>
    </w:lvl>
  </w:abstractNum>
  <w:abstractNum w:abstractNumId="10">
    <w:nsid w:val="B5E306ED"/>
    <w:multiLevelType w:val="singleLevel"/>
    <w:tmpl w:val="B5E306ED"/>
    <w:lvl w:ilvl="0" w:tentative="0">
      <w:start w:val="0"/>
      <w:numFmt w:val="bullet"/>
      <w:lvlText w:val="￮"/>
      <w:lvlJc w:val="left"/>
      <w:rPr>
        <w:color w:val="3370FF"/>
      </w:rPr>
    </w:lvl>
  </w:abstractNum>
  <w:abstractNum w:abstractNumId="11">
    <w:nsid w:val="B8CEF35B"/>
    <w:multiLevelType w:val="singleLevel"/>
    <w:tmpl w:val="B8CEF35B"/>
    <w:lvl w:ilvl="0" w:tentative="0">
      <w:start w:val="0"/>
      <w:numFmt w:val="bullet"/>
      <w:lvlText w:val="•"/>
      <w:lvlJc w:val="left"/>
      <w:rPr>
        <w:color w:val="3370FF"/>
      </w:rPr>
    </w:lvl>
  </w:abstractNum>
  <w:abstractNum w:abstractNumId="12">
    <w:nsid w:val="BB64CFA9"/>
    <w:multiLevelType w:val="singleLevel"/>
    <w:tmpl w:val="BB64CFA9"/>
    <w:lvl w:ilvl="0" w:tentative="0">
      <w:start w:val="5"/>
      <w:numFmt w:val="decimal"/>
      <w:lvlText w:val="%1."/>
      <w:lvlJc w:val="left"/>
      <w:rPr>
        <w:color w:val="3370FF"/>
      </w:rPr>
    </w:lvl>
  </w:abstractNum>
  <w:abstractNum w:abstractNumId="13">
    <w:nsid w:val="BE923771"/>
    <w:multiLevelType w:val="singleLevel"/>
    <w:tmpl w:val="BE923771"/>
    <w:lvl w:ilvl="0" w:tentative="0">
      <w:start w:val="0"/>
      <w:numFmt w:val="bullet"/>
      <w:lvlText w:val="▪"/>
      <w:lvlJc w:val="left"/>
      <w:rPr>
        <w:color w:val="3370FF"/>
        <w:sz w:val="11"/>
      </w:rPr>
    </w:lvl>
  </w:abstractNum>
  <w:abstractNum w:abstractNumId="14">
    <w:nsid w:val="BF205925"/>
    <w:multiLevelType w:val="singleLevel"/>
    <w:tmpl w:val="BF205925"/>
    <w:lvl w:ilvl="0" w:tentative="0">
      <w:start w:val="0"/>
      <w:numFmt w:val="bullet"/>
      <w:lvlText w:val="￮"/>
      <w:lvlJc w:val="left"/>
      <w:rPr>
        <w:color w:val="3370FF"/>
      </w:rPr>
    </w:lvl>
  </w:abstractNum>
  <w:abstractNum w:abstractNumId="15">
    <w:nsid w:val="C8879AEF"/>
    <w:multiLevelType w:val="singleLevel"/>
    <w:tmpl w:val="C8879AEF"/>
    <w:lvl w:ilvl="0" w:tentative="0">
      <w:start w:val="1"/>
      <w:numFmt w:val="decimal"/>
      <w:lvlText w:val="%1."/>
      <w:lvlJc w:val="left"/>
      <w:rPr>
        <w:color w:val="3370FF"/>
      </w:rPr>
    </w:lvl>
  </w:abstractNum>
  <w:abstractNum w:abstractNumId="16">
    <w:nsid w:val="CF092B84"/>
    <w:multiLevelType w:val="singleLevel"/>
    <w:tmpl w:val="CF092B84"/>
    <w:lvl w:ilvl="0" w:tentative="0">
      <w:start w:val="0"/>
      <w:numFmt w:val="bullet"/>
      <w:lvlText w:val="￮"/>
      <w:lvlJc w:val="left"/>
      <w:rPr>
        <w:color w:val="3370FF"/>
      </w:rPr>
    </w:lvl>
  </w:abstractNum>
  <w:abstractNum w:abstractNumId="17">
    <w:nsid w:val="D7D140E4"/>
    <w:multiLevelType w:val="singleLevel"/>
    <w:tmpl w:val="D7D140E4"/>
    <w:lvl w:ilvl="0" w:tentative="0">
      <w:start w:val="0"/>
      <w:numFmt w:val="bullet"/>
      <w:lvlText w:val="•"/>
      <w:lvlJc w:val="left"/>
      <w:rPr>
        <w:color w:val="3370FF"/>
      </w:rPr>
    </w:lvl>
  </w:abstractNum>
  <w:abstractNum w:abstractNumId="18">
    <w:nsid w:val="D7F9FE59"/>
    <w:multiLevelType w:val="singleLevel"/>
    <w:tmpl w:val="D7F9FE59"/>
    <w:lvl w:ilvl="0" w:tentative="0">
      <w:start w:val="1"/>
      <w:numFmt w:val="decimal"/>
      <w:lvlText w:val="%1."/>
      <w:lvlJc w:val="left"/>
      <w:rPr>
        <w:color w:val="3370FF"/>
      </w:rPr>
    </w:lvl>
  </w:abstractNum>
  <w:abstractNum w:abstractNumId="19">
    <w:nsid w:val="DCBA6B53"/>
    <w:multiLevelType w:val="singleLevel"/>
    <w:tmpl w:val="DCBA6B53"/>
    <w:lvl w:ilvl="0" w:tentative="0">
      <w:start w:val="5"/>
      <w:numFmt w:val="decimal"/>
      <w:lvlText w:val="%1."/>
      <w:lvlJc w:val="left"/>
      <w:rPr>
        <w:color w:val="3370FF"/>
      </w:rPr>
    </w:lvl>
  </w:abstractNum>
  <w:abstractNum w:abstractNumId="20">
    <w:nsid w:val="E093A4B0"/>
    <w:multiLevelType w:val="singleLevel"/>
    <w:tmpl w:val="E093A4B0"/>
    <w:lvl w:ilvl="0" w:tentative="0">
      <w:start w:val="0"/>
      <w:numFmt w:val="bullet"/>
      <w:lvlText w:val="￮"/>
      <w:lvlJc w:val="left"/>
      <w:rPr>
        <w:color w:val="3370FF"/>
      </w:rPr>
    </w:lvl>
  </w:abstractNum>
  <w:abstractNum w:abstractNumId="21">
    <w:nsid w:val="F0E89278"/>
    <w:multiLevelType w:val="singleLevel"/>
    <w:tmpl w:val="F0E89278"/>
    <w:lvl w:ilvl="0" w:tentative="0">
      <w:start w:val="0"/>
      <w:numFmt w:val="bullet"/>
      <w:lvlText w:val="•"/>
      <w:lvlJc w:val="left"/>
      <w:rPr>
        <w:color w:val="3370FF"/>
      </w:rPr>
    </w:lvl>
  </w:abstractNum>
  <w:abstractNum w:abstractNumId="22">
    <w:nsid w:val="F4B5D9F5"/>
    <w:multiLevelType w:val="singleLevel"/>
    <w:tmpl w:val="F4B5D9F5"/>
    <w:lvl w:ilvl="0" w:tentative="0">
      <w:start w:val="3"/>
      <w:numFmt w:val="decimal"/>
      <w:lvlText w:val="%1."/>
      <w:lvlJc w:val="left"/>
      <w:rPr>
        <w:color w:val="3370FF"/>
      </w:rPr>
    </w:lvl>
  </w:abstractNum>
  <w:abstractNum w:abstractNumId="23">
    <w:nsid w:val="F7735DC9"/>
    <w:multiLevelType w:val="singleLevel"/>
    <w:tmpl w:val="F7735DC9"/>
    <w:lvl w:ilvl="0" w:tentative="0">
      <w:start w:val="0"/>
      <w:numFmt w:val="bullet"/>
      <w:lvlText w:val="￮"/>
      <w:lvlJc w:val="left"/>
      <w:rPr>
        <w:color w:val="3370FF"/>
      </w:rPr>
    </w:lvl>
  </w:abstractNum>
  <w:abstractNum w:abstractNumId="24">
    <w:nsid w:val="0053208E"/>
    <w:multiLevelType w:val="singleLevel"/>
    <w:tmpl w:val="0053208E"/>
    <w:lvl w:ilvl="0" w:tentative="0">
      <w:start w:val="1"/>
      <w:numFmt w:val="decimal"/>
      <w:lvlText w:val="%1."/>
      <w:lvlJc w:val="left"/>
      <w:rPr>
        <w:color w:val="3370FF"/>
      </w:rPr>
    </w:lvl>
  </w:abstractNum>
  <w:abstractNum w:abstractNumId="25">
    <w:nsid w:val="0248C179"/>
    <w:multiLevelType w:val="singleLevel"/>
    <w:tmpl w:val="0248C179"/>
    <w:lvl w:ilvl="0" w:tentative="0">
      <w:start w:val="0"/>
      <w:numFmt w:val="bullet"/>
      <w:lvlText w:val="•"/>
      <w:lvlJc w:val="left"/>
      <w:rPr>
        <w:color w:val="3370FF"/>
      </w:rPr>
    </w:lvl>
  </w:abstractNum>
  <w:abstractNum w:abstractNumId="26">
    <w:nsid w:val="03D62ECE"/>
    <w:multiLevelType w:val="singleLevel"/>
    <w:tmpl w:val="03D62ECE"/>
    <w:lvl w:ilvl="0" w:tentative="0">
      <w:start w:val="3"/>
      <w:numFmt w:val="decimal"/>
      <w:lvlText w:val="%1."/>
      <w:lvlJc w:val="left"/>
      <w:rPr>
        <w:color w:val="3370FF"/>
      </w:rPr>
    </w:lvl>
  </w:abstractNum>
  <w:abstractNum w:abstractNumId="27">
    <w:nsid w:val="0709FD3E"/>
    <w:multiLevelType w:val="singleLevel"/>
    <w:tmpl w:val="0709FD3E"/>
    <w:lvl w:ilvl="0" w:tentative="0">
      <w:start w:val="0"/>
      <w:numFmt w:val="bullet"/>
      <w:lvlText w:val="•"/>
      <w:lvlJc w:val="left"/>
      <w:rPr>
        <w:color w:val="3370FF"/>
      </w:rPr>
    </w:lvl>
  </w:abstractNum>
  <w:abstractNum w:abstractNumId="28">
    <w:nsid w:val="0CEF100B"/>
    <w:multiLevelType w:val="singleLevel"/>
    <w:tmpl w:val="0CEF100B"/>
    <w:lvl w:ilvl="0" w:tentative="0">
      <w:start w:val="0"/>
      <w:numFmt w:val="bullet"/>
      <w:lvlText w:val="•"/>
      <w:lvlJc w:val="left"/>
      <w:rPr>
        <w:color w:val="3370FF"/>
      </w:rPr>
    </w:lvl>
  </w:abstractNum>
  <w:abstractNum w:abstractNumId="29">
    <w:nsid w:val="0E640482"/>
    <w:multiLevelType w:val="singleLevel"/>
    <w:tmpl w:val="0E640482"/>
    <w:lvl w:ilvl="0" w:tentative="0">
      <w:start w:val="0"/>
      <w:numFmt w:val="bullet"/>
      <w:lvlText w:val="￮"/>
      <w:lvlJc w:val="left"/>
      <w:rPr>
        <w:color w:val="3370FF"/>
      </w:rPr>
    </w:lvl>
  </w:abstractNum>
  <w:abstractNum w:abstractNumId="30">
    <w:nsid w:val="1ACDE60F"/>
    <w:multiLevelType w:val="singleLevel"/>
    <w:tmpl w:val="1ACDE60F"/>
    <w:lvl w:ilvl="0" w:tentative="0">
      <w:start w:val="0"/>
      <w:numFmt w:val="bullet"/>
      <w:lvlText w:val="•"/>
      <w:lvlJc w:val="left"/>
      <w:rPr>
        <w:color w:val="3370FF"/>
      </w:rPr>
    </w:lvl>
  </w:abstractNum>
  <w:abstractNum w:abstractNumId="31">
    <w:nsid w:val="1C257C7B"/>
    <w:multiLevelType w:val="singleLevel"/>
    <w:tmpl w:val="1C257C7B"/>
    <w:lvl w:ilvl="0" w:tentative="0">
      <w:start w:val="0"/>
      <w:numFmt w:val="bullet"/>
      <w:lvlText w:val="•"/>
      <w:lvlJc w:val="left"/>
      <w:rPr>
        <w:color w:val="3370FF"/>
      </w:rPr>
    </w:lvl>
  </w:abstractNum>
  <w:abstractNum w:abstractNumId="32">
    <w:nsid w:val="23E97754"/>
    <w:multiLevelType w:val="singleLevel"/>
    <w:tmpl w:val="23E97754"/>
    <w:lvl w:ilvl="0" w:tentative="0">
      <w:start w:val="0"/>
      <w:numFmt w:val="bullet"/>
      <w:lvlText w:val="•"/>
      <w:lvlJc w:val="left"/>
      <w:rPr>
        <w:color w:val="3370FF"/>
      </w:rPr>
    </w:lvl>
  </w:abstractNum>
  <w:abstractNum w:abstractNumId="33">
    <w:nsid w:val="243FCF68"/>
    <w:multiLevelType w:val="singleLevel"/>
    <w:tmpl w:val="243FCF68"/>
    <w:lvl w:ilvl="0" w:tentative="0">
      <w:start w:val="0"/>
      <w:numFmt w:val="bullet"/>
      <w:lvlText w:val="￮"/>
      <w:lvlJc w:val="left"/>
      <w:rPr>
        <w:color w:val="3370FF"/>
      </w:rPr>
    </w:lvl>
  </w:abstractNum>
  <w:abstractNum w:abstractNumId="34">
    <w:nsid w:val="2470EC97"/>
    <w:multiLevelType w:val="singleLevel"/>
    <w:tmpl w:val="2470EC97"/>
    <w:lvl w:ilvl="0" w:tentative="0">
      <w:start w:val="4"/>
      <w:numFmt w:val="decimal"/>
      <w:lvlText w:val="%1."/>
      <w:lvlJc w:val="left"/>
      <w:rPr>
        <w:color w:val="3370FF"/>
      </w:rPr>
    </w:lvl>
  </w:abstractNum>
  <w:abstractNum w:abstractNumId="35">
    <w:nsid w:val="25B654F3"/>
    <w:multiLevelType w:val="singleLevel"/>
    <w:tmpl w:val="25B654F3"/>
    <w:lvl w:ilvl="0" w:tentative="0">
      <w:start w:val="4"/>
      <w:numFmt w:val="decimal"/>
      <w:lvlText w:val="%1."/>
      <w:lvlJc w:val="left"/>
      <w:rPr>
        <w:color w:val="3370FF"/>
      </w:rPr>
    </w:lvl>
  </w:abstractNum>
  <w:abstractNum w:abstractNumId="36">
    <w:nsid w:val="2A8F537B"/>
    <w:multiLevelType w:val="singleLevel"/>
    <w:tmpl w:val="2A8F537B"/>
    <w:lvl w:ilvl="0" w:tentative="0">
      <w:start w:val="0"/>
      <w:numFmt w:val="bullet"/>
      <w:lvlText w:val="•"/>
      <w:lvlJc w:val="left"/>
      <w:rPr>
        <w:color w:val="3370FF"/>
      </w:rPr>
    </w:lvl>
  </w:abstractNum>
  <w:abstractNum w:abstractNumId="37">
    <w:nsid w:val="30FC5B15"/>
    <w:multiLevelType w:val="singleLevel"/>
    <w:tmpl w:val="30FC5B15"/>
    <w:lvl w:ilvl="0" w:tentative="0">
      <w:start w:val="0"/>
      <w:numFmt w:val="bullet"/>
      <w:lvlText w:val="￮"/>
      <w:lvlJc w:val="left"/>
      <w:rPr>
        <w:color w:val="3370FF"/>
      </w:rPr>
    </w:lvl>
  </w:abstractNum>
  <w:abstractNum w:abstractNumId="38">
    <w:nsid w:val="322D85CA"/>
    <w:multiLevelType w:val="singleLevel"/>
    <w:tmpl w:val="322D85CA"/>
    <w:lvl w:ilvl="0" w:tentative="0">
      <w:start w:val="0"/>
      <w:numFmt w:val="bullet"/>
      <w:lvlText w:val="•"/>
      <w:lvlJc w:val="left"/>
      <w:rPr>
        <w:color w:val="3370FF"/>
      </w:rPr>
    </w:lvl>
  </w:abstractNum>
  <w:abstractNum w:abstractNumId="39">
    <w:nsid w:val="32A7AF2D"/>
    <w:multiLevelType w:val="singleLevel"/>
    <w:tmpl w:val="32A7AF2D"/>
    <w:lvl w:ilvl="0" w:tentative="0">
      <w:start w:val="0"/>
      <w:numFmt w:val="bullet"/>
      <w:lvlText w:val="•"/>
      <w:lvlJc w:val="left"/>
      <w:rPr>
        <w:color w:val="3370FF"/>
      </w:rPr>
    </w:lvl>
  </w:abstractNum>
  <w:abstractNum w:abstractNumId="40">
    <w:nsid w:val="39A0D9AC"/>
    <w:multiLevelType w:val="singleLevel"/>
    <w:tmpl w:val="39A0D9AC"/>
    <w:lvl w:ilvl="0" w:tentative="0">
      <w:start w:val="4"/>
      <w:numFmt w:val="decimal"/>
      <w:lvlText w:val="%1."/>
      <w:lvlJc w:val="left"/>
      <w:rPr>
        <w:color w:val="3370FF"/>
      </w:rPr>
    </w:lvl>
  </w:abstractNum>
  <w:abstractNum w:abstractNumId="41">
    <w:nsid w:val="40B249F9"/>
    <w:multiLevelType w:val="singleLevel"/>
    <w:tmpl w:val="40B249F9"/>
    <w:lvl w:ilvl="0" w:tentative="0">
      <w:start w:val="0"/>
      <w:numFmt w:val="bullet"/>
      <w:lvlText w:val="•"/>
      <w:lvlJc w:val="left"/>
      <w:rPr>
        <w:color w:val="3370FF"/>
      </w:rPr>
    </w:lvl>
  </w:abstractNum>
  <w:abstractNum w:abstractNumId="42">
    <w:nsid w:val="46A08BB8"/>
    <w:multiLevelType w:val="singleLevel"/>
    <w:tmpl w:val="46A08BB8"/>
    <w:lvl w:ilvl="0" w:tentative="0">
      <w:start w:val="0"/>
      <w:numFmt w:val="bullet"/>
      <w:lvlText w:val="￮"/>
      <w:lvlJc w:val="left"/>
      <w:rPr>
        <w:color w:val="3370FF"/>
      </w:rPr>
    </w:lvl>
  </w:abstractNum>
  <w:abstractNum w:abstractNumId="43">
    <w:nsid w:val="4C1BAE26"/>
    <w:multiLevelType w:val="singleLevel"/>
    <w:tmpl w:val="4C1BAE26"/>
    <w:lvl w:ilvl="0" w:tentative="0">
      <w:start w:val="0"/>
      <w:numFmt w:val="bullet"/>
      <w:lvlText w:val="￮"/>
      <w:lvlJc w:val="left"/>
      <w:rPr>
        <w:color w:val="3370FF"/>
      </w:rPr>
    </w:lvl>
  </w:abstractNum>
  <w:abstractNum w:abstractNumId="44">
    <w:nsid w:val="4C3D7A74"/>
    <w:multiLevelType w:val="singleLevel"/>
    <w:tmpl w:val="4C3D7A74"/>
    <w:lvl w:ilvl="0" w:tentative="0">
      <w:start w:val="4"/>
      <w:numFmt w:val="decimal"/>
      <w:lvlText w:val="%1."/>
      <w:lvlJc w:val="left"/>
      <w:rPr>
        <w:color w:val="3370FF"/>
      </w:rPr>
    </w:lvl>
  </w:abstractNum>
  <w:abstractNum w:abstractNumId="45">
    <w:nsid w:val="4D4DC07F"/>
    <w:multiLevelType w:val="singleLevel"/>
    <w:tmpl w:val="4D4DC07F"/>
    <w:lvl w:ilvl="0" w:tentative="0">
      <w:start w:val="2"/>
      <w:numFmt w:val="decimal"/>
      <w:lvlText w:val="%1."/>
      <w:lvlJc w:val="left"/>
      <w:rPr>
        <w:color w:val="3370FF"/>
      </w:rPr>
    </w:lvl>
  </w:abstractNum>
  <w:abstractNum w:abstractNumId="46">
    <w:nsid w:val="4D94DA66"/>
    <w:multiLevelType w:val="singleLevel"/>
    <w:tmpl w:val="4D94DA66"/>
    <w:lvl w:ilvl="0" w:tentative="0">
      <w:start w:val="0"/>
      <w:numFmt w:val="bullet"/>
      <w:lvlText w:val="￮"/>
      <w:lvlJc w:val="left"/>
      <w:rPr>
        <w:color w:val="3370FF"/>
      </w:rPr>
    </w:lvl>
  </w:abstractNum>
  <w:abstractNum w:abstractNumId="47">
    <w:nsid w:val="58765686"/>
    <w:multiLevelType w:val="singleLevel"/>
    <w:tmpl w:val="58765686"/>
    <w:lvl w:ilvl="0" w:tentative="0">
      <w:start w:val="2"/>
      <w:numFmt w:val="decimal"/>
      <w:lvlText w:val="%1."/>
      <w:lvlJc w:val="left"/>
      <w:rPr>
        <w:color w:val="3370FF"/>
      </w:rPr>
    </w:lvl>
  </w:abstractNum>
  <w:abstractNum w:abstractNumId="48">
    <w:nsid w:val="59ADCABA"/>
    <w:multiLevelType w:val="singleLevel"/>
    <w:tmpl w:val="59ADCABA"/>
    <w:lvl w:ilvl="0" w:tentative="0">
      <w:start w:val="2"/>
      <w:numFmt w:val="decimal"/>
      <w:lvlText w:val="%1."/>
      <w:lvlJc w:val="left"/>
      <w:rPr>
        <w:color w:val="3370FF"/>
      </w:rPr>
    </w:lvl>
  </w:abstractNum>
  <w:abstractNum w:abstractNumId="49">
    <w:nsid w:val="5A241D34"/>
    <w:multiLevelType w:val="singleLevel"/>
    <w:tmpl w:val="5A241D34"/>
    <w:lvl w:ilvl="0" w:tentative="0">
      <w:start w:val="0"/>
      <w:numFmt w:val="bullet"/>
      <w:lvlText w:val="•"/>
      <w:lvlJc w:val="left"/>
      <w:rPr>
        <w:color w:val="3370FF"/>
      </w:rPr>
    </w:lvl>
  </w:abstractNum>
  <w:abstractNum w:abstractNumId="50">
    <w:nsid w:val="5E29AB5A"/>
    <w:multiLevelType w:val="singleLevel"/>
    <w:tmpl w:val="5E29AB5A"/>
    <w:lvl w:ilvl="0" w:tentative="0">
      <w:start w:val="0"/>
      <w:numFmt w:val="bullet"/>
      <w:lvlText w:val="•"/>
      <w:lvlJc w:val="left"/>
      <w:rPr>
        <w:color w:val="3370FF"/>
      </w:rPr>
    </w:lvl>
  </w:abstractNum>
  <w:abstractNum w:abstractNumId="51">
    <w:nsid w:val="5FFFB1A7"/>
    <w:multiLevelType w:val="singleLevel"/>
    <w:tmpl w:val="5FFFB1A7"/>
    <w:lvl w:ilvl="0" w:tentative="0">
      <w:start w:val="2"/>
      <w:numFmt w:val="decimal"/>
      <w:lvlText w:val="%1."/>
      <w:lvlJc w:val="left"/>
      <w:rPr>
        <w:color w:val="3370FF"/>
      </w:rPr>
    </w:lvl>
  </w:abstractNum>
  <w:abstractNum w:abstractNumId="52">
    <w:nsid w:val="60382F6E"/>
    <w:multiLevelType w:val="singleLevel"/>
    <w:tmpl w:val="60382F6E"/>
    <w:lvl w:ilvl="0" w:tentative="0">
      <w:start w:val="2"/>
      <w:numFmt w:val="decimal"/>
      <w:lvlText w:val="%1."/>
      <w:lvlJc w:val="left"/>
      <w:rPr>
        <w:color w:val="3370FF"/>
      </w:rPr>
    </w:lvl>
  </w:abstractNum>
  <w:abstractNum w:abstractNumId="53">
    <w:nsid w:val="629F7852"/>
    <w:multiLevelType w:val="singleLevel"/>
    <w:tmpl w:val="629F7852"/>
    <w:lvl w:ilvl="0" w:tentative="0">
      <w:start w:val="0"/>
      <w:numFmt w:val="bullet"/>
      <w:lvlText w:val="￮"/>
      <w:lvlJc w:val="left"/>
      <w:rPr>
        <w:color w:val="3370FF"/>
      </w:rPr>
    </w:lvl>
  </w:abstractNum>
  <w:abstractNum w:abstractNumId="54">
    <w:nsid w:val="65CD0074"/>
    <w:multiLevelType w:val="singleLevel"/>
    <w:tmpl w:val="65CD0074"/>
    <w:lvl w:ilvl="0" w:tentative="0">
      <w:start w:val="0"/>
      <w:numFmt w:val="bullet"/>
      <w:lvlText w:val="•"/>
      <w:lvlJc w:val="left"/>
      <w:rPr>
        <w:color w:val="3370FF"/>
      </w:rPr>
    </w:lvl>
  </w:abstractNum>
  <w:abstractNum w:abstractNumId="55">
    <w:nsid w:val="72183CF9"/>
    <w:multiLevelType w:val="singleLevel"/>
    <w:tmpl w:val="72183CF9"/>
    <w:lvl w:ilvl="0" w:tentative="0">
      <w:start w:val="0"/>
      <w:numFmt w:val="bullet"/>
      <w:lvlText w:val="•"/>
      <w:lvlJc w:val="left"/>
      <w:rPr>
        <w:color w:val="3370FF"/>
      </w:rPr>
    </w:lvl>
  </w:abstractNum>
  <w:abstractNum w:abstractNumId="56">
    <w:nsid w:val="74C28B35"/>
    <w:multiLevelType w:val="singleLevel"/>
    <w:tmpl w:val="74C28B35"/>
    <w:lvl w:ilvl="0" w:tentative="0">
      <w:start w:val="3"/>
      <w:numFmt w:val="decimal"/>
      <w:lvlText w:val="%1."/>
      <w:lvlJc w:val="left"/>
      <w:rPr>
        <w:color w:val="3370FF"/>
      </w:rPr>
    </w:lvl>
  </w:abstractNum>
  <w:abstractNum w:abstractNumId="57">
    <w:nsid w:val="77ECEA79"/>
    <w:multiLevelType w:val="singleLevel"/>
    <w:tmpl w:val="77ECEA79"/>
    <w:lvl w:ilvl="0" w:tentative="0">
      <w:start w:val="0"/>
      <w:numFmt w:val="bullet"/>
      <w:lvlText w:val="▪"/>
      <w:lvlJc w:val="left"/>
      <w:rPr>
        <w:color w:val="3370FF"/>
        <w:sz w:val="11"/>
      </w:rPr>
    </w:lvl>
  </w:abstractNum>
  <w:abstractNum w:abstractNumId="58">
    <w:nsid w:val="79AA4FA4"/>
    <w:multiLevelType w:val="singleLevel"/>
    <w:tmpl w:val="79AA4FA4"/>
    <w:lvl w:ilvl="0" w:tentative="0">
      <w:start w:val="0"/>
      <w:numFmt w:val="bullet"/>
      <w:lvlText w:val="￮"/>
      <w:lvlJc w:val="left"/>
      <w:rPr>
        <w:color w:val="3370FF"/>
      </w:rPr>
    </w:lvl>
  </w:abstractNum>
  <w:abstractNum w:abstractNumId="59">
    <w:nsid w:val="7C246926"/>
    <w:multiLevelType w:val="singleLevel"/>
    <w:tmpl w:val="7C246926"/>
    <w:lvl w:ilvl="0" w:tentative="0">
      <w:start w:val="0"/>
      <w:numFmt w:val="bullet"/>
      <w:lvlText w:val="▪"/>
      <w:lvlJc w:val="left"/>
      <w:rPr>
        <w:color w:val="3370FF"/>
        <w:sz w:val="11"/>
      </w:rPr>
    </w:lvl>
  </w:abstractNum>
  <w:abstractNum w:abstractNumId="60">
    <w:nsid w:val="7DEC2089"/>
    <w:multiLevelType w:val="singleLevel"/>
    <w:tmpl w:val="7DEC2089"/>
    <w:lvl w:ilvl="0" w:tentative="0">
      <w:start w:val="3"/>
      <w:numFmt w:val="decimal"/>
      <w:lvlText w:val="%1."/>
      <w:lvlJc w:val="left"/>
      <w:rPr>
        <w:color w:val="3370FF"/>
      </w:rPr>
    </w:lvl>
  </w:abstractNum>
  <w:num w:numId="1">
    <w:abstractNumId w:val="24"/>
  </w:num>
  <w:num w:numId="2">
    <w:abstractNumId w:val="16"/>
  </w:num>
  <w:num w:numId="3">
    <w:abstractNumId w:val="48"/>
  </w:num>
  <w:num w:numId="4">
    <w:abstractNumId w:val="14"/>
  </w:num>
  <w:num w:numId="5">
    <w:abstractNumId w:val="10"/>
  </w:num>
  <w:num w:numId="6">
    <w:abstractNumId w:val="26"/>
  </w:num>
  <w:num w:numId="7">
    <w:abstractNumId w:val="35"/>
  </w:num>
  <w:num w:numId="8">
    <w:abstractNumId w:val="55"/>
  </w:num>
  <w:num w:numId="9">
    <w:abstractNumId w:val="25"/>
  </w:num>
  <w:num w:numId="10">
    <w:abstractNumId w:val="5"/>
  </w:num>
  <w:num w:numId="11">
    <w:abstractNumId w:val="36"/>
  </w:num>
  <w:num w:numId="12">
    <w:abstractNumId w:val="49"/>
  </w:num>
  <w:num w:numId="13">
    <w:abstractNumId w:val="15"/>
  </w:num>
  <w:num w:numId="14">
    <w:abstractNumId w:val="45"/>
  </w:num>
  <w:num w:numId="15">
    <w:abstractNumId w:val="22"/>
  </w:num>
  <w:num w:numId="16">
    <w:abstractNumId w:val="34"/>
  </w:num>
  <w:num w:numId="17">
    <w:abstractNumId w:val="19"/>
  </w:num>
  <w:num w:numId="18">
    <w:abstractNumId w:val="18"/>
  </w:num>
  <w:num w:numId="19">
    <w:abstractNumId w:val="7"/>
  </w:num>
  <w:num w:numId="20">
    <w:abstractNumId w:val="43"/>
  </w:num>
  <w:num w:numId="21">
    <w:abstractNumId w:val="52"/>
  </w:num>
  <w:num w:numId="22">
    <w:abstractNumId w:val="29"/>
  </w:num>
  <w:num w:numId="23">
    <w:abstractNumId w:val="42"/>
  </w:num>
  <w:num w:numId="24">
    <w:abstractNumId w:val="8"/>
  </w:num>
  <w:num w:numId="25">
    <w:abstractNumId w:val="59"/>
  </w:num>
  <w:num w:numId="26">
    <w:abstractNumId w:val="57"/>
  </w:num>
  <w:num w:numId="27">
    <w:abstractNumId w:val="13"/>
  </w:num>
  <w:num w:numId="28">
    <w:abstractNumId w:val="53"/>
  </w:num>
  <w:num w:numId="29">
    <w:abstractNumId w:val="6"/>
  </w:num>
  <w:num w:numId="30">
    <w:abstractNumId w:val="40"/>
  </w:num>
  <w:num w:numId="31">
    <w:abstractNumId w:val="2"/>
  </w:num>
  <w:num w:numId="32">
    <w:abstractNumId w:val="47"/>
  </w:num>
  <w:num w:numId="33">
    <w:abstractNumId w:val="60"/>
  </w:num>
  <w:num w:numId="34">
    <w:abstractNumId w:val="0"/>
  </w:num>
  <w:num w:numId="35">
    <w:abstractNumId w:val="33"/>
  </w:num>
  <w:num w:numId="36">
    <w:abstractNumId w:val="46"/>
  </w:num>
  <w:num w:numId="37">
    <w:abstractNumId w:val="23"/>
  </w:num>
  <w:num w:numId="38">
    <w:abstractNumId w:val="20"/>
  </w:num>
  <w:num w:numId="39">
    <w:abstractNumId w:val="37"/>
  </w:num>
  <w:num w:numId="40">
    <w:abstractNumId w:val="58"/>
  </w:num>
  <w:num w:numId="41">
    <w:abstractNumId w:val="12"/>
  </w:num>
  <w:num w:numId="42">
    <w:abstractNumId w:val="4"/>
  </w:num>
  <w:num w:numId="43">
    <w:abstractNumId w:val="11"/>
  </w:num>
  <w:num w:numId="44">
    <w:abstractNumId w:val="50"/>
  </w:num>
  <w:num w:numId="45">
    <w:abstractNumId w:val="1"/>
  </w:num>
  <w:num w:numId="46">
    <w:abstractNumId w:val="30"/>
  </w:num>
  <w:num w:numId="47">
    <w:abstractNumId w:val="3"/>
  </w:num>
  <w:num w:numId="48">
    <w:abstractNumId w:val="51"/>
  </w:num>
  <w:num w:numId="49">
    <w:abstractNumId w:val="56"/>
  </w:num>
  <w:num w:numId="50">
    <w:abstractNumId w:val="44"/>
  </w:num>
  <w:num w:numId="51">
    <w:abstractNumId w:val="38"/>
  </w:num>
  <w:num w:numId="52">
    <w:abstractNumId w:val="54"/>
  </w:num>
  <w:num w:numId="53">
    <w:abstractNumId w:val="27"/>
  </w:num>
  <w:num w:numId="54">
    <w:abstractNumId w:val="28"/>
  </w:num>
  <w:num w:numId="55">
    <w:abstractNumId w:val="17"/>
  </w:num>
  <w:num w:numId="56">
    <w:abstractNumId w:val="39"/>
  </w:num>
  <w:num w:numId="57">
    <w:abstractNumId w:val="31"/>
  </w:num>
  <w:num w:numId="58">
    <w:abstractNumId w:val="21"/>
  </w:num>
  <w:num w:numId="59">
    <w:abstractNumId w:val="32"/>
  </w:num>
  <w:num w:numId="60">
    <w:abstractNumId w:val="9"/>
  </w:num>
  <w:num w:numId="61">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documentProtection w:enforcement="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43C7150"/>
    <w:rsid w:val="39A405D1"/>
    <w:rsid w:val="64451F3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30</Pages>
  <Words>9652</Words>
  <Characters>9984</Characters>
  <TotalTime>72</TotalTime>
  <ScaleCrop>false</ScaleCrop>
  <LinksUpToDate>false</LinksUpToDate>
  <CharactersWithSpaces>10010</CharactersWithSpaces>
  <Application>WPS Office_12.1.0.24657_F1E327BC-269C-435d-A152-05C5408002CA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2026-01-29T22:53:00Z</dcterms:created>
  <dc:creator>Apache POI</dc:creator>
  <cp:lastModifiedBy>数学建模老哥团队</cp:lastModifiedBy>
  <dcterms:modified xsi:type="dcterms:W3CDTF">2026-01-30T00:21:48Z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eyJoZGlkIjoiMTExNzFiNzAyOThjYjY1MTRhN2I1YjEwNzgzY2EzODUiLCJ1c2VySWQiOiIyNzg5NDI3MjYifQ==</vt:lpwstr>
  </property>
  <property fmtid="{D5CDD505-2E9C-101B-9397-08002B2CF9AE}" pid="3" name="KSOProductBuildVer">
    <vt:lpwstr>2052-12.1.0.24657</vt:lpwstr>
  </property>
  <property fmtid="{D5CDD505-2E9C-101B-9397-08002B2CF9AE}" pid="4" name="ICV">
    <vt:lpwstr>9E3130179FD24E3E9E00E29FB52D7B1C_13</vt:lpwstr>
  </property>
</Properties>
</file>