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Times New Roman" w:hAnsi="Times New Roman" w:eastAsia="黑体"/>
          <w:b/>
          <w:color w:val="1A1A1A"/>
          <w:sz w:val="72"/>
        </w:rPr>
        <w:t>创业立项书</w:t>
      </w:r>
    </w:p>
    <w:p/>
    <w:p>
      <w:pPr>
        <w:jc w:val="center"/>
      </w:pPr>
      <w:r>
        <w:rPr>
          <w:rFonts w:ascii="Times New Roman" w:hAnsi="Times New Roman" w:eastAsia="黑体"/>
          <w:b/>
          <w:color w:val="8B5A2B"/>
          <w:sz w:val="44"/>
        </w:rPr>
        <w:t>时光围棋 ShiGuang-Go</w:t>
      </w:r>
    </w:p>
    <w:p>
      <w:pPr>
        <w:spacing w:before="200"/>
        <w:jc w:val="center"/>
      </w:pPr>
      <w:r>
        <w:rPr>
          <w:rFonts w:ascii="Times New Roman" w:hAnsi="Times New Roman" w:eastAsia="黑体"/>
          <w:color w:val="606060"/>
          <w:sz w:val="26"/>
        </w:rPr>
        <w:t>面向围棋教育的本地化 AI 训练平台</w:t>
      </w:r>
    </w:p>
    <w:p/>
    <w:p/>
    <w:p/>
    <w:p/>
    <w:p/>
    <w:p/>
    <w:p>
      <w:pPr>
        <w:spacing w:before="80" w:after="80"/>
        <w:pBdr>
          <w:bottom w:val="single" w:sz="6" w:space="1" w:color="C8B48F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041"/>
          </w:tcPr>
          <w:p>
            <w:pPr>
              <w:spacing w:after="60" w:line="288" w:lineRule="auto"/>
            </w:pPr>
            <w:r>
              <w:rPr>
                <w:rFonts w:ascii="Times New Roman" w:hAnsi="Times New Roman" w:eastAsia="黑体"/>
                <w:b/>
                <w:color w:val="1A1A1A"/>
                <w:sz w:val="21"/>
              </w:rPr>
              <w:t>项目名称</w:t>
            </w:r>
          </w:p>
        </w:tc>
        <w:tc>
          <w:tcPr>
            <w:tcW w:type="dxa" w:w="5953"/>
          </w:tcPr>
          <w:p>
            <w:pPr>
              <w:spacing w:after="60" w:line="288" w:lineRule="auto"/>
            </w:pPr>
            <w:r>
              <w:rPr>
                <w:rFonts w:ascii="Times New Roman" w:hAnsi="Times New Roman" w:eastAsia="宋体"/>
                <w:b w:val="0"/>
                <w:color w:val="606060"/>
                <w:sz w:val="21"/>
              </w:rPr>
              <w:t>时光围棋 ShiGuang-Go</w:t>
            </w:r>
          </w:p>
        </w:tc>
      </w:tr>
      <w:tr>
        <w:tc>
          <w:tcPr>
            <w:tcW w:type="dxa" w:w="2041"/>
          </w:tcPr>
          <w:p>
            <w:pPr>
              <w:spacing w:after="60" w:line="288" w:lineRule="auto"/>
            </w:pPr>
            <w:r>
              <w:rPr>
                <w:rFonts w:ascii="Times New Roman" w:hAnsi="Times New Roman" w:eastAsia="黑体"/>
                <w:b/>
                <w:color w:val="1A1A1A"/>
                <w:sz w:val="21"/>
              </w:rPr>
              <w:t>项目主体</w:t>
            </w:r>
          </w:p>
        </w:tc>
        <w:tc>
          <w:tcPr>
            <w:tcW w:type="dxa" w:w="5953"/>
          </w:tcPr>
          <w:p>
            <w:pPr>
              <w:spacing w:after="60" w:line="288" w:lineRule="auto"/>
            </w:pPr>
            <w:r>
              <w:rPr>
                <w:rFonts w:ascii="Times New Roman" w:hAnsi="Times New Roman" w:eastAsia="宋体"/>
                <w:b w:val="0"/>
                <w:color w:val="606060"/>
                <w:sz w:val="21"/>
              </w:rPr>
              <w:t>个人独立开发阶段，尚未注册公司</w:t>
            </w:r>
          </w:p>
        </w:tc>
      </w:tr>
      <w:tr>
        <w:tc>
          <w:tcPr>
            <w:tcW w:type="dxa" w:w="2041"/>
          </w:tcPr>
          <w:p>
            <w:pPr>
              <w:spacing w:after="60" w:line="288" w:lineRule="auto"/>
            </w:pPr>
            <w:r>
              <w:rPr>
                <w:rFonts w:ascii="Times New Roman" w:hAnsi="Times New Roman" w:eastAsia="黑体"/>
                <w:b/>
                <w:color w:val="1A1A1A"/>
                <w:sz w:val="21"/>
              </w:rPr>
              <w:t>产品形态</w:t>
            </w:r>
          </w:p>
        </w:tc>
        <w:tc>
          <w:tcPr>
            <w:tcW w:type="dxa" w:w="5953"/>
          </w:tcPr>
          <w:p>
            <w:pPr>
              <w:spacing w:after="60" w:line="288" w:lineRule="auto"/>
            </w:pPr>
            <w:r>
              <w:rPr>
                <w:rFonts w:ascii="Times New Roman" w:hAnsi="Times New Roman" w:eastAsia="宋体"/>
                <w:b w:val="0"/>
                <w:color w:val="606060"/>
                <w:sz w:val="21"/>
              </w:rPr>
              <w:t>Windows x64 桌面软件（Tauri 2 + Vue 3 + Rust + KataGo）</w:t>
            </w:r>
          </w:p>
        </w:tc>
      </w:tr>
      <w:tr>
        <w:tc>
          <w:tcPr>
            <w:tcW w:type="dxa" w:w="2041"/>
          </w:tcPr>
          <w:p>
            <w:pPr>
              <w:spacing w:after="60" w:line="288" w:lineRule="auto"/>
            </w:pPr>
            <w:r>
              <w:rPr>
                <w:rFonts w:ascii="Times New Roman" w:hAnsi="Times New Roman" w:eastAsia="黑体"/>
                <w:b/>
                <w:color w:val="1A1A1A"/>
                <w:sz w:val="21"/>
              </w:rPr>
              <w:t>当前版本</w:t>
            </w:r>
          </w:p>
        </w:tc>
        <w:tc>
          <w:tcPr>
            <w:tcW w:type="dxa" w:w="5953"/>
          </w:tcPr>
          <w:p>
            <w:pPr>
              <w:spacing w:after="60" w:line="288" w:lineRule="auto"/>
            </w:pPr>
            <w:r>
              <w:rPr>
                <w:rFonts w:ascii="Times New Roman" w:hAnsi="Times New Roman" w:eastAsia="宋体"/>
                <w:b w:val="0"/>
                <w:color w:val="606060"/>
                <w:sz w:val="21"/>
              </w:rPr>
              <w:t>v1.1.0（已发布可安装安装包）</w:t>
            </w:r>
          </w:p>
        </w:tc>
      </w:tr>
      <w:tr>
        <w:tc>
          <w:tcPr>
            <w:tcW w:type="dxa" w:w="2041"/>
          </w:tcPr>
          <w:p>
            <w:pPr>
              <w:spacing w:after="60" w:line="288" w:lineRule="auto"/>
            </w:pPr>
            <w:r>
              <w:rPr>
                <w:rFonts w:ascii="Times New Roman" w:hAnsi="Times New Roman" w:eastAsia="黑体"/>
                <w:b/>
                <w:color w:val="1A1A1A"/>
                <w:sz w:val="21"/>
              </w:rPr>
              <w:t>文档版本</w:t>
            </w:r>
          </w:p>
        </w:tc>
        <w:tc>
          <w:tcPr>
            <w:tcW w:type="dxa" w:w="5953"/>
          </w:tcPr>
          <w:p>
            <w:pPr>
              <w:spacing w:after="60" w:line="288" w:lineRule="auto"/>
            </w:pPr>
            <w:r>
              <w:rPr>
                <w:rFonts w:ascii="Times New Roman" w:hAnsi="Times New Roman" w:eastAsia="宋体"/>
                <w:b w:val="0"/>
                <w:color w:val="606060"/>
                <w:sz w:val="21"/>
              </w:rPr>
              <w:t>v1.0</w:t>
            </w:r>
          </w:p>
        </w:tc>
      </w:tr>
      <w:tr>
        <w:tc>
          <w:tcPr>
            <w:tcW w:type="dxa" w:w="2041"/>
          </w:tcPr>
          <w:p>
            <w:pPr>
              <w:spacing w:after="60" w:line="288" w:lineRule="auto"/>
            </w:pPr>
            <w:r>
              <w:rPr>
                <w:rFonts w:ascii="Times New Roman" w:hAnsi="Times New Roman" w:eastAsia="黑体"/>
                <w:b/>
                <w:color w:val="1A1A1A"/>
                <w:sz w:val="21"/>
              </w:rPr>
              <w:t>编制日期</w:t>
            </w:r>
          </w:p>
        </w:tc>
        <w:tc>
          <w:tcPr>
            <w:tcW w:type="dxa" w:w="5953"/>
          </w:tcPr>
          <w:p>
            <w:pPr>
              <w:spacing w:after="60" w:line="288" w:lineRule="auto"/>
            </w:pPr>
            <w:r>
              <w:rPr>
                <w:rFonts w:ascii="Times New Roman" w:hAnsi="Times New Roman" w:eastAsia="宋体"/>
                <w:b w:val="0"/>
                <w:color w:val="606060"/>
                <w:sz w:val="21"/>
              </w:rPr>
              <w:t>2026 年 10 月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color w:val="606060"/>
          <w:sz w:val="17"/>
        </w:rPr>
        <w:t>本文档中标注「待核实」的数据，均为需要补充公开来源链接的估算或行业口径，提交前应逐条核实。</w:t>
      </w:r>
    </w:p>
    <w:p>
      <w:r>
        <w:br w:type="page"/>
      </w:r>
    </w:p>
    <w:p>
      <w:pPr>
        <w:pStyle w:val="Heading1"/>
      </w:pPr>
      <w:r>
        <w:t>阅读指引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本立项书面向大学生创新创业类竞赛（“互联网+”“挑战杯”等）通用评审场景撰写，兼顾“创意组”对完整商业计划的要求与“初创组”对已上线产品、技术壁垒与成长性的要求。全文遵循三条原则：</w:t>
      </w:r>
    </w:p>
    <w:p>
      <w:pPr>
        <w:pStyle w:val="ListBullet"/>
        <w:spacing w:after="4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不说空话——</w:t>
      </w:r>
      <w:r>
        <w:rPr>
          <w:rFonts w:ascii="Times New Roman" w:hAnsi="Times New Roman" w:eastAsia="宋体"/>
          <w:color w:val="1A1A1A"/>
          <w:sz w:val="21"/>
        </w:rPr>
        <w:t>所有关于产品的描述均可在现有代码与已发布安装包中验证，不虚构功能。</w:t>
      </w:r>
    </w:p>
    <w:p>
      <w:pPr>
        <w:pStyle w:val="ListBullet"/>
        <w:spacing w:after="4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不造数据——</w:t>
      </w:r>
      <w:r>
        <w:rPr>
          <w:rFonts w:ascii="Times New Roman" w:hAnsi="Times New Roman" w:eastAsia="宋体"/>
          <w:color w:val="1A1A1A"/>
          <w:sz w:val="21"/>
        </w:rPr>
        <w:t>市场数据采用可核查的公开口径，无法确认的一律标注「待核实」，不编造精确数字。</w:t>
      </w:r>
    </w:p>
    <w:p>
      <w:pPr>
        <w:pStyle w:val="ListBullet"/>
        <w:spacing w:after="4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不避短板——</w:t>
      </w:r>
      <w:r>
        <w:rPr>
          <w:rFonts w:ascii="Times New Roman" w:hAnsi="Times New Roman" w:eastAsia="宋体"/>
          <w:color w:val="1A1A1A"/>
          <w:sz w:val="21"/>
        </w:rPr>
        <w:t>“竞品分析”与“风险与应对”两章完整披露短板，包括产品当前的硬伤，因为这正是评审最关心的部分。</w:t>
      </w:r>
    </w:p>
    <w:p>
      <w:pPr>
        <w:spacing w:before="120" w:after="80" w:line="360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全文结构对应评审表的六大评分维度：项目概述（创意）、技术与产品（创新性）、市场分析（行业与竞争）、商业模式（可行性）、团队与执行（成长性）、社会价值与风险。如用于路演，建议另配套 10–14 页演示文稿，聚焦第三章技术创新与第六章商业模式。</w:t>
      </w:r>
    </w:p>
    <w:p>
      <w:r>
        <w:br w:type="page"/>
      </w:r>
    </w:p>
    <w:p>
      <w:pPr>
        <w:pStyle w:val="Heading1"/>
      </w:pPr>
      <w:r>
        <w:t>一、项目概述</w:t>
      </w:r>
    </w:p>
    <w:p>
      <w:pPr>
        <w:pStyle w:val="Heading2"/>
      </w:pPr>
      <w:r>
        <w:t>1.1 一句话定位</w:t>
      </w:r>
    </w:p>
    <w:p>
      <w:pPr>
        <w:spacing w:before="0" w:after="80" w:line="360" w:lineRule="auto"/>
      </w:pPr>
      <w:r>
        <w:rPr>
          <w:rFonts w:ascii="Times New Roman" w:hAnsi="Times New Roman" w:eastAsia="黑体"/>
          <w:b/>
          <w:color w:val="8B5A2B"/>
          <w:sz w:val="26"/>
        </w:rPr>
        <w:t>让每一个围棋学员都拥有一台不联网、不付费、不会泄题的私人 AI 教练。</w:t>
      </w:r>
    </w:p>
    <w:p>
      <w:pPr>
        <w:pStyle w:val="Heading2"/>
      </w:pPr>
      <w:r>
        <w:t>1.2 项目简介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时光围棋（ShiGuang-Go）是一款运行于 Windows 桌面端的本地 AI 围棋训练软件。它将开源围棋 AI 引擎 KataGo、围棋规则引擎、形势判断工具与棋谱管理能力整合为一个开箱即用的完整产品，用户无需配置命令行、无需编译环境、无需注册账号，安装后即可与人机对弈、复盘分析、整理棋谱。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与市面上主流围棋平台不同，本产品全部分析在用户本机完成：棋局不上传、分析不按年份订阅、不依赖网络质量。对于围棋培训场景——尤其是少儿培训——这意味着更低的长期成本、更好的稳定性以及更低的隐私风险。</w:t>
      </w:r>
    </w:p>
    <w:p>
      <w:pPr>
        <w:pStyle w:val="Heading2"/>
      </w:pPr>
      <w:r>
        <w:t>1.3 核心创新点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cantSplit w:val="true"/>
      </w:tblPr>
      <w:tblGrid>
        <w:gridCol w:w="2986"/>
        <w:gridCol w:w="2986"/>
        <w:gridCol w:w="2986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创新点</w:t>
            </w:r>
          </w:p>
        </w:tc>
        <w:tc>
          <w:tcPr>
            <w:tcW w:type="dxa" w:w="3742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具体内容</w:t>
            </w:r>
          </w:p>
        </w:tc>
        <w:tc>
          <w:tcPr>
            <w:tcW w:type="dxa" w:w="2608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价值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全本地化 AI 架构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KataGo 引擎与分析模型随安装包分发，推理在用户 GPU 上完成，全程离线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零服务器成本、零数据上传、断网可用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人类棋力模拟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接入 KataGo Human SL 模型，提供 20k–9d 共 29 档拟人棋力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AI 不是“碾压”，而是“像人一样陪练”，符合教学节奏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双引擎协同判断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KataGo 负责胜率、目差与推荐落点；GNU Go 负责死子识别、数子就绪检查与终局裁判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解决开源 AI 普遍缺失的“对局收尾”问题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一体化研究工作台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变化树、摆子、标记、备注、SGF 导入导出、草稿恢复集成于同一界面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免去在多个工具间来回切换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本地棋谱资产化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SQLite 本地棋谱库，支持搜索、标签、集合、回收站与备份恢复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学员个人棋谱沉淀为可管理的资产，而非散落文件</w:t>
            </w:r>
          </w:p>
        </w:tc>
      </w:tr>
    </w:tbl>
    <w:p>
      <w:pPr>
        <w:pStyle w:val="Heading2"/>
      </w:pPr>
      <w:r>
        <w:t>1.4 项目现状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cantSplit w:val="true"/>
      </w:tblPr>
      <w:tblGrid>
        <w:gridCol w:w="4479"/>
        <w:gridCol w:w="4479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6350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现状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产品阶段</w:t>
            </w:r>
          </w:p>
        </w:tc>
        <w:tc>
          <w:tcPr>
            <w:tcW w:type="dxa" w:w="6350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已具备可安装、可完整使用的 Windows x64 产品，非概念原型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当前版本</w:t>
            </w:r>
          </w:p>
        </w:tc>
        <w:tc>
          <w:tcPr>
            <w:tcW w:type="dxa" w:w="6350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v1.1.0，2026 年 10 月 14 日发布（GitHub Release）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发行渠道</w:t>
            </w:r>
          </w:p>
        </w:tc>
        <w:tc>
          <w:tcPr>
            <w:tcW w:type="dxa" w:w="6350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GitHub 发布安装包；Gitee 同步源码与下载入口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代码规模</w:t>
            </w:r>
          </w:p>
        </w:tc>
        <w:tc>
          <w:tcPr>
            <w:tcW w:type="dxa" w:w="6350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前端 Vue/TypeScript 约 1.6 万行；Rust 后端约 4,900 行；Tauri 命令接口 19 个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测试状态</w:t>
            </w:r>
          </w:p>
        </w:tc>
        <w:tc>
          <w:tcPr>
            <w:tcW w:type="dxa" w:w="6350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JavaScript 测试 48 项通过；Rust 测试 33 项通过、2 项真实引擎集成测试默认跳过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商业模式</w:t>
            </w:r>
          </w:p>
        </w:tc>
        <w:tc>
          <w:tcPr>
            <w:tcW w:type="dxa" w:w="6350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尚未形成收入（本阶段目标为验证与冷启动）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主体状态</w:t>
            </w:r>
          </w:p>
        </w:tc>
        <w:tc>
          <w:tcPr>
            <w:tcW w:type="dxa" w:w="6350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个人独立开发，未注册公司实体</w:t>
            </w:r>
          </w:p>
        </w:tc>
      </w:tr>
    </w:tbl>
    <w:p>
      <w:pPr>
        <w:spacing w:before="40" w:after="160" w:line="312" w:lineRule="auto"/>
      </w:pPr>
      <w:r>
        <w:rPr>
          <w:rFonts w:ascii="Times New Roman" w:hAnsi="Times New Roman" w:eastAsia="宋体"/>
          <w:color w:val="606060"/>
          <w:sz w:val="18"/>
        </w:rPr>
        <w:t>说明：测试用例数量来自项目发布说明；代码规模由源码统计得出，不含第三方依赖与资源文件。</w:t>
      </w:r>
    </w:p>
    <w:p>
      <w:r>
        <w:br w:type="page"/>
      </w:r>
    </w:p>
    <w:p>
      <w:pPr>
        <w:pStyle w:val="Heading1"/>
      </w:pPr>
      <w:r>
        <w:t>二、问题与需求</w:t>
      </w:r>
    </w:p>
    <w:p>
      <w:pPr>
        <w:pStyle w:val="Heading2"/>
      </w:pPr>
      <w:r>
        <w:t>2.1 围棋学习者的真实困境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围棋是一项“理解比记忆更重要、复盘比下棋更重要”的技能。业余棋手水平提升的核心路径是：对局 → 复盘 → 找出失误 → 针对性练习。但在这条路径上，学习者长期面临四个断层：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cantSplit w:val="true"/>
      </w:tblPr>
      <w:tblGrid>
        <w:gridCol w:w="2986"/>
        <w:gridCol w:w="2986"/>
        <w:gridCol w:w="2986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断层</w:t>
            </w:r>
          </w:p>
        </w:tc>
        <w:tc>
          <w:tcPr>
            <w:tcW w:type="dxa" w:w="3969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现状问题</w:t>
            </w:r>
          </w:p>
        </w:tc>
        <w:tc>
          <w:tcPr>
            <w:tcW w:type="dxa" w:w="2835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后果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陪练断层</w:t>
            </w:r>
          </w:p>
        </w:tc>
        <w:tc>
          <w:tcPr>
            <w:tcW w:type="dxa" w:w="3969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高水平对手稀缺。找人类高手陪练成本高；用常规 AI 下棋，AI 每一步都是最强手，学习者被迫“学错误的东西”</w:t>
            </w:r>
          </w:p>
        </w:tc>
        <w:tc>
          <w:tcPr>
            <w:tcW w:type="dxa" w:w="2835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学不到适合自己水平的棋，越下越迷茫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复盘断层</w:t>
            </w:r>
          </w:p>
        </w:tc>
        <w:tc>
          <w:tcPr>
            <w:tcW w:type="dxa" w:w="3969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专业复盘依赖教练时间，一堂课覆盖的棋局有限；自行使用开源工具复盘需要拼装引擎、配置命令行</w:t>
            </w:r>
          </w:p>
        </w:tc>
        <w:tc>
          <w:tcPr>
            <w:tcW w:type="dxa" w:w="2835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复盘频率低，错误长期重复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资产与稳定断层</w:t>
            </w:r>
          </w:p>
        </w:tc>
        <w:tc>
          <w:tcPr>
            <w:tcW w:type="dxa" w:w="3969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棋谱散落在不同平台与本地文件，格式不一、缺少检索，无法形成成长档案；多数在线服务依赖网络与账号，棋院机房断网即中断，部分功能按年订阅</w:t>
            </w:r>
          </w:p>
        </w:tc>
        <w:tc>
          <w:tcPr>
            <w:tcW w:type="dxa" w:w="2835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无长期轨迹可看；课堂使用中断、成本随人数上升</w:t>
            </w:r>
          </w:p>
        </w:tc>
      </w:tr>
    </w:tbl>
    <w:p>
      <w:pPr>
        <w:pStyle w:val="Heading2"/>
      </w:pPr>
      <w:r>
        <w:t>2.2 培训机构的经营痛点</w:t>
      </w:r>
    </w:p>
    <w:p>
      <w:pPr>
        <w:pStyle w:val="ListBullet"/>
        <w:spacing w:after="4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成本敏感——</w:t>
      </w:r>
      <w:r>
        <w:rPr>
          <w:rFonts w:ascii="Times New Roman" w:hAnsi="Times New Roman" w:eastAsia="宋体"/>
          <w:color w:val="1A1A1A"/>
          <w:sz w:val="21"/>
        </w:rPr>
        <w:t>围棋培训多为中小型棋院，IT 预算有限，无力自建服务器或采购企业级软件；</w:t>
      </w:r>
    </w:p>
    <w:p>
      <w:pPr>
        <w:pStyle w:val="ListBullet"/>
        <w:spacing w:after="4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合规压力——</w:t>
      </w:r>
      <w:r>
        <w:rPr>
          <w:rFonts w:ascii="Times New Roman" w:hAnsi="Times New Roman" w:eastAsia="宋体"/>
          <w:color w:val="1A1A1A"/>
          <w:sz w:val="21"/>
        </w:rPr>
        <w:t>学员多为儿童，账号体系、在线行为与个人信息合规压力大；</w:t>
      </w:r>
    </w:p>
    <w:p>
      <w:pPr>
        <w:pStyle w:val="ListBullet"/>
        <w:spacing w:after="4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依赖人力——</w:t>
      </w:r>
      <w:r>
        <w:rPr>
          <w:rFonts w:ascii="Times New Roman" w:hAnsi="Times New Roman" w:eastAsia="宋体"/>
          <w:color w:val="1A1A1A"/>
          <w:sz w:val="21"/>
        </w:rPr>
        <w:t>教学质量高度依赖个别教师，缺少可复用的标准化工具来沉淀教学资产。</w:t>
      </w:r>
    </w:p>
    <w:p>
      <w:pPr>
        <w:pStyle w:val="Heading2"/>
      </w:pPr>
      <w:r>
        <w:t>2.3 现有方案的不足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当前市场大致分为三类解决方案，各自存在明显缺口（详见第四章竞品分析）：</w:t>
      </w:r>
    </w:p>
    <w:p>
      <w:pPr>
        <w:pStyle w:val="ListNumber"/>
        <w:spacing w:after="4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在线平台——</w:t>
      </w:r>
      <w:r>
        <w:rPr>
          <w:rFonts w:ascii="Times New Roman" w:hAnsi="Times New Roman" w:eastAsia="宋体"/>
          <w:color w:val="1A1A1A"/>
          <w:sz w:val="21"/>
        </w:rPr>
        <w:t>在线对弈与 AI 复盘平台：功能强，但重度依赖网络与账号，长期使用需持续付费，数据托管在平台方。</w:t>
      </w:r>
    </w:p>
    <w:p>
      <w:pPr>
        <w:pStyle w:val="ListNumber"/>
        <w:spacing w:after="4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开源工具——</w:t>
      </w:r>
      <w:r>
        <w:rPr>
          <w:rFonts w:ascii="Times New Roman" w:hAnsi="Times New Roman" w:eastAsia="宋体"/>
          <w:color w:val="1A1A1A"/>
          <w:sz w:val="21"/>
        </w:rPr>
        <w:t>开源 AI 围棋工具：性能先进、免费，但面向技术型用户，需要自行下载模型、配置引擎路径、理解命令行参数，普通家长与少儿学员无法独立使用。</w:t>
      </w:r>
    </w:p>
    <w:p>
      <w:pPr>
        <w:pStyle w:val="ListNumber"/>
        <w:spacing w:after="4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人力教学——</w:t>
      </w:r>
      <w:r>
        <w:rPr>
          <w:rFonts w:ascii="Times New Roman" w:hAnsi="Times New Roman" w:eastAsia="宋体"/>
          <w:color w:val="1A1A1A"/>
          <w:sz w:val="21"/>
        </w:rPr>
        <w:t>线下教练与棋院课程：教学效果最好，但时间成本与经济成本最高，且无法覆盖课前课后的自主练习。</w:t>
      </w:r>
    </w:p>
    <w:p>
      <w:pPr>
        <w:spacing w:before="120" w:after="80" w:line="360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由此可见，市场中缺少的并非“围棋 AI 能力”，而是把这项能力以最低使用门槛交付给非技术用户的最后一公里。这正是本项目的切入点。</w:t>
      </w:r>
    </w:p>
    <w:p>
      <w:r>
        <w:br w:type="page"/>
      </w:r>
    </w:p>
    <w:p>
      <w:pPr>
        <w:pStyle w:val="Heading1"/>
      </w:pPr>
      <w:r>
        <w:t>三、解决方案与产品</w:t>
      </w:r>
    </w:p>
    <w:p>
      <w:pPr>
        <w:pStyle w:val="Heading2"/>
      </w:pPr>
      <w:r>
        <w:t>3.1 产品功能全景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时光围棋 v1.1.0 已实现下列功能，均可下载安装包实际验证：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cantSplit w:val="true"/>
      </w:tblPr>
      <w:tblGrid>
        <w:gridCol w:w="2986"/>
        <w:gridCol w:w="2986"/>
        <w:gridCol w:w="2986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模块</w:t>
            </w:r>
          </w:p>
        </w:tc>
        <w:tc>
          <w:tcPr>
            <w:tcW w:type="dxa" w:w="5556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功能</w:t>
            </w:r>
          </w:p>
        </w:tc>
        <w:tc>
          <w:tcPr>
            <w:tcW w:type="dxa" w:w="1247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人机对局</w:t>
            </w:r>
          </w:p>
        </w:tc>
        <w:tc>
          <w:tcPr>
            <w:tcW w:type="dxa" w:w="5556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29 档拟人棋力（20k–1k、1d–9d），执黑/执白/猜先，中国、日韩、AGA 三种规则，让先与 2–9 子让子，多档用时</w:t>
            </w:r>
          </w:p>
        </w:tc>
        <w:tc>
          <w:tcPr>
            <w:tcW w:type="dxa" w:w="124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已实现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双人 / 局域网对局</w:t>
            </w:r>
          </w:p>
        </w:tc>
        <w:tc>
          <w:tcPr>
            <w:tcW w:type="dxa" w:w="5556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同机轮流落子，支持计时与悔棋；局域网创建/扫描房间、手动 IP、房间密码、断线恢复</w:t>
            </w:r>
          </w:p>
        </w:tc>
        <w:tc>
          <w:tcPr>
            <w:tcW w:type="dxa" w:w="124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已实现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AI 分析</w:t>
            </w:r>
          </w:p>
        </w:tc>
        <w:tc>
          <w:tcPr>
            <w:tcW w:type="dxa" w:w="5556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黑白胜率、目差、候选落点与变化图、AI 形势预测</w:t>
            </w:r>
          </w:p>
        </w:tc>
        <w:tc>
          <w:tcPr>
            <w:tcW w:type="dxa" w:w="124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已实现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终局裁判</w:t>
            </w:r>
          </w:p>
        </w:tc>
        <w:tc>
          <w:tcPr>
            <w:tcW w:type="dxa" w:w="5556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死子识别、数子就绪检查、终局判定、可取消恢复</w:t>
            </w:r>
          </w:p>
        </w:tc>
        <w:tc>
          <w:tcPr>
            <w:tcW w:type="dxa" w:w="124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已实现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研究工作台与棋谱库</w:t>
            </w:r>
          </w:p>
        </w:tc>
        <w:tc>
          <w:tcPr>
            <w:tcW w:type="dxa" w:w="5556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变化树、摆子、标记备注、主线调整、草稿恢复、SGF 导入导出；本地保存、搜索标签、集合、备份恢复</w:t>
            </w:r>
          </w:p>
        </w:tc>
        <w:tc>
          <w:tcPr>
            <w:tcW w:type="dxa" w:w="124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已实现</w:t>
            </w:r>
          </w:p>
        </w:tc>
      </w:tr>
    </w:tbl>
    <w:p>
      <w:pPr>
        <w:spacing w:before="40" w:after="80" w:line="360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另有国际化（中英文切换）与跨平台（macOS / Linux）两项属规划中功能，不在 v1.1.0 交付范围内。</w:t>
      </w:r>
    </w:p>
    <w:p>
      <w:pPr>
        <w:pStyle w:val="Heading2"/>
      </w:pPr>
      <w:r>
        <w:t>3.2 技术架构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产品采用“前端展示—原生后端—本地引擎”的三层架构，将浏览器技术栈的开发效率与原生程序的计算能力与分发能力结合：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cantSplit w:val="true"/>
      </w:tblPr>
      <w:tblGrid>
        <w:gridCol w:w="2986"/>
        <w:gridCol w:w="2986"/>
        <w:gridCol w:w="2986"/>
      </w:tblGrid>
      <w:tr>
        <w:trPr>
          <w:tblHeader w:val="true"/>
          <w:cantSplit w:val="true"/>
        </w:trPr>
        <w:tc>
          <w:tcPr>
            <w:tcW w:type="dxa" w:w="1247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层次</w:t>
            </w:r>
          </w:p>
        </w:tc>
        <w:tc>
          <w:tcPr>
            <w:tcW w:type="dxa" w:w="3515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技术选型</w:t>
            </w:r>
          </w:p>
        </w:tc>
        <w:tc>
          <w:tcPr>
            <w:tcW w:type="dxa" w:w="3515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表现层</w:t>
            </w:r>
          </w:p>
        </w:tc>
        <w:tc>
          <w:tcPr>
            <w:tcW w:type="dxa" w:w="3515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Vue 3 + TypeScript + Pinia + Vue Router，Canvas 绘制棋盘</w:t>
            </w:r>
          </w:p>
        </w:tc>
        <w:tc>
          <w:tcPr>
            <w:tcW w:type="dxa" w:w="3515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棋盘渲染、交互逻辑、规则与计分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桥接层</w:t>
            </w:r>
          </w:p>
        </w:tc>
        <w:tc>
          <w:tcPr>
            <w:tcW w:type="dxa" w:w="3515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Tauri 2（Rust），19 个命令接口</w:t>
            </w:r>
          </w:p>
        </w:tc>
        <w:tc>
          <w:tcPr>
            <w:tcW w:type="dxa" w:w="3515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进程管理、文件访问、原生能力授权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计算层</w:t>
            </w:r>
          </w:p>
        </w:tc>
        <w:tc>
          <w:tcPr>
            <w:tcW w:type="dxa" w:w="3515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KataGo JSON Analysis Engine / GTP；GNU Go</w:t>
            </w:r>
          </w:p>
        </w:tc>
        <w:tc>
          <w:tcPr>
            <w:tcW w:type="dxa" w:w="3515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AI 推理、形势估计、终局裁判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网络层</w:t>
            </w:r>
          </w:p>
        </w:tc>
        <w:tc>
          <w:tcPr>
            <w:tcW w:type="dxa" w:w="3515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Rust 实现的 TCP 房间服务 + UDP 房间发现</w:t>
            </w:r>
          </w:p>
        </w:tc>
        <w:tc>
          <w:tcPr>
            <w:tcW w:type="dxa" w:w="3515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局域网对弈，无中心服务器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存储层</w:t>
            </w:r>
          </w:p>
        </w:tc>
        <w:tc>
          <w:tcPr>
            <w:tcW w:type="dxa" w:w="3515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SQLite（rusqlite，bundled）</w:t>
            </w:r>
          </w:p>
        </w:tc>
        <w:tc>
          <w:tcPr>
            <w:tcW w:type="dxa" w:w="3515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本地棋谱库与设置持久化</w:t>
            </w:r>
          </w:p>
        </w:tc>
      </w:tr>
    </w:tbl>
    <w:p>
      <w:pPr>
        <w:spacing w:before="120" w:after="80" w:line="360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该架构的关键取舍在于：使用 Tauri 而非 Electron，使安装包不携带完整浏览器内核，在包含近 1.2 GB AI 资源的前提下，安装包体积仍控制在约 1.06 GB；同时由于计算完全本地化，产品不存在任何服务器侧运行成本。</w:t>
      </w:r>
    </w:p>
    <w:p>
      <w:pPr>
        <w:pStyle w:val="Heading2"/>
      </w:pPr>
      <w:r>
        <w:t>3.3 关键技术壁垒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项目在工程层面已沉淀以下不易被简单复制的积累：</w:t>
      </w:r>
    </w:p>
    <w:p>
      <w:pPr>
        <w:pStyle w:val="ListBullet"/>
        <w:spacing w:after="4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引擎集成——</w:t>
      </w:r>
      <w:r>
        <w:rPr>
          <w:rFonts w:ascii="Times New Roman" w:hAnsi="Times New Roman" w:eastAsia="宋体"/>
          <w:color w:val="1A1A1A"/>
          <w:sz w:val="21"/>
        </w:rPr>
        <w:t>对 KataGo 运行时的探测与选择逻辑（可执行文件、模型、配置文件、TensorRT/CUDA 依赖的多级降级），以及在 NVIDIA GPU 环境下的预热与缓存管理；</w:t>
      </w:r>
    </w:p>
    <w:p>
      <w:pPr>
        <w:pStyle w:val="ListBullet"/>
        <w:spacing w:after="4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双模型调度——</w:t>
      </w:r>
      <w:r>
        <w:rPr>
          <w:rFonts w:ascii="Times New Roman" w:hAnsi="Times New Roman" w:eastAsia="宋体"/>
          <w:color w:val="1A1A1A"/>
          <w:sz w:val="21"/>
        </w:rPr>
        <w:t>Human SL 模型与高强度分析模型的分离调度：陪练用拟人模型，分析用高算力模型，且分析按需触发，避免长期占用 GPU；</w:t>
      </w:r>
    </w:p>
    <w:p>
      <w:pPr>
        <w:pStyle w:val="ListBullet"/>
        <w:spacing w:after="4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裁判闭环——</w:t>
      </w:r>
      <w:r>
        <w:rPr>
          <w:rFonts w:ascii="Times New Roman" w:hAnsi="Times New Roman" w:eastAsia="宋体"/>
          <w:color w:val="1A1A1A"/>
          <w:sz w:val="21"/>
        </w:rPr>
        <w:t>将 GNU Go 的死子识别与数子检查转化为可取消、可恢复的异步裁判流程，补足 KataGo 只输出分数建议、不做形式判定的空白；</w:t>
      </w:r>
    </w:p>
    <w:p>
      <w:pPr>
        <w:pStyle w:val="ListBullet"/>
        <w:spacing w:after="4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局域网对弈——</w:t>
      </w:r>
      <w:r>
        <w:rPr>
          <w:rFonts w:ascii="Times New Roman" w:hAnsi="Times New Roman" w:eastAsia="宋体"/>
          <w:color w:val="1A1A1A"/>
          <w:sz w:val="21"/>
        </w:rPr>
        <w:t>在 NAT 环境下无需服务器的房间发现（UDP 广播）与断线恢复机制，在保证低延迟的同时把运营成本压到零。</w:t>
      </w:r>
    </w:p>
    <w:p>
      <w:pPr>
        <w:pStyle w:val="Heading2"/>
      </w:pPr>
      <w:r>
        <w:t>3.4 产品演进路线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cantSplit w:val="true"/>
      </w:tblPr>
      <w:tblGrid>
        <w:gridCol w:w="2986"/>
        <w:gridCol w:w="2986"/>
        <w:gridCol w:w="2986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阶段</w:t>
            </w:r>
          </w:p>
        </w:tc>
        <w:tc>
          <w:tcPr>
            <w:tcW w:type="dxa" w:w="2608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目标</w:t>
            </w:r>
          </w:p>
        </w:tc>
        <w:tc>
          <w:tcPr>
            <w:tcW w:type="dxa" w:w="3628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关键任务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验证期（当前—6 个月）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完成从“能跑”到“敢给普通用户装”</w:t>
            </w:r>
          </w:p>
        </w:tc>
        <w:tc>
          <w:tcPr>
            <w:tcW w:type="dxa" w:w="362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模型分档分发、安装包签名、中英双语、干净环境安装验证、10 家棋院免费试点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产品化期（6–18 个月）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形成可售卖的标准版与专业版</w:t>
            </w:r>
          </w:p>
        </w:tc>
        <w:tc>
          <w:tcPr>
            <w:tcW w:type="dxa" w:w="362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错题本与训练计划、教师端学员数据看板、账号与授权体系、官网与支付链路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平台化期（18–36 个月）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从工具升级为教学平台</w:t>
            </w:r>
          </w:p>
        </w:tc>
        <w:tc>
          <w:tcPr>
            <w:tcW w:type="dxa" w:w="362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题库与段位测评、棋院 SaaS 后台、海外版与多语言、与培训机构/学校的渠道合作</w:t>
            </w:r>
          </w:p>
        </w:tc>
      </w:tr>
    </w:tbl>
    <w:p>
      <w:r>
        <w:br w:type="page"/>
      </w:r>
    </w:p>
    <w:p>
      <w:pPr>
        <w:pStyle w:val="Heading1"/>
      </w:pPr>
      <w:r>
        <w:t>四、市场分析</w:t>
      </w:r>
    </w:p>
    <w:p>
      <w:pPr>
        <w:pStyle w:val="Heading2"/>
      </w:pPr>
      <w:r>
        <w:t>4.1 宏观环境（PEST）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cantSplit w:val="true"/>
      </w:tblPr>
      <w:tblGrid>
        <w:gridCol w:w="2986"/>
        <w:gridCol w:w="2986"/>
        <w:gridCol w:w="2986"/>
      </w:tblGrid>
      <w:tr>
        <w:trPr>
          <w:tblHeader w:val="true"/>
          <w:cantSplit w:val="true"/>
        </w:trPr>
        <w:tc>
          <w:tcPr>
            <w:tcW w:type="dxa" w:w="1020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742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要点</w:t>
            </w:r>
          </w:p>
        </w:tc>
        <w:tc>
          <w:tcPr>
            <w:tcW w:type="dxa" w:w="3515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对本项目的影响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政策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“双减”后素质教育、体育美育类培训受到鼓励；AI 进校园与人工智能教育方向被持续强调 [待核实：具体政策文号与日期]</w:t>
            </w:r>
          </w:p>
        </w:tc>
        <w:tc>
          <w:tcPr>
            <w:tcW w:type="dxa" w:w="3515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围棋培训作为非学科素质类目，基本盘稳定；AI+教育是社会价值叙事的有力支撑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经济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家庭在少儿素质教育上的支出具备韧性；但家长对“按年订阅”类数字服务的接受度分化 [待核实：相关消费调研数据]</w:t>
            </w:r>
          </w:p>
        </w:tc>
        <w:tc>
          <w:tcPr>
            <w:tcW w:type="dxa" w:w="3515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买断制、低门槛定价更容易被家长接受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社会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围棋兼具文化属性与思维训练属性，中产家庭重视程度高；围棋人口以少儿为主要增量 [待核实：中国围棋协会或行业机构公开统计]</w:t>
            </w:r>
          </w:p>
        </w:tc>
        <w:tc>
          <w:tcPr>
            <w:tcW w:type="dxa" w:w="3515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学员端是增量市场，培训机构是天然的获客渠道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技术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开源围棋 AI（KataGo 等）能力已超越多数职业棋手；消费级 GPU 普及率快速提升</w:t>
            </w:r>
          </w:p>
        </w:tc>
        <w:tc>
          <w:tcPr>
            <w:tcW w:type="dxa" w:w="3515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核心技术底座免费可用，差异化的空间转移到产品化与场景适配</w:t>
            </w:r>
          </w:p>
        </w:tc>
      </w:tr>
    </w:tbl>
    <w:p>
      <w:pPr>
        <w:spacing w:before="40" w:after="160" w:line="312" w:lineRule="auto"/>
      </w:pPr>
      <w:r>
        <w:rPr>
          <w:rFonts w:ascii="Times New Roman" w:hAnsi="Times New Roman" w:eastAsia="宋体"/>
          <w:color w:val="606060"/>
          <w:sz w:val="18"/>
        </w:rPr>
        <w:t>「待核实」项需在提交前补齐来源：建议引用中国围棋协会公开数据、国家体育总局相关规划文件、以及艾瑞/易观等机构的教育消费报告原文链接。本环境无法访问外网，故不在本文中给出具体数值。</w:t>
      </w:r>
    </w:p>
    <w:p>
      <w:pPr>
        <w:pStyle w:val="Heading2"/>
      </w:pPr>
      <w:r>
        <w:t>4.2 目标市场与用户画像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综合考虑付费意愿、使用场景与竞品密度，建议采取“以培训机构为渠道、以少儿学员为终端”的主攻方向，个人自学爱好者作为自然流量切入口。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cantSplit w:val="true"/>
      </w:tblPr>
      <w:tblGrid>
        <w:gridCol w:w="1792"/>
        <w:gridCol w:w="1792"/>
        <w:gridCol w:w="1792"/>
        <w:gridCol w:w="1792"/>
        <w:gridCol w:w="1792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用户群体</w:t>
            </w:r>
          </w:p>
        </w:tc>
        <w:tc>
          <w:tcPr>
            <w:tcW w:type="dxa" w:w="1814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身份</w:t>
            </w:r>
          </w:p>
        </w:tc>
        <w:tc>
          <w:tcPr>
            <w:tcW w:type="dxa" w:w="2268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核心诉求</w:t>
            </w:r>
          </w:p>
        </w:tc>
        <w:tc>
          <w:tcPr>
            <w:tcW w:type="dxa" w:w="1361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付费意愿</w:t>
            </w:r>
          </w:p>
        </w:tc>
        <w:tc>
          <w:tcPr>
            <w:tcW w:type="dxa" w:w="907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少儿学员（及其家长）</w:t>
            </w:r>
          </w:p>
        </w:tc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围棋培训机构在读学员</w:t>
            </w:r>
          </w:p>
        </w:tc>
        <w:tc>
          <w:tcPr>
            <w:tcW w:type="dxa" w:w="226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不伤眼、不联网、能陪练、能复盘、价格一次付清</w:t>
            </w:r>
          </w:p>
        </w:tc>
        <w:tc>
          <w:tcPr>
            <w:tcW w:type="dxa" w:w="136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高（由家长决策）</w:t>
            </w:r>
          </w:p>
        </w:tc>
        <w:tc>
          <w:tcPr>
            <w:tcW w:type="dxa" w:w="90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P0 主攻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棋院与培训教师</w:t>
            </w:r>
          </w:p>
        </w:tc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围棋教师、机构负责人</w:t>
            </w:r>
          </w:p>
        </w:tc>
        <w:tc>
          <w:tcPr>
            <w:tcW w:type="dxa" w:w="226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课堂上稳定可用、能沉淀学员棋谱、能减轻复盘工作量</w:t>
            </w:r>
          </w:p>
        </w:tc>
        <w:tc>
          <w:tcPr>
            <w:tcW w:type="dxa" w:w="136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高（批量采购）</w:t>
            </w:r>
          </w:p>
        </w:tc>
        <w:tc>
          <w:tcPr>
            <w:tcW w:type="dxa" w:w="90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P0 主攻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自学冲段爱好者</w:t>
            </w:r>
          </w:p>
        </w:tc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业余爱好者、大学生</w:t>
            </w:r>
          </w:p>
        </w:tc>
        <w:tc>
          <w:tcPr>
            <w:tcW w:type="dxa" w:w="226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比开源工具更省事，比在线平台更自由、更便宜</w:t>
            </w:r>
          </w:p>
        </w:tc>
        <w:tc>
          <w:tcPr>
            <w:tcW w:type="dxa" w:w="136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中</w:t>
            </w:r>
          </w:p>
        </w:tc>
        <w:tc>
          <w:tcPr>
            <w:tcW w:type="dxa" w:w="90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P1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海外围棋学习者</w:t>
            </w:r>
          </w:p>
        </w:tc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英语/其他语言使用者</w:t>
            </w:r>
          </w:p>
        </w:tc>
        <w:tc>
          <w:tcPr>
            <w:tcW w:type="dxa" w:w="226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同类本地化工具稀缺，对价格不敏感</w:t>
            </w:r>
          </w:p>
        </w:tc>
        <w:tc>
          <w:tcPr>
            <w:tcW w:type="dxa" w:w="136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中高</w:t>
            </w:r>
          </w:p>
        </w:tc>
        <w:tc>
          <w:tcPr>
            <w:tcW w:type="dxa" w:w="90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P1（需先完成国际化）</w:t>
            </w:r>
          </w:p>
        </w:tc>
      </w:tr>
    </w:tbl>
    <w:p>
      <w:pPr>
        <w:pStyle w:val="Heading2"/>
      </w:pPr>
      <w:r>
        <w:t>4.3 市场规模测算框架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由于公开统计口径难以精确获取，本文采用自下而上的框架进行保守测算，各变量均需在提交前以公开数据填充：</w:t>
      </w:r>
    </w:p>
    <w:p>
      <w:pPr>
        <w:spacing w:before="120" w:after="80" w:line="360" w:lineRule="auto"/>
      </w:pPr>
      <w:r>
        <w:rPr>
          <w:rFonts w:ascii="Times New Roman" w:hAnsi="Times New Roman" w:eastAsia="宋体"/>
          <w:b/>
          <w:color w:val="1A1A1A"/>
          <w:sz w:val="21"/>
        </w:rPr>
        <w:t>公式：潜在市场规模 = 围棋培训在读学员数 × 年均软件付费意愿 × 渗透率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cantSplit w:val="true"/>
      </w:tblPr>
      <w:tblGrid>
        <w:gridCol w:w="2986"/>
        <w:gridCol w:w="2986"/>
        <w:gridCol w:w="2986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变量</w:t>
            </w:r>
          </w:p>
        </w:tc>
        <w:tc>
          <w:tcPr>
            <w:tcW w:type="dxa" w:w="4649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说明</w:t>
            </w:r>
          </w:p>
        </w:tc>
        <w:tc>
          <w:tcPr>
            <w:tcW w:type="dxa" w:w="1814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取值状态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在读学员数</w:t>
            </w:r>
          </w:p>
        </w:tc>
        <w:tc>
          <w:tcPr>
            <w:tcW w:type="dxa" w:w="4649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中国常年参加围棋培训的少儿学员规模</w:t>
            </w:r>
          </w:p>
        </w:tc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待核实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付费意愿</w:t>
            </w:r>
          </w:p>
        </w:tc>
        <w:tc>
          <w:tcPr>
            <w:tcW w:type="dxa" w:w="4649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家长每年愿意为学习类软件支付的金额</w:t>
            </w:r>
          </w:p>
        </w:tc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待核实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渗透率</w:t>
            </w:r>
          </w:p>
        </w:tc>
        <w:tc>
          <w:tcPr>
            <w:tcW w:type="dxa" w:w="4649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本地化 AI 工具在培训场景中的可达渗透比例</w:t>
            </w:r>
          </w:p>
        </w:tc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待核实</w:t>
            </w:r>
          </w:p>
        </w:tc>
      </w:tr>
    </w:tbl>
    <w:p>
      <w:pPr>
        <w:spacing w:before="120" w:after="80" w:line="360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值得说明的是，即使按最保守的渗透率估算，只要形成 1,000 家机构的批量授权，本项目即可跑通“单人团队覆盖全部成本”的现金流模型——这正是纯本地化架构带来的结构性优势：收入增长不等于成本增长。</w:t>
      </w:r>
    </w:p>
    <w:p>
      <w:pPr>
        <w:pStyle w:val="Heading2"/>
      </w:pPr>
      <w:r>
        <w:t>4.4 竞品分析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本项目面对的并非空白市场，而是已被在线平台与开源工具占据的成熟领域。下表如实列出主要竞品的能力与缺口，并说明本项目的差异化位置。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cantSplit w:val="true"/>
      </w:tblPr>
      <w:tblGrid>
        <w:gridCol w:w="2239"/>
        <w:gridCol w:w="2239"/>
        <w:gridCol w:w="2239"/>
        <w:gridCol w:w="2239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类型 / 代表</w:t>
            </w:r>
          </w:p>
        </w:tc>
        <w:tc>
          <w:tcPr>
            <w:tcW w:type="dxa" w:w="2268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优势</w:t>
            </w:r>
          </w:p>
        </w:tc>
        <w:tc>
          <w:tcPr>
            <w:tcW w:type="dxa" w:w="2268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缺口</w:t>
            </w:r>
          </w:p>
        </w:tc>
        <w:tc>
          <w:tcPr>
            <w:tcW w:type="dxa" w:w="1701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本项目的差异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在线对弈平台**</w:t>
              <w:br/>
              <w:t>（野狐、弈城、OGS 等）</w:t>
            </w:r>
          </w:p>
        </w:tc>
        <w:tc>
          <w:tcPr>
            <w:tcW w:type="dxa" w:w="226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用户基数大、真人对手多、AI 复盘成熟</w:t>
            </w:r>
          </w:p>
        </w:tc>
        <w:tc>
          <w:tcPr>
            <w:tcW w:type="dxa" w:w="226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依赖网络与账号；长期订阅成本；棋谱托管在平台</w:t>
            </w:r>
          </w:p>
        </w:tc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离线可用、一次付费、数据在本地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开源 AI 工具**</w:t>
              <w:br/>
              <w:t>（Lizzie、KaTrain、Sabaki 等）</w:t>
            </w:r>
          </w:p>
        </w:tc>
        <w:tc>
          <w:tcPr>
            <w:tcW w:type="dxa" w:w="226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免费、功能强大、社区活跃</w:t>
            </w:r>
          </w:p>
        </w:tc>
        <w:tc>
          <w:tcPr>
            <w:tcW w:type="dxa" w:w="226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需自行配置引擎与模型；界面面向技术用户；缺少面向少儿的教学流程与数据管理</w:t>
            </w:r>
          </w:p>
        </w:tc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开箱即用；拟人棋力可直接选；棋谱库与研究工作台一体化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在线教学平台**</w:t>
              <w:br/>
              <w:t>（具备作业与题库功能者）</w:t>
            </w:r>
          </w:p>
        </w:tc>
        <w:tc>
          <w:tcPr>
            <w:tcW w:type="dxa" w:w="226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完整教学闭环、紧跟课程体系</w:t>
            </w:r>
          </w:p>
        </w:tc>
        <w:tc>
          <w:tcPr>
            <w:tcW w:type="dxa" w:w="226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价格高、绑定机构、网络依赖强</w:t>
            </w:r>
          </w:p>
        </w:tc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可作为机构自有平台的补充工具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通用对话式 AI</w:t>
            </w:r>
          </w:p>
        </w:tc>
        <w:tc>
          <w:tcPr>
            <w:tcW w:type="dxa" w:w="226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门槛极低、上手快</w:t>
            </w:r>
          </w:p>
        </w:tc>
        <w:tc>
          <w:tcPr>
            <w:tcW w:type="dxa" w:w="226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对局能力弱、输赢与规则不可靠、无法承担正式对局与计分</w:t>
            </w:r>
          </w:p>
        </w:tc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专业规则引擎 + 职业级 AI 引擎</w:t>
            </w:r>
          </w:p>
        </w:tc>
      </w:tr>
    </w:tbl>
    <w:p>
      <w:pPr>
        <w:spacing w:before="40" w:after="160" w:line="312" w:lineRule="auto"/>
      </w:pPr>
      <w:r>
        <w:rPr>
          <w:rFonts w:ascii="Times New Roman" w:hAnsi="Times New Roman" w:eastAsia="宋体"/>
          <w:color w:val="606060"/>
          <w:sz w:val="18"/>
        </w:rPr>
        <w:t>说明：竞品信息基于公开产品认知整理，具体版本、定价与功能细节需在提交前以官方页面核实并标注日期，避免被评审质疑时效性。</w:t>
      </w:r>
    </w:p>
    <w:p>
      <w:pPr>
        <w:pStyle w:val="Heading2"/>
      </w:pPr>
      <w:r>
        <w:t>4.5 竞争壁垒与可持续性</w:t>
      </w:r>
    </w:p>
    <w:p>
      <w:pPr>
        <w:pStyle w:val="ListBullet"/>
        <w:spacing w:after="4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工程壁垒——</w:t>
      </w:r>
      <w:r>
        <w:rPr>
          <w:rFonts w:ascii="Times New Roman" w:hAnsi="Times New Roman" w:eastAsia="宋体"/>
          <w:color w:val="1A1A1A"/>
          <w:sz w:val="21"/>
        </w:rPr>
        <w:t>引擎集成、裁判闭环、局域网对弈等工程工作均为实际代码积累，新进入者需要数月以上的同等投入；</w:t>
      </w:r>
    </w:p>
    <w:p>
      <w:pPr>
        <w:pStyle w:val="ListBullet"/>
        <w:spacing w:after="4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数据壁垒——</w:t>
      </w:r>
      <w:r>
        <w:rPr>
          <w:rFonts w:ascii="Times New Roman" w:hAnsi="Times New Roman" w:eastAsia="宋体"/>
          <w:color w:val="1A1A1A"/>
          <w:sz w:val="21"/>
        </w:rPr>
        <w:t>随着试点机构与学员棋谱积累，本地棋谱库与教学数据会成为机构的迁移成本；</w:t>
      </w:r>
    </w:p>
    <w:p>
      <w:pPr>
        <w:pStyle w:val="ListBullet"/>
        <w:spacing w:after="4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渠道壁垒——</w:t>
      </w:r>
      <w:r>
        <w:rPr>
          <w:rFonts w:ascii="Times New Roman" w:hAnsi="Times New Roman" w:eastAsia="宋体"/>
          <w:color w:val="1A1A1A"/>
          <w:sz w:val="21"/>
        </w:rPr>
        <w:t>先与头部棋院建立合作，再以渠道方式向下覆盖，渠道一旦建立具备排他性；</w:t>
      </w:r>
    </w:p>
    <w:p>
      <w:pPr>
        <w:pStyle w:val="ListBullet"/>
        <w:spacing w:after="4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成本结构壁垒——</w:t>
      </w:r>
      <w:r>
        <w:rPr>
          <w:rFonts w:ascii="Times New Roman" w:hAnsi="Times New Roman" w:eastAsia="宋体"/>
          <w:color w:val="1A1A1A"/>
          <w:sz w:val="21"/>
        </w:rPr>
        <w:t>纯本地化架构意味着竞争者无法用“补贴服务器成本”的方式发起价格战。</w:t>
      </w:r>
    </w:p>
    <w:p>
      <w:r>
        <w:br w:type="page"/>
      </w:r>
    </w:p>
    <w:p>
      <w:pPr>
        <w:pStyle w:val="Heading1"/>
      </w:pPr>
      <w:r>
        <w:t>五、商业模式</w:t>
      </w:r>
    </w:p>
    <w:p>
      <w:pPr>
        <w:pStyle w:val="Heading2"/>
      </w:pPr>
      <w:r>
        <w:t>5.1 价值主张与盈利模式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产品当前不具备收入，本章为设计中的商业模式，尚未经过市场验证。整体采用“个人买断 + 机构授权”的双轨结构：B 端提供现金流，C 端提供口碑与传播。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cantSplit w:val="true"/>
      </w:tblPr>
      <w:tblGrid>
        <w:gridCol w:w="1792"/>
        <w:gridCol w:w="1792"/>
        <w:gridCol w:w="1792"/>
        <w:gridCol w:w="1792"/>
        <w:gridCol w:w="1792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产品线</w:t>
            </w:r>
          </w:p>
        </w:tc>
        <w:tc>
          <w:tcPr>
            <w:tcW w:type="dxa" w:w="1928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目标客户</w:t>
            </w:r>
          </w:p>
        </w:tc>
        <w:tc>
          <w:tcPr>
            <w:tcW w:type="dxa" w:w="1701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定价策略</w:t>
            </w:r>
          </w:p>
        </w:tc>
        <w:tc>
          <w:tcPr>
            <w:tcW w:type="dxa" w:w="2154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交付形态</w:t>
            </w:r>
          </w:p>
        </w:tc>
        <w:tc>
          <w:tcPr>
            <w:tcW w:type="dxa" w:w="1247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教育版</w:t>
            </w:r>
          </w:p>
        </w:tc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棋院、培训机构教师</w:t>
            </w:r>
          </w:p>
        </w:tc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按教室/机构授权，含 1 年更新</w:t>
            </w:r>
          </w:p>
        </w:tc>
        <w:tc>
          <w:tcPr>
            <w:tcW w:type="dxa" w:w="215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Windows 桌面端 + 学员数据看板 + 批量部署</w:t>
            </w:r>
          </w:p>
        </w:tc>
        <w:tc>
          <w:tcPr>
            <w:tcW w:type="dxa" w:w="124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核心现金流来源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个人版（免费）</w:t>
            </w:r>
          </w:p>
        </w:tc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个人学员、爱好者</w:t>
            </w:r>
          </w:p>
        </w:tc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免费</w:t>
            </w:r>
          </w:p>
        </w:tc>
        <w:tc>
          <w:tcPr>
            <w:tcW w:type="dxa" w:w="215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人机对局、基础分析、棋谱库</w:t>
            </w:r>
          </w:p>
        </w:tc>
        <w:tc>
          <w:tcPr>
            <w:tcW w:type="dxa" w:w="124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获客与口碑入口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个人版 Pro</w:t>
            </w:r>
          </w:p>
        </w:tc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进阶自学用户</w:t>
            </w:r>
          </w:p>
        </w:tc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一次性买断</w:t>
            </w:r>
          </w:p>
        </w:tc>
        <w:tc>
          <w:tcPr>
            <w:tcW w:type="dxa" w:w="215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深度分析、错题本、训练计划、多设备同步</w:t>
            </w:r>
          </w:p>
        </w:tc>
        <w:tc>
          <w:tcPr>
            <w:tcW w:type="dxa" w:w="124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个人付费转化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海外版</w:t>
            </w:r>
          </w:p>
        </w:tc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英语及其他语言用户</w:t>
            </w:r>
          </w:p>
        </w:tc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一次性买断，定价略高于国内</w:t>
            </w:r>
          </w:p>
        </w:tc>
        <w:tc>
          <w:tcPr>
            <w:tcW w:type="dxa" w:w="215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完成国际化后的同款产品</w:t>
            </w:r>
          </w:p>
        </w:tc>
        <w:tc>
          <w:tcPr>
            <w:tcW w:type="dxa" w:w="124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增量市场</w:t>
            </w:r>
          </w:p>
        </w:tc>
      </w:tr>
    </w:tbl>
    <w:p>
      <w:pPr>
        <w:spacing w:before="120" w:after="80" w:line="360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选择买断制而非订阅制，理由有三：本地化产品没有持续的服务成本，按年收费缺乏正当性；家长对“一次性付费的软件”接受度显著高于“按年订阅”；机构采购议价时，买断价的决策链条远短于订阅审批。</w:t>
      </w:r>
    </w:p>
    <w:p>
      <w:pPr>
        <w:pStyle w:val="Heading2"/>
      </w:pPr>
      <w:r>
        <w:t>5.2 成本结构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cantSplit w:val="true"/>
      </w:tblPr>
      <w:tblGrid>
        <w:gridCol w:w="2986"/>
        <w:gridCol w:w="2986"/>
        <w:gridCol w:w="2986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成本项</w:t>
            </w:r>
          </w:p>
        </w:tc>
        <w:tc>
          <w:tcPr>
            <w:tcW w:type="dxa" w:w="1474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性质</w:t>
            </w:r>
          </w:p>
        </w:tc>
        <w:tc>
          <w:tcPr>
            <w:tcW w:type="dxa" w:w="4989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研发人力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主要成本</w:t>
            </w:r>
          </w:p>
        </w:tc>
        <w:tc>
          <w:tcPr>
            <w:tcW w:type="dxa" w:w="4989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个人开发阶段为时间投入；组建团队后为最大支出项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代码签名证书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固定成本</w:t>
            </w:r>
          </w:p>
        </w:tc>
        <w:tc>
          <w:tcPr>
            <w:tcW w:type="dxa" w:w="4989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解决安装包“发布者未知”的信任问题，属必需投入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模型与资源分发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变动成本</w:t>
            </w:r>
          </w:p>
        </w:tc>
        <w:tc>
          <w:tcPr>
            <w:tcW w:type="dxa" w:w="4989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通过对象存储或 CDN 分发 AI 资源，成本随下载量增长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市场与渠道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变动成本</w:t>
            </w:r>
          </w:p>
        </w:tc>
        <w:tc>
          <w:tcPr>
            <w:tcW w:type="dxa" w:w="4989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棋院地推、教师社群、展会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服务器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极低</w:t>
            </w:r>
          </w:p>
        </w:tc>
        <w:tc>
          <w:tcPr>
            <w:tcW w:type="dxa" w:w="4989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仅需官网、下载与授权校验，无推理服务器</w:t>
            </w:r>
          </w:p>
        </w:tc>
      </w:tr>
    </w:tbl>
    <w:p>
      <w:pPr>
        <w:spacing w:before="120" w:after="80" w:line="360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与传统在线教育产品相比，本项目最大的财务特征是“收入增长不等于成本线性增长”：AI 推理在用户本机完成，边际服务成本接近于零，因此毛利率在高规模下趋近于 100%。</w:t>
      </w:r>
    </w:p>
    <w:p>
      <w:pPr>
        <w:pStyle w:val="Heading2"/>
      </w:pPr>
      <w:r>
        <w:t>5.3 获客路径</w:t>
      </w:r>
    </w:p>
    <w:p>
      <w:pPr>
        <w:pStyle w:val="ListNumber"/>
        <w:spacing w:after="4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免费试点——</w:t>
      </w:r>
      <w:r>
        <w:rPr>
          <w:rFonts w:ascii="Times New Roman" w:hAnsi="Times New Roman" w:eastAsia="宋体"/>
          <w:color w:val="1A1A1A"/>
          <w:sz w:val="21"/>
        </w:rPr>
        <w:t>在二三线城市选取 10 家棋院免费部署，换取真实使用反馈、公开评测与首批案例；</w:t>
      </w:r>
    </w:p>
    <w:p>
      <w:pPr>
        <w:pStyle w:val="ListNumber"/>
        <w:spacing w:after="4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教师社群——</w:t>
      </w:r>
      <w:r>
        <w:rPr>
          <w:rFonts w:ascii="Times New Roman" w:hAnsi="Times New Roman" w:eastAsia="宋体"/>
          <w:color w:val="1A1A1A"/>
          <w:sz w:val="21"/>
        </w:rPr>
        <w:t>对接围棋教师社群与赛事，以教研工具的身份切入，而非与教练争夺角色；</w:t>
      </w:r>
    </w:p>
    <w:p>
      <w:pPr>
        <w:pStyle w:val="ListNumber"/>
        <w:spacing w:after="4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开源社区——</w:t>
      </w:r>
      <w:r>
        <w:rPr>
          <w:rFonts w:ascii="Times New Roman" w:hAnsi="Times New Roman" w:eastAsia="宋体"/>
          <w:color w:val="1A1A1A"/>
          <w:sz w:val="21"/>
        </w:rPr>
        <w:t>开源社区已积累的 GitHub/Gitee 渠道继续运营，以技术内容吸引高阶爱好者，转化为自助付费与推荐；</w:t>
      </w:r>
    </w:p>
    <w:p>
      <w:pPr>
        <w:pStyle w:val="ListNumber"/>
        <w:spacing w:after="4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家长口碑——</w:t>
      </w:r>
      <w:r>
        <w:rPr>
          <w:rFonts w:ascii="Times New Roman" w:hAnsi="Times New Roman" w:eastAsia="宋体"/>
          <w:color w:val="1A1A1A"/>
          <w:sz w:val="21"/>
        </w:rPr>
        <w:t>将“本地化、无隐私风险”作为短视频与家长社群的核心传播点。</w:t>
      </w:r>
    </w:p>
    <w:p>
      <w:pPr>
        <w:pStyle w:val="Heading2"/>
      </w:pPr>
      <w:r>
        <w:t>5.4 里程碑与收入路径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cantSplit w:val="true"/>
      </w:tblPr>
      <w:tblGrid>
        <w:gridCol w:w="2986"/>
        <w:gridCol w:w="2986"/>
        <w:gridCol w:w="2986"/>
      </w:tblGrid>
      <w:tr>
        <w:trPr>
          <w:tblHeader w:val="true"/>
          <w:cantSplit w:val="true"/>
        </w:trPr>
        <w:tc>
          <w:tcPr>
            <w:tcW w:type="dxa" w:w="1587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时间</w:t>
            </w:r>
          </w:p>
        </w:tc>
        <w:tc>
          <w:tcPr>
            <w:tcW w:type="dxa" w:w="3628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产品里程碑</w:t>
            </w:r>
          </w:p>
        </w:tc>
        <w:tc>
          <w:tcPr>
            <w:tcW w:type="dxa" w:w="3061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商业里程碑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0–6 个月</w:t>
            </w:r>
          </w:p>
        </w:tc>
        <w:tc>
          <w:tcPr>
            <w:tcW w:type="dxa" w:w="362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完成签名、分档分发、双语、干净环境验证</w:t>
            </w:r>
          </w:p>
        </w:tc>
        <w:tc>
          <w:tcPr>
            <w:tcW w:type="dxa" w:w="306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10 家试点机构；不追求收入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6–18 个月</w:t>
            </w:r>
          </w:p>
        </w:tc>
        <w:tc>
          <w:tcPr>
            <w:tcW w:type="dxa" w:w="362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教育版发布，学员数据看板，授权体系上线</w:t>
            </w:r>
          </w:p>
        </w:tc>
        <w:tc>
          <w:tcPr>
            <w:tcW w:type="dxa" w:w="306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首批付费机构；跑通单机构交付流程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18–36 个月</w:t>
            </w:r>
          </w:p>
        </w:tc>
        <w:tc>
          <w:tcPr>
            <w:tcW w:type="dxa" w:w="362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题库与段位测评，海外版发布</w:t>
            </w:r>
          </w:p>
        </w:tc>
        <w:tc>
          <w:tcPr>
            <w:tcW w:type="dxa" w:w="306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形成可复制的区域代理与渠道体系</w:t>
            </w:r>
          </w:p>
        </w:tc>
      </w:tr>
    </w:tbl>
    <w:p>
      <w:r>
        <w:br w:type="page"/>
      </w:r>
    </w:p>
    <w:p>
      <w:pPr>
        <w:pStyle w:val="Heading1"/>
      </w:pPr>
      <w:r>
        <w:t>六、团队与执行</w:t>
      </w:r>
    </w:p>
    <w:p>
      <w:pPr>
        <w:pStyle w:val="Heading2"/>
      </w:pPr>
      <w:r>
        <w:t>6.1 当前团队构成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项目当前由个人独立完成，覆盖产品设计、前端（Vue 3 / TypeScript，约 1.6 万行）、后端（Rust，约 4,900 行）、AI 引擎集成、桌面打包发布与测试的完整链条。已连续完成 v1.0.0、v1.1.0 两个正式版本的发布与迭代。</w:t>
      </w:r>
    </w:p>
    <w:p>
      <w:pPr>
        <w:spacing w:before="40" w:after="160" w:line="312" w:lineRule="auto"/>
      </w:pPr>
      <w:r>
        <w:rPr>
          <w:rFonts w:ascii="Times New Roman" w:hAnsi="Times New Roman" w:eastAsia="宋体"/>
          <w:color w:val="606060"/>
          <w:sz w:val="18"/>
        </w:rPr>
        <w:t>待补充：姓名、院校、专业、年级、联系方式、指导老师。如已获得奖项、专利、软著或在开源社区获得关注（Star/Fork 数），请在本节补充，这些在评审中权重很高。</w:t>
      </w:r>
    </w:p>
    <w:p>
      <w:pPr>
        <w:pStyle w:val="Heading2"/>
      </w:pPr>
      <w:r>
        <w:t>6.2 能力缺口与补齐计划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cantSplit w:val="true"/>
      </w:tblPr>
      <w:tblGrid>
        <w:gridCol w:w="2239"/>
        <w:gridCol w:w="2239"/>
        <w:gridCol w:w="2239"/>
        <w:gridCol w:w="2239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缺口</w:t>
            </w:r>
          </w:p>
        </w:tc>
        <w:tc>
          <w:tcPr>
            <w:tcW w:type="dxa" w:w="2608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影响</w:t>
            </w:r>
          </w:p>
        </w:tc>
        <w:tc>
          <w:tcPr>
            <w:tcW w:type="dxa" w:w="3175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补齐方式</w:t>
            </w:r>
          </w:p>
        </w:tc>
        <w:tc>
          <w:tcPr>
            <w:tcW w:type="dxa" w:w="794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商业化与渠道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有产品无销售，是最关键的短板</w:t>
            </w:r>
          </w:p>
        </w:tc>
        <w:tc>
          <w:tcPr>
            <w:tcW w:type="dxa" w:w="3175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引入具备教育行业销售经验的合伙人，或与区域代理商合作</w:t>
            </w:r>
          </w:p>
        </w:tc>
        <w:tc>
          <w:tcPr>
            <w:tcW w:type="dxa" w:w="79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最高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法律与合规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开源许可与第三方再分发依据未完全确认，属发行风险</w:t>
            </w:r>
          </w:p>
        </w:tc>
        <w:tc>
          <w:tcPr>
            <w:tcW w:type="dxa" w:w="3175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聘请律师完成许可审计，明确根目录 LICENSE 与第三方声明</w:t>
            </w:r>
          </w:p>
        </w:tc>
        <w:tc>
          <w:tcPr>
            <w:tcW w:type="dxa" w:w="79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最高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UI/UX 与幼龄适配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界面偏成人向，少儿使用门槛可进一步降低</w:t>
            </w:r>
          </w:p>
        </w:tc>
        <w:tc>
          <w:tcPr>
            <w:tcW w:type="dxa" w:w="3175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引入交互设计顾问，开展儿童可用性测试</w:t>
            </w:r>
          </w:p>
        </w:tc>
        <w:tc>
          <w:tcPr>
            <w:tcW w:type="dxa" w:w="79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高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测试与质量保障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缺少端到端自动化测试与 CI 流程</w:t>
            </w:r>
          </w:p>
        </w:tc>
        <w:tc>
          <w:tcPr>
            <w:tcW w:type="dxa" w:w="3175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建立 GitHub Actions：前端构建、Rust 测试、安装验证</w:t>
            </w:r>
          </w:p>
        </w:tc>
        <w:tc>
          <w:tcPr>
            <w:tcW w:type="dxa" w:w="79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高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内容与教研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缺少题库、课程体系与段位标准</w:t>
            </w:r>
          </w:p>
        </w:tc>
        <w:tc>
          <w:tcPr>
            <w:tcW w:type="dxa" w:w="3175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与围棋教师共建教研内容，避免自行编写专业内容</w:t>
            </w:r>
          </w:p>
        </w:tc>
        <w:tc>
          <w:tcPr>
            <w:tcW w:type="dxa" w:w="794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中</w:t>
            </w:r>
          </w:p>
        </w:tc>
      </w:tr>
    </w:tbl>
    <w:p>
      <w:pPr>
        <w:pStyle w:val="Heading2"/>
      </w:pPr>
      <w:r>
        <w:t>6.3 阶段性目标（建议按 SMARTER 原则设指标）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cantSplit w:val="true"/>
      </w:tblPr>
      <w:tblGrid>
        <w:gridCol w:w="4479"/>
        <w:gridCol w:w="4479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时间节点</w:t>
            </w:r>
          </w:p>
        </w:tc>
        <w:tc>
          <w:tcPr>
            <w:tcW w:type="dxa" w:w="6576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量化目标（建议值，需据实调整）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6 个月</w:t>
            </w:r>
          </w:p>
        </w:tc>
        <w:tc>
          <w:tcPr>
            <w:tcW w:type="dxa" w:w="6576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完成 1 个正式签名版本；10 家棋院试点；累计安装 ≥ 500 台；建立 CI 流程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12 个月</w:t>
            </w:r>
          </w:p>
        </w:tc>
        <w:tc>
          <w:tcPr>
            <w:tcW w:type="dxa" w:w="6576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教育版上线；试点机构转付费 ≥ 20%；完成许可合规审计；发布英文版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24 个月</w:t>
            </w:r>
          </w:p>
        </w:tc>
        <w:tc>
          <w:tcPr>
            <w:tcW w:type="dxa" w:w="6576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授权机构 ≥ 200 家；建立区域代理；形成可复制的标准交付与培训手册</w:t>
            </w:r>
          </w:p>
        </w:tc>
      </w:tr>
    </w:tbl>
    <w:p>
      <w:r>
        <w:br w:type="page"/>
      </w:r>
    </w:p>
    <w:p>
      <w:pPr>
        <w:pStyle w:val="Heading1"/>
      </w:pPr>
      <w:r>
        <w:t>七、社会价值</w:t>
      </w:r>
    </w:p>
    <w:p>
      <w:pPr>
        <w:pStyle w:val="ListBullet"/>
        <w:spacing w:after="4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文化传承——</w:t>
      </w:r>
      <w:r>
        <w:rPr>
          <w:rFonts w:ascii="Times New Roman" w:hAnsi="Times New Roman" w:eastAsia="宋体"/>
          <w:color w:val="1A1A1A"/>
          <w:sz w:val="21"/>
        </w:rPr>
        <w:t>围棋是中华传统文化的重要载体；以现代 AI 技术降低其学习门槛，有助于传统文化在青少年中的普及，服务于文化自信的树立；</w:t>
      </w:r>
    </w:p>
    <w:p>
      <w:pPr>
        <w:pStyle w:val="ListBullet"/>
        <w:spacing w:after="4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科技普惠——</w:t>
      </w:r>
      <w:r>
        <w:rPr>
          <w:rFonts w:ascii="Times New Roman" w:hAnsi="Times New Roman" w:eastAsia="宋体"/>
          <w:color w:val="1A1A1A"/>
          <w:sz w:val="21"/>
        </w:rPr>
        <w:t>在推动人工智能教育普及的背景下，本产品让学员在日常训练中直接体验“与 AI 协作”的学习方式，同时不增加家庭经济负担；</w:t>
      </w:r>
    </w:p>
    <w:p>
      <w:pPr>
        <w:pStyle w:val="ListBullet"/>
        <w:spacing w:after="4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隐私保护——</w:t>
      </w:r>
      <w:r>
        <w:rPr>
          <w:rFonts w:ascii="Times New Roman" w:hAnsi="Times New Roman" w:eastAsia="宋体"/>
          <w:color w:val="1A1A1A"/>
          <w:sz w:val="21"/>
        </w:rPr>
        <w:t>全部数据留在本地，不采集未成年人上网行为、不上传棋局，在同等功能的产品中隐私风险最低；</w:t>
      </w:r>
    </w:p>
    <w:p>
      <w:pPr>
        <w:pStyle w:val="ListBullet"/>
        <w:spacing w:after="4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共同富裕——</w:t>
      </w:r>
      <w:r>
        <w:rPr>
          <w:rFonts w:ascii="Times New Roman" w:hAnsi="Times New Roman" w:eastAsia="宋体"/>
          <w:color w:val="1A1A1A"/>
          <w:sz w:val="21"/>
        </w:rPr>
        <w:t>以离线化、低成本的工具支持中小型棋院，降低教育资源的机构间差距；</w:t>
      </w:r>
    </w:p>
    <w:p>
      <w:pPr>
        <w:pStyle w:val="ListBullet"/>
        <w:spacing w:after="40" w:line="348" w:lineRule="auto"/>
      </w:pPr>
      <w:r>
        <w:rPr>
          <w:rFonts w:ascii="Times New Roman" w:hAnsi="Times New Roman" w:eastAsia="宋体"/>
          <w:b/>
          <w:color w:val="1A1A1A"/>
          <w:sz w:val="21"/>
        </w:rPr>
        <w:t>开源回馈——</w:t>
      </w:r>
      <w:r>
        <w:rPr>
          <w:rFonts w:ascii="Times New Roman" w:hAnsi="Times New Roman" w:eastAsia="宋体"/>
          <w:color w:val="1A1A1A"/>
          <w:sz w:val="21"/>
        </w:rPr>
        <w:t>项目以开源社区资源（KataGo、GNU Go、Tauri、Vue 等）为技术底座，产品成熟后可将教学交互层以开源方式回馈社区。</w:t>
      </w:r>
    </w:p>
    <w:p>
      <w:pPr>
        <w:pStyle w:val="Heading1"/>
      </w:pPr>
      <w:r>
        <w:t>八、风险与应对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本章如实披露项目当前的主要风险。评审最关注的往往不是“有没有风险”，而是“是否知道自己的风险在哪里”。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cantSplit w:val="true"/>
      </w:tblPr>
      <w:tblGrid>
        <w:gridCol w:w="2239"/>
        <w:gridCol w:w="2239"/>
        <w:gridCol w:w="2239"/>
        <w:gridCol w:w="2239"/>
      </w:tblGrid>
      <w:tr>
        <w:trPr>
          <w:tblHeader w:val="true"/>
          <w:cantSplit w:val="true"/>
        </w:trPr>
        <w:tc>
          <w:tcPr>
            <w:tcW w:type="dxa" w:w="1587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风险</w:t>
            </w:r>
          </w:p>
        </w:tc>
        <w:tc>
          <w:tcPr>
            <w:tcW w:type="dxa" w:w="3061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具体描述</w:t>
            </w:r>
          </w:p>
        </w:tc>
        <w:tc>
          <w:tcPr>
            <w:tcW w:type="dxa" w:w="737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等级</w:t>
            </w:r>
          </w:p>
        </w:tc>
        <w:tc>
          <w:tcPr>
            <w:tcW w:type="dxa" w:w="2891"/>
            <w:shd w:val="clear" w:color="auto" w:fill="E8DCC8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1A1A"/>
                <w:sz w:val="18"/>
              </w:rPr>
              <w:t>应对措施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分发体积风险</w:t>
            </w:r>
          </w:p>
        </w:tc>
        <w:tc>
          <w:tcPr>
            <w:tcW w:type="dxa" w:w="306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完整安装包约 1.06 GB，其中 KataGo/DLL/模型占约 1.16 GB；下载与安装门槛高，对首次体验极不友好</w:t>
            </w:r>
          </w:p>
        </w:tc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高</w:t>
            </w:r>
          </w:p>
        </w:tc>
        <w:tc>
          <w:tcPr>
            <w:tcW w:type="dxa" w:w="289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按硬件分档分发：无 GPU 精简包、NVIDIA 优化包、CPU 基础包；模型按需下载；提供分卷与断点续传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硬件门槛风险</w:t>
            </w:r>
          </w:p>
        </w:tc>
        <w:tc>
          <w:tcPr>
            <w:tcW w:type="dxa" w:w="306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TensorRT 资源目前仅覆盖 sm89，仅重点验证了 RTX 4060 Laptop；其他 GPU 与无独显设备未经验证</w:t>
            </w:r>
          </w:p>
        </w:tc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高</w:t>
            </w:r>
          </w:p>
        </w:tc>
        <w:tc>
          <w:tcPr>
            <w:tcW w:type="dxa" w:w="289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补充 CPU 后端与更广的 CUDA 架构支持；在官网明确设备要求与自检工具；建兼容性矩阵与用户反馈收集通道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许可合规风险</w:t>
            </w:r>
          </w:p>
        </w:tc>
        <w:tc>
          <w:tcPr>
            <w:tcW w:type="dxa" w:w="306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TensorRT/CUDA、Visual C++ 运行库的再分发依据、图片与模型的分发条件尚未全部确认，项目尚无根目录 LICENSE</w:t>
            </w:r>
          </w:p>
        </w:tc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高</w:t>
            </w:r>
          </w:p>
        </w:tc>
        <w:tc>
          <w:tcPr>
            <w:tcW w:type="dxa" w:w="289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发行前完成逐项许可审计并出具第三方声明；必要时改用可自由分发的其他推理后端（如 OpenCL 或纯 CPU 后端）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信任与安全问题</w:t>
            </w:r>
          </w:p>
        </w:tc>
        <w:tc>
          <w:tcPr>
            <w:tcW w:type="dxa" w:w="306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安装包未做数字签名，Windows 会提示“发布者未知”，冷启动阶段直接影响转化</w:t>
            </w:r>
          </w:p>
        </w:tc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中高</w:t>
            </w:r>
          </w:p>
        </w:tc>
        <w:tc>
          <w:tcPr>
            <w:tcW w:type="dxa" w:w="289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购置代码签名证书（EV 证书可缩短 SmartScreen 预警期）；提供 SHA-256 校验与开源代码供审计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收入被上游侵蚀风险</w:t>
            </w:r>
          </w:p>
        </w:tc>
        <w:tc>
          <w:tcPr>
            <w:tcW w:type="dxa" w:w="306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核心引擎为开源项目，同类工具或大厂可能提供更完善的免费方案</w:t>
            </w:r>
          </w:p>
        </w:tc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中</w:t>
            </w:r>
          </w:p>
        </w:tc>
        <w:tc>
          <w:tcPr>
            <w:tcW w:type="dxa" w:w="289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差异化落在教育场景与数据管理上，而非引擎能力；以机构渠道与本地数据形成迁移成本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主创单点风险</w:t>
            </w:r>
          </w:p>
        </w:tc>
        <w:tc>
          <w:tcPr>
            <w:tcW w:type="dxa" w:w="306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个人独立开发，缺少法律、商业、渠道角色，项目连续性依赖单人</w:t>
            </w:r>
          </w:p>
        </w:tc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高</w:t>
            </w:r>
          </w:p>
        </w:tc>
        <w:tc>
          <w:tcPr>
            <w:tcW w:type="dxa" w:w="289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尽快组建 3–5 人核心团队并明确分工与股权安排；关键模块补充文档，降低知识单点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技术准确性风险</w:t>
            </w:r>
          </w:p>
        </w:tc>
        <w:tc>
          <w:tcPr>
            <w:tcW w:type="dxa" w:w="306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KataGo 的 final_score 在未定型局面下为搜索估算，中国规则双活局面曾复现 1 目误差；GNU Go 不支持 AGA 规则</w:t>
            </w:r>
          </w:p>
        </w:tc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中</w:t>
            </w:r>
          </w:p>
        </w:tc>
        <w:tc>
          <w:tcPr>
            <w:tcW w:type="dxa" w:w="289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界面已标注为“计分建议”，不以 AI 结果替代人工裁定；在教学中明确该边界，避免误导学员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主体合规风险</w:t>
            </w:r>
          </w:p>
        </w:tc>
        <w:tc>
          <w:tcPr>
            <w:tcW w:type="dxa" w:w="306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尚未注册公司，无法承接机构采购合同与开票</w:t>
            </w:r>
          </w:p>
        </w:tc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中</w:t>
            </w:r>
          </w:p>
        </w:tc>
        <w:tc>
          <w:tcPr>
            <w:tcW w:type="dxa" w:w="289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商业化启动前完成公司注册，明确经营范围含软件开发与教育咨询服务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市场验证风险</w:t>
            </w:r>
          </w:p>
        </w:tc>
        <w:tc>
          <w:tcPr>
            <w:tcW w:type="dxa" w:w="306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目前无任何真实用户数据与收入，市场判断尚属假设</w:t>
            </w:r>
          </w:p>
        </w:tc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高</w:t>
            </w:r>
          </w:p>
        </w:tc>
        <w:tc>
          <w:tcPr>
            <w:tcW w:type="dxa" w:w="2891"/>
          </w:tcPr>
          <w:p>
            <w:pPr>
              <w:spacing w:after="2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以 10 家试点机构换取真实数据，用反馈修正产品与定价；立项书中所有市场数字在验证后替换为实测值</w:t>
            </w:r>
          </w:p>
        </w:tc>
      </w:tr>
    </w:tbl>
    <w:p>
      <w:r>
        <w:br w:type="page"/>
      </w:r>
    </w:p>
    <w:p>
      <w:pPr>
        <w:pStyle w:val="Heading1"/>
      </w:pPr>
      <w:r>
        <w:t>九、结论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时光围棋已经越过了绝大多数学生创业项目最危险的一关：它不是一个 PPT，而是一个真实可安装、可对弈、可复盘的完整产品。在围棋 AI 能力被开源社区免费提供的今天，单纯“做出一个 AI 围棋”已无稀缺性；本项目真正的价值在于把这项能力以最低门槛交付给最需要它、却最不具备技术能力的那群人——围棋培训机构的教师与少儿学员。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当前项目的短板同样清晰：缺乏商业验证、缺乏团队分工、分发体积与硬件门槛偏高、许可合规尚未闭环、开发者信任尚未建立。这些都不是产品逻辑问题，而是从“作品”走向“生意”必须补的功课，也正是需要外部资源投入的地方。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下一步的行动计划已明确：以 10 家棋院试点验证付费意愿，以代码签名与分档分发降低体验门槛，以许可审计与公司注册完成合规闭环。我们相信，一款不联网、不泄题、把数据留在学员自己电脑里的 AI 围棋教练，既能赚钱，也值得被认真做出来。</w:t>
      </w:r>
    </w:p>
    <w:p>
      <w:pPr>
        <w:spacing w:before="80" w:after="80"/>
        <w:pBdr>
          <w:bottom w:val="single" w:sz="6" w:space="1" w:color="C8B48F"/>
        </w:pBdr>
      </w:pPr>
    </w:p>
    <w:p>
      <w:pPr>
        <w:spacing w:before="40" w:after="160" w:line="312" w:lineRule="auto"/>
      </w:pPr>
      <w:r>
        <w:rPr>
          <w:rFonts w:ascii="Times New Roman" w:hAnsi="Times New Roman" w:eastAsia="宋体"/>
          <w:color w:val="606060"/>
          <w:sz w:val="18"/>
        </w:rPr>
        <w:t>附：本文档数据来源说明</w:t>
        <w:br/>
        <w:t>1. 产品功能、版本号、测试用例数与发行状态：来自项目 README、RELEASE_NOTES 与代码统计。</w:t>
        <w:br/>
        <w:t>2. 安装包体积与资源构成：由 src-tauri/resources 目录实测（KataGo 960.1 MB、katago-estimate 109.0 MB、katago-human 94.5 MB、GNU Go 9.8 MB），安装包 1.06 GB 来自 v1.0.0 发布说明。</w:t>
        <w:br/>
        <w:t>3. 代码规模：前端 src/ 下 .vue/.ts 共 15,995 行；Rust src-tauri/src 共 4,925 行；Tauri 命令接口 19 个（由源码统计）。</w:t>
        <w:br/>
        <w:t>4. 市场数据：本项目编写环境无法访问外网，所有市场口径均标注「待核实」，提交前须以官方或权威机构原文链接替换。</w:t>
        <w:br/>
        <w:t>5. 竞品信息：基于公开产品认知整理，需以官方页面核实并标注日期。</w:t>
      </w:r>
    </w:p>
    <w:sectPr w:rsidR="00FC693F" w:rsidRPr="0006063C" w:rsidSect="00034616">
      <w:footerReference w:type="default" r:id="rId9"/>
      <w:pgSz w:w="11906" w:h="16838"/>
      <w:pgMar w:top="1417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60606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12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8B5A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12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12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