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FB1A18" w14:textId="77777777" w:rsidR="00825D6E" w:rsidRDefault="00000000">
      <w:pPr>
        <w:pStyle w:val="Heading1"/>
        <w:keepNext w:val="0"/>
        <w:keepLines w:val="0"/>
        <w:rPr>
          <w:rFonts w:ascii="Times New Roman" w:eastAsia="Times New Roman" w:hAnsi="Times New Roman" w:cs="Times New Roman"/>
          <w:b/>
          <w:bCs/>
          <w:sz w:val="22"/>
          <w:szCs w:val="22"/>
        </w:rPr>
      </w:pPr>
      <w:bookmarkStart w:id="0" w:name="_ioezc1flwplj" w:colFirst="0" w:colLast="0"/>
      <w:bookmarkEnd w:id="0"/>
      <w:r>
        <w:rPr>
          <w:rFonts w:ascii="Times New Roman" w:eastAsia="Times New Roman" w:hAnsi="Times New Roman" w:cs="Times New Roman"/>
          <w:b/>
          <w:bCs/>
          <w:sz w:val="22"/>
          <w:szCs w:val="22"/>
        </w:rPr>
        <w:t>Introduction &amp; Problem Statement</w:t>
      </w:r>
    </w:p>
    <w:p w14:paraId="2324D8CC" w14:textId="77777777" w:rsidR="00825D6E" w:rsidRDefault="00000000">
      <w:pPr>
        <w:spacing w:before="120"/>
        <w:rPr>
          <w:rFonts w:ascii="Times New Roman" w:eastAsia="Times New Roman" w:hAnsi="Times New Roman" w:cs="Times New Roman"/>
        </w:rPr>
      </w:pPr>
      <w:r>
        <w:rPr>
          <w:rFonts w:ascii="Times New Roman" w:eastAsia="Times New Roman" w:hAnsi="Times New Roman" w:cs="Times New Roman"/>
        </w:rPr>
        <w:t>Canada was one of the first countries in the world to release a national AI strategy back in 2017. It is home to some of the most influential AI researchers in history, including Geoffrey Hinton and Yoshua Bengio, and its universities consistently produce top-tier machine learning talent. On the surface, Canada looks like an AI leader.</w:t>
      </w:r>
    </w:p>
    <w:p w14:paraId="579DC7ED" w14:textId="77777777" w:rsidR="00825D6E" w:rsidRDefault="00000000">
      <w:pPr>
        <w:spacing w:before="120"/>
        <w:rPr>
          <w:rFonts w:ascii="Times New Roman" w:eastAsia="Times New Roman" w:hAnsi="Times New Roman" w:cs="Times New Roman"/>
        </w:rPr>
      </w:pPr>
      <w:r>
        <w:rPr>
          <w:rFonts w:ascii="Times New Roman" w:eastAsia="Times New Roman" w:hAnsi="Times New Roman" w:cs="Times New Roman"/>
        </w:rPr>
        <w:t>But being early does not mean staying ahead. Over the past several years, the global AI race has intensified dramatically. The United States and China are pouring hundreds of billions of dollars into GPU clusters, data centers, and chip manufacturing. The European Union has passed comprehensive AI legislation. Smaller countries like Singapore and the UAE are climbing the rankings by investing aggressively in infrastructure and governance. Meanwhile, Canada's advantages in research and talent have not been matched by equivalent investments in the physical and regulatory foundations that modern AI systems require.</w:t>
      </w:r>
    </w:p>
    <w:p w14:paraId="5B0BA351" w14:textId="77777777" w:rsidR="00825D6E" w:rsidRDefault="00000000">
      <w:pPr>
        <w:spacing w:before="120"/>
        <w:rPr>
          <w:rFonts w:ascii="Times New Roman" w:eastAsia="Times New Roman" w:hAnsi="Times New Roman" w:cs="Times New Roman"/>
        </w:rPr>
      </w:pPr>
      <w:r>
        <w:rPr>
          <w:rFonts w:ascii="Times New Roman" w:eastAsia="Times New Roman" w:hAnsi="Times New Roman" w:cs="Times New Roman"/>
        </w:rPr>
        <w:t>This raises a straightforward question: where does Canada actually stand in AI competitiveness today, and what should the federal government prioritize to close the gaps that matter most?</w:t>
      </w:r>
    </w:p>
    <w:p w14:paraId="68853A8E" w14:textId="77777777" w:rsidR="00825D6E" w:rsidRDefault="00000000">
      <w:pPr>
        <w:spacing w:before="120"/>
        <w:rPr>
          <w:rFonts w:ascii="Times New Roman" w:eastAsia="Times New Roman" w:hAnsi="Times New Roman" w:cs="Times New Roman"/>
        </w:rPr>
      </w:pPr>
      <w:r>
        <w:rPr>
          <w:rFonts w:ascii="Times New Roman" w:eastAsia="Times New Roman" w:hAnsi="Times New Roman" w:cs="Times New Roman"/>
        </w:rPr>
        <w:t>To answer this, we take a mixed-methods approach. We use quantitative analysis — including clustering, regression, and gap analysis on the 2024 Tortoise/Stanford AI Index dataset covering 36 countries — to measure Canada's position, identify its closest peer countries, and pinpoint the specific areas where it leads and where it falls behind. We also complement those findings with a qualitative review of 17 policy documents, expert reports, and government strategies from around the world, and use those insights to develop three actionable policy recommendations targeting Canada's most critical weaknesses.</w:t>
      </w:r>
    </w:p>
    <w:p w14:paraId="5A245B83" w14:textId="77777777" w:rsidR="00825D6E" w:rsidRDefault="00000000">
      <w:pPr>
        <w:pStyle w:val="Heading1"/>
        <w:keepNext w:val="0"/>
        <w:keepLines w:val="0"/>
        <w:spacing w:before="480"/>
        <w:rPr>
          <w:rFonts w:ascii="Times New Roman" w:eastAsia="Times New Roman" w:hAnsi="Times New Roman" w:cs="Times New Roman"/>
          <w:b/>
          <w:bCs/>
          <w:sz w:val="22"/>
          <w:szCs w:val="22"/>
        </w:rPr>
      </w:pPr>
      <w:bookmarkStart w:id="1" w:name="_wovl0kuquzbe" w:colFirst="0" w:colLast="0"/>
      <w:bookmarkEnd w:id="1"/>
      <w:r>
        <w:rPr>
          <w:rFonts w:ascii="Times New Roman" w:eastAsia="Times New Roman" w:hAnsi="Times New Roman" w:cs="Times New Roman"/>
          <w:b/>
          <w:bCs/>
          <w:sz w:val="22"/>
          <w:szCs w:val="22"/>
        </w:rPr>
        <w:t>Part 1: Evaluating Canada’s Current AI Competitiveness</w:t>
      </w:r>
    </w:p>
    <w:p w14:paraId="3FD78915" w14:textId="77777777" w:rsidR="00825D6E" w:rsidRDefault="00000000">
      <w:pPr>
        <w:pStyle w:val="Heading2"/>
        <w:keepNext w:val="0"/>
        <w:keepLines w:val="0"/>
        <w:spacing w:after="80"/>
        <w:rPr>
          <w:rFonts w:ascii="Times New Roman" w:eastAsia="Times New Roman" w:hAnsi="Times New Roman" w:cs="Times New Roman"/>
          <w:b/>
          <w:bCs/>
          <w:sz w:val="22"/>
          <w:szCs w:val="22"/>
        </w:rPr>
      </w:pPr>
      <w:bookmarkStart w:id="2" w:name="_lgzri6al0zne" w:colFirst="0" w:colLast="0"/>
      <w:bookmarkEnd w:id="2"/>
      <w:r>
        <w:rPr>
          <w:rFonts w:ascii="Times New Roman" w:eastAsia="Times New Roman" w:hAnsi="Times New Roman" w:cs="Times New Roman"/>
          <w:b/>
          <w:bCs/>
          <w:sz w:val="22"/>
          <w:szCs w:val="22"/>
        </w:rPr>
        <w:t>1.1 Data Collection</w:t>
      </w:r>
    </w:p>
    <w:p w14:paraId="4AB2B1F6" w14:textId="77777777" w:rsidR="00825D6E"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The quantitative analysis in this study draws on the Global AI Vibrancy Tool dataset, developed by Stanford University’s Institute for Human-Centred AI (HAI</w:t>
      </w:r>
      <w:proofErr w:type="gramStart"/>
      <w:r>
        <w:rPr>
          <w:rFonts w:ascii="Times New Roman" w:eastAsia="Times New Roman" w:hAnsi="Times New Roman" w:cs="Times New Roman"/>
        </w:rPr>
        <w:t>)[</w:t>
      </w:r>
      <w:proofErr w:type="gramEnd"/>
      <w:r>
        <w:rPr>
          <w:rFonts w:ascii="Times New Roman" w:eastAsia="Times New Roman" w:hAnsi="Times New Roman" w:cs="Times New Roman"/>
        </w:rPr>
        <w:t>1]. The dataset spans 66 countries across eight annual snapshots (2017–2024) and contains 230 indicators organized into raw values, per-capita adjustments, and min-max normalized scores (scaled 0–100 within each year). We restrict our analysis to the 36 “core” countries with consistent longitudinal coverage and use the normalized indicators as our primary features.</w:t>
      </w:r>
    </w:p>
    <w:p w14:paraId="44620136" w14:textId="77777777" w:rsidR="00825D6E"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To complement the quantitative data, we collected qualitative evidence including national AI strategy documents (OECD, UK, US, Singapore, Germany, Malaysia, and the Stanford HAI AI Index Report 2025); online policy reports and publications focused on Canada’s AI compute gap; and social media transcripts covering Canadian enterprise AI adoption and infrastructure investment. These qualitative sources were processed through a two-stage LLM summarization pipeline using the OpenAI API.</w:t>
      </w:r>
    </w:p>
    <w:p w14:paraId="7ED53C18" w14:textId="77777777" w:rsidR="00825D6E" w:rsidRDefault="00000000">
      <w:pPr>
        <w:pStyle w:val="Heading2"/>
        <w:keepNext w:val="0"/>
        <w:keepLines w:val="0"/>
        <w:spacing w:after="80"/>
        <w:rPr>
          <w:rFonts w:ascii="Times New Roman" w:eastAsia="Times New Roman" w:hAnsi="Times New Roman" w:cs="Times New Roman"/>
          <w:b/>
          <w:bCs/>
          <w:sz w:val="22"/>
          <w:szCs w:val="22"/>
        </w:rPr>
      </w:pPr>
      <w:bookmarkStart w:id="3" w:name="_nt84zzx19ycl" w:colFirst="0" w:colLast="0"/>
      <w:bookmarkEnd w:id="3"/>
      <w:r>
        <w:rPr>
          <w:rFonts w:ascii="Times New Roman" w:eastAsia="Times New Roman" w:hAnsi="Times New Roman" w:cs="Times New Roman"/>
          <w:b/>
          <w:bCs/>
          <w:sz w:val="22"/>
          <w:szCs w:val="22"/>
        </w:rPr>
        <w:t>1.2 Feature Engineering and Selection</w:t>
      </w:r>
    </w:p>
    <w:p w14:paraId="556F6FDC" w14:textId="77777777" w:rsidR="00825D6E"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 xml:space="preserve">From the 230 available indicators, we curated a set of 26 features organized into five thematic pillars: Research &amp; Innovation, Investment &amp; Commercialization (private investment, newly funded companies), </w:t>
      </w:r>
      <w:r>
        <w:rPr>
          <w:rFonts w:ascii="Times New Roman" w:eastAsia="Times New Roman" w:hAnsi="Times New Roman" w:cs="Times New Roman"/>
        </w:rPr>
        <w:lastRenderedPageBreak/>
        <w:t>Talent (AI skills penetration, talent concentration), Policy &amp; Governance (AI-related bills passed, legislative AI mentions), and Infrastructure (supercomputers, compute capacity, internet speed). Each pillar includes both absolute and per-capita normalized variants to capture a country’s total scale as well as its per-person intensity. The feature correlation matrix (Appendix A, Figure A1) confirms that features cluster strongly within pillars while exhibiting low cross-pillar correlation, supporting the thematic grouping.</w:t>
      </w:r>
    </w:p>
    <w:p w14:paraId="2F23309A" w14:textId="77777777" w:rsidR="00825D6E" w:rsidRDefault="00000000">
      <w:pPr>
        <w:pStyle w:val="Heading2"/>
        <w:keepNext w:val="0"/>
        <w:keepLines w:val="0"/>
        <w:spacing w:after="80"/>
        <w:rPr>
          <w:rFonts w:ascii="Times New Roman" w:eastAsia="Times New Roman" w:hAnsi="Times New Roman" w:cs="Times New Roman"/>
          <w:b/>
          <w:bCs/>
          <w:sz w:val="22"/>
          <w:szCs w:val="22"/>
        </w:rPr>
      </w:pPr>
      <w:bookmarkStart w:id="4" w:name="_mbru20vgihs8" w:colFirst="0" w:colLast="0"/>
      <w:bookmarkEnd w:id="4"/>
      <w:r>
        <w:rPr>
          <w:rFonts w:ascii="Times New Roman" w:eastAsia="Times New Roman" w:hAnsi="Times New Roman" w:cs="Times New Roman"/>
          <w:b/>
          <w:bCs/>
          <w:sz w:val="22"/>
          <w:szCs w:val="22"/>
        </w:rPr>
        <w:t>1.3 Analytical Approach</w:t>
      </w:r>
    </w:p>
    <w:p w14:paraId="740C4A13" w14:textId="77777777" w:rsidR="00825D6E"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Our analysis proceeds in three stages. First, all 26 features are standardized and reduced via Principal Component Analysis (PCA) to 9 components, retaining 92.5% of total variance. This shared PCA representation is used consistently across all subsequent methods. Second, we apply K-Nearest Neighbors (KNN) and hierarchical clustering to identify Canada’s closest peer countries and to segment the 36 nations into AI development tiers. Importantly, KNN is used here as an unsupervised nearest-neighbor search rather than a classification algorithm—we query the 5 countries closest to Canada in PCA space to establish a peer group for benchmarking. Third, we perform Lasso regression and gap analysis to quantify which dimensions drive overall AI competitiveness and where Canada’s specific strengths and weaknesses lie.</w:t>
      </w:r>
    </w:p>
    <w:p w14:paraId="1682BBB5" w14:textId="77777777" w:rsidR="00825D6E" w:rsidRDefault="00000000">
      <w:pPr>
        <w:pStyle w:val="Heading2"/>
        <w:keepNext w:val="0"/>
        <w:keepLines w:val="0"/>
        <w:spacing w:after="80"/>
        <w:rPr>
          <w:rFonts w:ascii="Times New Roman" w:eastAsia="Times New Roman" w:hAnsi="Times New Roman" w:cs="Times New Roman"/>
          <w:b/>
          <w:bCs/>
          <w:sz w:val="22"/>
          <w:szCs w:val="22"/>
        </w:rPr>
      </w:pPr>
      <w:bookmarkStart w:id="5" w:name="_gegbs0f75g5o" w:colFirst="0" w:colLast="0"/>
      <w:bookmarkEnd w:id="5"/>
      <w:r>
        <w:rPr>
          <w:rFonts w:ascii="Times New Roman" w:eastAsia="Times New Roman" w:hAnsi="Times New Roman" w:cs="Times New Roman"/>
          <w:b/>
          <w:bCs/>
          <w:sz w:val="22"/>
          <w:szCs w:val="22"/>
        </w:rPr>
        <w:t>1.4 Peer Identification and Clustering</w:t>
      </w:r>
    </w:p>
    <w:p w14:paraId="3067CB86" w14:textId="77777777" w:rsidR="00825D6E"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KNN identifies Canada’s five nearest peers as the Netherlands (distance = 1.44), Germany (1.56), Malaysia (1.77), the United Arab Emirates (1.83), and France (1.97), measured by Euclidean distance in PCA space (Appendix A, Figure A2). This peer group spans three regions, reflecting that AI competitiveness cross-cuts geography.</w:t>
      </w:r>
    </w:p>
    <w:p w14:paraId="18F79312" w14:textId="77777777" w:rsidR="00825D6E"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To validate this peer grouping, we apply both K-Means and Agglomerative (Ward linkage) clustering, evaluating cluster counts from k = 2 to 10 using silhouette scores (Appendix A, Figure A3). Both methods converge on k = 3 as optimal (silhouette = 0.619), producing three tiers: the United States and China as a dominant pair, Luxembourg as a per-capita outlier, and the remaining 33 countries—including Canada and all five of its KNN peers—in a broad middle tier. While the k = 3 result correctly identifies US–China dominance, it offers limited differentiation within the middle tier.</w:t>
      </w:r>
    </w:p>
    <w:p w14:paraId="6CD1E6A3" w14:textId="77777777" w:rsidR="00825D6E"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The hierarchical dendrogram (Figure 1) provides richer insight. Canada clusters most closely with Malaysia, Poland, Germany, the Netherlands, and the United Arab Emirates—closely mirroring the KNN peer set. This convergence between two independent methods strengthens confidence in the identified peer group.</w:t>
      </w:r>
    </w:p>
    <w:p w14:paraId="4B89F7E5" w14:textId="77777777" w:rsidR="00825D6E" w:rsidRDefault="00000000">
      <w:pPr>
        <w:spacing w:before="240" w:after="240"/>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145A8C56" wp14:editId="70C679AF">
            <wp:extent cx="5943600" cy="2336800"/>
            <wp:effectExtent l="0" t="0" r="0" b="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
                    <a:srcRect/>
                    <a:stretch>
                      <a:fillRect/>
                    </a:stretch>
                  </pic:blipFill>
                  <pic:spPr>
                    <a:xfrm>
                      <a:off x="0" y="0"/>
                      <a:ext cx="5943600" cy="2336800"/>
                    </a:xfrm>
                    <a:prstGeom prst="rect">
                      <a:avLst/>
                    </a:prstGeom>
                    <a:ln/>
                  </pic:spPr>
                </pic:pic>
              </a:graphicData>
            </a:graphic>
          </wp:inline>
        </w:drawing>
      </w:r>
    </w:p>
    <w:p w14:paraId="06F7EFA0" w14:textId="77777777" w:rsidR="00825D6E"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Figure 1: Hierarchical clustering dendrogram (Ward linkage) of 36 countries on 2024 AI competitiveness features. The red box highlights the sub-cluster containing Canada and its nearest peers. See Appendix A Figure A4 for a larger illustration.</w:t>
      </w:r>
    </w:p>
    <w:p w14:paraId="70B08206" w14:textId="77777777" w:rsidR="00825D6E" w:rsidRDefault="00000000">
      <w:pPr>
        <w:pStyle w:val="Heading2"/>
        <w:keepNext w:val="0"/>
        <w:keepLines w:val="0"/>
        <w:spacing w:after="80"/>
        <w:rPr>
          <w:rFonts w:ascii="Times New Roman" w:eastAsia="Times New Roman" w:hAnsi="Times New Roman" w:cs="Times New Roman"/>
          <w:b/>
          <w:bCs/>
          <w:sz w:val="22"/>
          <w:szCs w:val="22"/>
        </w:rPr>
      </w:pPr>
      <w:bookmarkStart w:id="6" w:name="_qjjtsust6hn5" w:colFirst="0" w:colLast="0"/>
      <w:bookmarkEnd w:id="6"/>
      <w:r>
        <w:rPr>
          <w:rFonts w:ascii="Times New Roman" w:eastAsia="Times New Roman" w:hAnsi="Times New Roman" w:cs="Times New Roman"/>
          <w:b/>
          <w:bCs/>
          <w:sz w:val="22"/>
          <w:szCs w:val="22"/>
        </w:rPr>
        <w:t>1.5 Regression and Feature Importance</w:t>
      </w:r>
    </w:p>
    <w:p w14:paraId="3E790329" w14:textId="77777777" w:rsidR="00825D6E"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To identify which per-capita factors most strongly predict overall AI competitiveness, we construct a composite score (mean of absolute normalized features) and fit a Lasso regression using PCA components as predictors. Under leave-one-out cross-validation, the Lasso model achieves R² = 0.878 (MAE = 1.92), substantially outperforming Random Forest (R² = 0.598) and Gradient Boosting (R² = 0.728). Lasso’s built-in feature selection retains 7 of 13 per-capita features, with private investment per capita, patent grants per capita, and research submissions per capita emerging as the strongest positive predictors. While informative for understanding what drives AI competitiveness broadly, regression results did not directly inform our country-specific gap analysis and are included primarily for methodological completeness.</w:t>
      </w:r>
    </w:p>
    <w:p w14:paraId="437B13C9" w14:textId="77777777" w:rsidR="00825D6E" w:rsidRDefault="00000000">
      <w:pPr>
        <w:pStyle w:val="Heading2"/>
        <w:keepNext w:val="0"/>
        <w:keepLines w:val="0"/>
        <w:spacing w:after="80"/>
        <w:rPr>
          <w:rFonts w:ascii="Times New Roman" w:eastAsia="Times New Roman" w:hAnsi="Times New Roman" w:cs="Times New Roman"/>
          <w:b/>
          <w:bCs/>
          <w:sz w:val="22"/>
          <w:szCs w:val="22"/>
        </w:rPr>
      </w:pPr>
      <w:bookmarkStart w:id="7" w:name="_cczs7fwq2d81" w:colFirst="0" w:colLast="0"/>
      <w:bookmarkEnd w:id="7"/>
      <w:r>
        <w:rPr>
          <w:rFonts w:ascii="Times New Roman" w:eastAsia="Times New Roman" w:hAnsi="Times New Roman" w:cs="Times New Roman"/>
          <w:b/>
          <w:bCs/>
          <w:sz w:val="22"/>
          <w:szCs w:val="22"/>
        </w:rPr>
        <w:t>1.6 Gap Analysis—Canada’s Strengths and Weaknesses</w:t>
      </w:r>
    </w:p>
    <w:p w14:paraId="63B2E254" w14:textId="77777777" w:rsidR="00825D6E" w:rsidRDefault="00000000">
      <w:pPr>
        <w:spacing w:before="240" w:after="240"/>
        <w:rPr>
          <w:rFonts w:ascii="Times New Roman" w:eastAsia="Times New Roman" w:hAnsi="Times New Roman" w:cs="Times New Roman"/>
        </w:rPr>
      </w:pPr>
      <w:r>
        <w:rPr>
          <w:rFonts w:ascii="Gungsuh" w:eastAsia="Gungsuh" w:hAnsi="Gungsuh" w:cs="Gungsuh"/>
        </w:rPr>
        <w:t>The central finding of our quantitative analysis emerges from comparing Canada against the mean of its five KNN peers on each thematic pillar (Figure 2). Canada lags its peers in two dimensions: Infrastructure (gap = −5.2 normalized points), driven by compute capacity (ranked 27th/36), per-capita compute (29th), and internet speed (15th); and Policy &amp; Governance (gap = −1.8), driven primarily by the fact that Canada has passed zero AI-related bills on a three-year moving average (ranked 26th). Conversely, Canada leads in Talent (+4.7), with the highest relative AI skills penetration among its peers, Research &amp; Innovation (+2.9), supported by strong per-capita publication and citation rates, and Investment &amp; Commercialization (+2.0).</w:t>
      </w:r>
    </w:p>
    <w:p w14:paraId="60A1A853" w14:textId="77777777" w:rsidR="00825D6E" w:rsidRDefault="00000000">
      <w:pPr>
        <w:spacing w:before="240" w:after="240"/>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0937227E" wp14:editId="2332EF40">
            <wp:extent cx="5930900" cy="1955800"/>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
                    <a:srcRect/>
                    <a:stretch>
                      <a:fillRect/>
                    </a:stretch>
                  </pic:blipFill>
                  <pic:spPr>
                    <a:xfrm>
                      <a:off x="0" y="0"/>
                      <a:ext cx="5930900" cy="1955800"/>
                    </a:xfrm>
                    <a:prstGeom prst="rect">
                      <a:avLst/>
                    </a:prstGeom>
                    <a:ln/>
                  </pic:spPr>
                </pic:pic>
              </a:graphicData>
            </a:graphic>
          </wp:inline>
        </w:drawing>
      </w:r>
    </w:p>
    <w:p w14:paraId="34C36300" w14:textId="77777777" w:rsidR="00825D6E"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Figure 2: Canada vs. peer average across five AI competitiveness themes (2024). Left: gap scores (negative indicates Canada lags). Right: absolute theme scores.</w:t>
      </w:r>
    </w:p>
    <w:p w14:paraId="46B9D197" w14:textId="77777777" w:rsidR="00825D6E"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We also compare individual features of Canada, peer countries, and three outlier countries across the years. The line charts (Appendix A, Figure A5) confirm the conclusion that Canada is leading in talent and research, while lagging in infrastructure and computing capacity.</w:t>
      </w:r>
    </w:p>
    <w:p w14:paraId="61AA587B" w14:textId="77777777" w:rsidR="00825D6E" w:rsidRDefault="00000000">
      <w:pPr>
        <w:pStyle w:val="Heading2"/>
        <w:keepNext w:val="0"/>
        <w:keepLines w:val="0"/>
        <w:spacing w:after="80"/>
        <w:rPr>
          <w:rFonts w:ascii="Times New Roman" w:eastAsia="Times New Roman" w:hAnsi="Times New Roman" w:cs="Times New Roman"/>
          <w:b/>
          <w:bCs/>
          <w:sz w:val="22"/>
          <w:szCs w:val="22"/>
        </w:rPr>
      </w:pPr>
      <w:bookmarkStart w:id="8" w:name="_dxt6gx699c68" w:colFirst="0" w:colLast="0"/>
      <w:bookmarkEnd w:id="8"/>
      <w:r>
        <w:rPr>
          <w:rFonts w:ascii="Times New Roman" w:eastAsia="Times New Roman" w:hAnsi="Times New Roman" w:cs="Times New Roman"/>
          <w:b/>
          <w:bCs/>
          <w:sz w:val="22"/>
          <w:szCs w:val="22"/>
        </w:rPr>
        <w:t>1.7 Qualitative Synthesis</w:t>
      </w:r>
    </w:p>
    <w:p w14:paraId="5F116396" w14:textId="77777777" w:rsidR="00825D6E"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Cross-source analysis of the qualitative sources corroborates and contextualizes the quantitative findings. Multiple sources—including the OECD National AI Strategy Overview, the C.D. Howe Institute report on data supply chains [2], and the Dais policy brief “Can Canada Compute?” [3]—identify Canada’s lack of sovereign AI compute capacity as a critical gap. The UK AI Opportunities Action Plan and Singapore’s National AI Strategy 2.0 provide peer benchmarks: the UK is establishing AI Growth Zones for accelerated data center permitting, while Singapore’s government co-invests directly in AI compute infrastructure. On the policy dimension, sources note that while Canada was an early mover with its 2017 Pan-Canadian AI Strategy, it has not followed through with binding AI legislation, unlike the EU (AI Act) and peer countries that have passed targeted governance frameworks. Qualitative sources also confirm Canada’s talent strength but raise concerns about brain drain to better-resourced US ecosystems—a risk that further underscores the infrastructure gap.</w:t>
      </w:r>
    </w:p>
    <w:p w14:paraId="392669D4" w14:textId="77777777" w:rsidR="00825D6E" w:rsidRDefault="00000000">
      <w:pPr>
        <w:pStyle w:val="Heading2"/>
        <w:keepNext w:val="0"/>
        <w:keepLines w:val="0"/>
        <w:spacing w:after="80"/>
        <w:rPr>
          <w:rFonts w:ascii="Times New Roman" w:eastAsia="Times New Roman" w:hAnsi="Times New Roman" w:cs="Times New Roman"/>
          <w:b/>
          <w:bCs/>
          <w:sz w:val="22"/>
          <w:szCs w:val="22"/>
        </w:rPr>
      </w:pPr>
      <w:bookmarkStart w:id="9" w:name="_vlwz74mfix9v" w:colFirst="0" w:colLast="0"/>
      <w:bookmarkEnd w:id="9"/>
      <w:r>
        <w:rPr>
          <w:rFonts w:ascii="Times New Roman" w:eastAsia="Times New Roman" w:hAnsi="Times New Roman" w:cs="Times New Roman"/>
          <w:b/>
          <w:bCs/>
          <w:sz w:val="22"/>
          <w:szCs w:val="22"/>
        </w:rPr>
        <w:t>1.8 Summary and Intro to Recommendations</w:t>
      </w:r>
    </w:p>
    <w:p w14:paraId="11B6B8EB" w14:textId="77777777" w:rsidR="00825D6E"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Our analysis reveals a structural imbalance in Canada’s AI ecosystem: strong talent and research output coexist with weak infrastructure and policy frameworks. This creates a risk that Canadian AI innovations are developed domestically but commercialized and scaled abroad due to insufficient compute resources and regulatory clarity. Based on these findings—supported by both quantitative gap analysis and qualitative cross-source synthesis—we propose three policy recommendations targeting Canada’s AI supply chain, infrastructure capacity, and commercialization gap.</w:t>
      </w:r>
    </w:p>
    <w:p w14:paraId="29E0CD1D" w14:textId="77777777" w:rsidR="00825D6E" w:rsidRDefault="00000000">
      <w:pPr>
        <w:pStyle w:val="Heading1"/>
        <w:spacing w:before="240" w:after="240"/>
        <w:rPr>
          <w:rFonts w:ascii="Times New Roman" w:eastAsia="Times New Roman" w:hAnsi="Times New Roman" w:cs="Times New Roman"/>
        </w:rPr>
      </w:pPr>
      <w:bookmarkStart w:id="10" w:name="_ku69txcrn1ks" w:colFirst="0" w:colLast="0"/>
      <w:bookmarkEnd w:id="10"/>
      <w:r>
        <w:rPr>
          <w:rFonts w:ascii="Times New Roman" w:eastAsia="Times New Roman" w:hAnsi="Times New Roman" w:cs="Times New Roman"/>
          <w:b/>
          <w:bCs/>
          <w:sz w:val="22"/>
          <w:szCs w:val="22"/>
        </w:rPr>
        <w:lastRenderedPageBreak/>
        <w:t>Part 2: Proposal for Canada’s AI Strategy (and Steps)</w:t>
      </w:r>
    </w:p>
    <w:p w14:paraId="30299ECA" w14:textId="77777777" w:rsidR="00825D6E" w:rsidRDefault="00000000">
      <w:pPr>
        <w:rPr>
          <w:rFonts w:ascii="Times New Roman" w:eastAsia="Times New Roman" w:hAnsi="Times New Roman" w:cs="Times New Roman"/>
        </w:rPr>
      </w:pPr>
      <w:r>
        <w:rPr>
          <w:rFonts w:ascii="Times New Roman" w:eastAsia="Times New Roman" w:hAnsi="Times New Roman" w:cs="Times New Roman"/>
        </w:rPr>
        <w:t xml:space="preserve">Canada’s AI competitiveness gap can be understood across three interconnected layers: upstream inputs, core infrastructure, and downstream outcomes. </w:t>
      </w:r>
    </w:p>
    <w:p w14:paraId="47BD6946" w14:textId="77777777" w:rsidR="00825D6E" w:rsidRDefault="00825D6E">
      <w:pPr>
        <w:rPr>
          <w:rFonts w:ascii="Times New Roman" w:eastAsia="Times New Roman" w:hAnsi="Times New Roman" w:cs="Times New Roman"/>
        </w:rPr>
      </w:pPr>
    </w:p>
    <w:p w14:paraId="487C7D9E" w14:textId="77777777" w:rsidR="00825D6E" w:rsidRDefault="00000000">
      <w:pPr>
        <w:rPr>
          <w:rFonts w:ascii="Times New Roman" w:eastAsia="Times New Roman" w:hAnsi="Times New Roman" w:cs="Times New Roman"/>
        </w:rPr>
      </w:pPr>
      <w:r>
        <w:rPr>
          <w:rFonts w:ascii="Times New Roman" w:eastAsia="Times New Roman" w:hAnsi="Times New Roman" w:cs="Times New Roman"/>
        </w:rPr>
        <w:t xml:space="preserve">At the upstream level, access to critical minerals determines the ability to produce advanced semiconductor hardware. At the infrastructure level, sufficient and well-located compute capacity is required to support AI development and deployment. Finally, at the downstream level, the key challenge is translating research and technological capabilities into domestic commercialization and economic value. </w:t>
      </w:r>
    </w:p>
    <w:p w14:paraId="6AEBF268" w14:textId="77777777" w:rsidR="00825D6E" w:rsidRDefault="00825D6E">
      <w:pPr>
        <w:rPr>
          <w:rFonts w:ascii="Times New Roman" w:eastAsia="Times New Roman" w:hAnsi="Times New Roman" w:cs="Times New Roman"/>
        </w:rPr>
      </w:pPr>
    </w:p>
    <w:p w14:paraId="78BF8214" w14:textId="77777777" w:rsidR="00825D6E" w:rsidRDefault="00000000">
      <w:pPr>
        <w:rPr>
          <w:rFonts w:ascii="Times New Roman" w:eastAsia="Times New Roman" w:hAnsi="Times New Roman" w:cs="Times New Roman"/>
        </w:rPr>
      </w:pPr>
      <w:r>
        <w:rPr>
          <w:rFonts w:ascii="Times New Roman" w:eastAsia="Times New Roman" w:hAnsi="Times New Roman" w:cs="Times New Roman"/>
        </w:rPr>
        <w:t>Accordingly, our recommendations are structured across these three layers: strengthening Canada’s mineral supply chain, improving the allocation of AI compute infrastructure, and supporting the commercialization of Canadian AI firms.</w:t>
      </w:r>
    </w:p>
    <w:p w14:paraId="65EE34AC" w14:textId="77777777" w:rsidR="00825D6E" w:rsidRDefault="00825D6E">
      <w:pPr>
        <w:rPr>
          <w:rFonts w:ascii="Times New Roman" w:eastAsia="Times New Roman" w:hAnsi="Times New Roman" w:cs="Times New Roman"/>
        </w:rPr>
      </w:pPr>
    </w:p>
    <w:p w14:paraId="7E678A9D" w14:textId="77777777" w:rsidR="00825D6E" w:rsidRDefault="00000000">
      <w:pPr>
        <w:pStyle w:val="Heading2"/>
        <w:keepNext w:val="0"/>
        <w:keepLines w:val="0"/>
        <w:spacing w:after="80"/>
        <w:rPr>
          <w:rFonts w:ascii="Times New Roman" w:eastAsia="Times New Roman" w:hAnsi="Times New Roman" w:cs="Times New Roman"/>
          <w:b/>
          <w:bCs/>
          <w:sz w:val="22"/>
          <w:szCs w:val="22"/>
        </w:rPr>
      </w:pPr>
      <w:bookmarkStart w:id="11" w:name="_b9pja6e87vgq" w:colFirst="0" w:colLast="0"/>
      <w:bookmarkEnd w:id="11"/>
      <w:r>
        <w:rPr>
          <w:rFonts w:ascii="Times New Roman" w:eastAsia="Times New Roman" w:hAnsi="Times New Roman" w:cs="Times New Roman"/>
          <w:b/>
          <w:bCs/>
          <w:sz w:val="22"/>
          <w:szCs w:val="22"/>
        </w:rPr>
        <w:t>2.1 Canada's AI Hardware Mineral Strategy</w:t>
      </w:r>
    </w:p>
    <w:p w14:paraId="653DAAF5" w14:textId="77777777" w:rsidR="00825D6E" w:rsidRDefault="00000000">
      <w:pPr>
        <w:rPr>
          <w:rFonts w:ascii="Times New Roman" w:eastAsia="Times New Roman" w:hAnsi="Times New Roman" w:cs="Times New Roman"/>
        </w:rPr>
      </w:pPr>
      <w:r>
        <w:rPr>
          <w:rFonts w:ascii="Times New Roman" w:eastAsia="Times New Roman" w:hAnsi="Times New Roman" w:cs="Times New Roman"/>
          <w:b/>
          <w:bCs/>
        </w:rPr>
        <w:t>Why Minerals are Important in the AI Race</w:t>
      </w:r>
      <w:r>
        <w:rPr>
          <w:rFonts w:ascii="Times New Roman" w:eastAsia="Times New Roman" w:hAnsi="Times New Roman" w:cs="Times New Roman"/>
        </w:rPr>
        <w:t>. The global race for supremacy in artificial intelligence has entered a new and profoundly physical phase. While the first decade of the artificial intelligence revolution was characterized by breakthroughs in algorithmic efficiency and the curation of massive datasets, the current era is defined by the hardware substrate upon which these models are trained and deployed. The strategic center of gravity has shifted from software to the silicon, and more specifically, to the complex array of critical minerals required to manufacture advanced semiconductors and sustain hyperscale data centers.</w:t>
      </w:r>
    </w:p>
    <w:p w14:paraId="09D47803" w14:textId="77777777" w:rsidR="00825D6E" w:rsidRDefault="00825D6E">
      <w:pPr>
        <w:rPr>
          <w:rFonts w:ascii="Times New Roman" w:eastAsia="Times New Roman" w:hAnsi="Times New Roman" w:cs="Times New Roman"/>
        </w:rPr>
      </w:pP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75"/>
        <w:gridCol w:w="2745"/>
        <w:gridCol w:w="5040"/>
      </w:tblGrid>
      <w:tr w:rsidR="00825D6E" w14:paraId="50B4E891" w14:textId="77777777">
        <w:tc>
          <w:tcPr>
            <w:tcW w:w="1575" w:type="dxa"/>
          </w:tcPr>
          <w:p w14:paraId="370CB9FF" w14:textId="77777777" w:rsidR="00825D6E" w:rsidRDefault="00000000">
            <w:pPr>
              <w:widowControl w:val="0"/>
              <w:spacing w:line="240" w:lineRule="auto"/>
              <w:jc w:val="center"/>
              <w:rPr>
                <w:rFonts w:ascii="Times New Roman" w:eastAsia="Times New Roman" w:hAnsi="Times New Roman" w:cs="Times New Roman"/>
                <w:b/>
                <w:bCs/>
              </w:rPr>
            </w:pPr>
            <w:r>
              <w:rPr>
                <w:rFonts w:ascii="Times New Roman" w:eastAsia="Times New Roman" w:hAnsi="Times New Roman" w:cs="Times New Roman"/>
                <w:b/>
                <w:bCs/>
              </w:rPr>
              <w:t>Mineral</w:t>
            </w:r>
          </w:p>
        </w:tc>
        <w:tc>
          <w:tcPr>
            <w:tcW w:w="2745" w:type="dxa"/>
          </w:tcPr>
          <w:p w14:paraId="7E483A3C" w14:textId="77777777" w:rsidR="00825D6E" w:rsidRDefault="00000000">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Primary Technical Function</w:t>
            </w:r>
          </w:p>
        </w:tc>
        <w:tc>
          <w:tcPr>
            <w:tcW w:w="5040" w:type="dxa"/>
          </w:tcPr>
          <w:p w14:paraId="33EEFE64" w14:textId="77777777" w:rsidR="00825D6E" w:rsidRDefault="00000000">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Impact on AI Performance</w:t>
            </w:r>
          </w:p>
          <w:p w14:paraId="72A22010" w14:textId="77777777" w:rsidR="00825D6E" w:rsidRDefault="00825D6E">
            <w:pPr>
              <w:widowControl w:val="0"/>
              <w:spacing w:line="240" w:lineRule="auto"/>
              <w:jc w:val="center"/>
              <w:rPr>
                <w:rFonts w:ascii="Times New Roman" w:eastAsia="Times New Roman" w:hAnsi="Times New Roman" w:cs="Times New Roman"/>
              </w:rPr>
            </w:pPr>
          </w:p>
        </w:tc>
      </w:tr>
      <w:tr w:rsidR="00825D6E" w14:paraId="55B7D45A" w14:textId="77777777">
        <w:tc>
          <w:tcPr>
            <w:tcW w:w="1575" w:type="dxa"/>
          </w:tcPr>
          <w:p w14:paraId="474AEC1A" w14:textId="77777777" w:rsidR="00825D6E" w:rsidRDefault="00000000">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Silicon</w:t>
            </w:r>
          </w:p>
        </w:tc>
        <w:tc>
          <w:tcPr>
            <w:tcW w:w="2745" w:type="dxa"/>
          </w:tcPr>
          <w:p w14:paraId="20506ABA" w14:textId="77777777" w:rsidR="00825D6E" w:rsidRDefault="00000000">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Fundamental substrate for integrated circuits</w:t>
            </w:r>
          </w:p>
        </w:tc>
        <w:tc>
          <w:tcPr>
            <w:tcW w:w="5040" w:type="dxa"/>
          </w:tcPr>
          <w:p w14:paraId="481B2DC6" w14:textId="77777777" w:rsidR="00825D6E" w:rsidRDefault="00000000">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Bedrock for all microchip manufacturing and scaling</w:t>
            </w:r>
          </w:p>
        </w:tc>
      </w:tr>
      <w:tr w:rsidR="00825D6E" w14:paraId="2FDD803E" w14:textId="77777777">
        <w:tc>
          <w:tcPr>
            <w:tcW w:w="1575" w:type="dxa"/>
          </w:tcPr>
          <w:p w14:paraId="085A6F38" w14:textId="77777777" w:rsidR="00825D6E" w:rsidRDefault="00000000">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Boron</w:t>
            </w:r>
          </w:p>
        </w:tc>
        <w:tc>
          <w:tcPr>
            <w:tcW w:w="2745" w:type="dxa"/>
          </w:tcPr>
          <w:p w14:paraId="106967C0" w14:textId="77777777" w:rsidR="00825D6E" w:rsidRDefault="00000000">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P-type dopant for silicon lattice</w:t>
            </w:r>
          </w:p>
        </w:tc>
        <w:tc>
          <w:tcPr>
            <w:tcW w:w="5040" w:type="dxa"/>
          </w:tcPr>
          <w:p w14:paraId="36BDF144" w14:textId="77777777" w:rsidR="00825D6E" w:rsidRDefault="00000000">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Enables control of current flow in logic and memory circuits</w:t>
            </w:r>
          </w:p>
        </w:tc>
      </w:tr>
      <w:tr w:rsidR="00825D6E" w14:paraId="0DB0506D" w14:textId="77777777">
        <w:tc>
          <w:tcPr>
            <w:tcW w:w="1575" w:type="dxa"/>
          </w:tcPr>
          <w:p w14:paraId="5F8D8963" w14:textId="77777777" w:rsidR="00825D6E" w:rsidRDefault="00000000">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Phosphorus</w:t>
            </w:r>
          </w:p>
        </w:tc>
        <w:tc>
          <w:tcPr>
            <w:tcW w:w="2745" w:type="dxa"/>
          </w:tcPr>
          <w:p w14:paraId="53DC8403" w14:textId="77777777" w:rsidR="00825D6E" w:rsidRDefault="00000000">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N-type dopant for silicon lattice</w:t>
            </w:r>
          </w:p>
        </w:tc>
        <w:tc>
          <w:tcPr>
            <w:tcW w:w="5040" w:type="dxa"/>
          </w:tcPr>
          <w:p w14:paraId="4DC15A41" w14:textId="77777777" w:rsidR="00825D6E" w:rsidRDefault="00000000">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Essential for creating alternating junctions in transistors</w:t>
            </w:r>
          </w:p>
        </w:tc>
      </w:tr>
      <w:tr w:rsidR="00825D6E" w14:paraId="6BBC2FB7" w14:textId="77777777">
        <w:tc>
          <w:tcPr>
            <w:tcW w:w="1575" w:type="dxa"/>
          </w:tcPr>
          <w:p w14:paraId="400A0CC9" w14:textId="77777777" w:rsidR="00825D6E" w:rsidRDefault="00000000">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Gallium</w:t>
            </w:r>
          </w:p>
        </w:tc>
        <w:tc>
          <w:tcPr>
            <w:tcW w:w="2745" w:type="dxa"/>
          </w:tcPr>
          <w:p w14:paraId="5C9954C8" w14:textId="77777777" w:rsidR="00825D6E" w:rsidRDefault="00000000">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Compound semiconductors (</w:t>
            </w:r>
            <w:proofErr w:type="spellStart"/>
            <w:r>
              <w:rPr>
                <w:rFonts w:ascii="Times New Roman" w:eastAsia="Times New Roman" w:hAnsi="Times New Roman" w:cs="Times New Roman"/>
              </w:rPr>
              <w:t>GaN</w:t>
            </w:r>
            <w:proofErr w:type="spellEnd"/>
            <w:r>
              <w:rPr>
                <w:rFonts w:ascii="Times New Roman" w:eastAsia="Times New Roman" w:hAnsi="Times New Roman" w:cs="Times New Roman"/>
              </w:rPr>
              <w:t>, GaAs)</w:t>
            </w:r>
          </w:p>
        </w:tc>
        <w:tc>
          <w:tcPr>
            <w:tcW w:w="5040" w:type="dxa"/>
          </w:tcPr>
          <w:p w14:paraId="01566DBA" w14:textId="77777777" w:rsidR="00825D6E" w:rsidRDefault="00000000">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Increases efficiency and heat resistance in high-power chips</w:t>
            </w:r>
          </w:p>
        </w:tc>
      </w:tr>
      <w:tr w:rsidR="00825D6E" w14:paraId="7B986EA0" w14:textId="77777777">
        <w:tc>
          <w:tcPr>
            <w:tcW w:w="1575" w:type="dxa"/>
          </w:tcPr>
          <w:p w14:paraId="2D7F73B2" w14:textId="77777777" w:rsidR="00825D6E" w:rsidRDefault="00000000">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Germanium</w:t>
            </w:r>
          </w:p>
        </w:tc>
        <w:tc>
          <w:tcPr>
            <w:tcW w:w="2745" w:type="dxa"/>
          </w:tcPr>
          <w:p w14:paraId="0D864E8E" w14:textId="77777777" w:rsidR="00825D6E" w:rsidRDefault="00000000">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High-speed transistors and fiber optics</w:t>
            </w:r>
          </w:p>
        </w:tc>
        <w:tc>
          <w:tcPr>
            <w:tcW w:w="5040" w:type="dxa"/>
          </w:tcPr>
          <w:p w14:paraId="74805DB9" w14:textId="77777777" w:rsidR="00825D6E" w:rsidRDefault="00000000">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Enhances electron mobility and reduces signal loss in networking</w:t>
            </w:r>
          </w:p>
        </w:tc>
      </w:tr>
      <w:tr w:rsidR="00825D6E" w14:paraId="59A3A619" w14:textId="77777777">
        <w:tc>
          <w:tcPr>
            <w:tcW w:w="1575" w:type="dxa"/>
          </w:tcPr>
          <w:p w14:paraId="21D8EA09" w14:textId="77777777" w:rsidR="00825D6E" w:rsidRDefault="00000000">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Indium</w:t>
            </w:r>
          </w:p>
        </w:tc>
        <w:tc>
          <w:tcPr>
            <w:tcW w:w="2745" w:type="dxa"/>
          </w:tcPr>
          <w:p w14:paraId="19972321" w14:textId="77777777" w:rsidR="00825D6E" w:rsidRDefault="00000000">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Photodetectors and transceivers</w:t>
            </w:r>
          </w:p>
        </w:tc>
        <w:tc>
          <w:tcPr>
            <w:tcW w:w="5040" w:type="dxa"/>
          </w:tcPr>
          <w:p w14:paraId="562B63E2" w14:textId="77777777" w:rsidR="00825D6E" w:rsidRDefault="00000000">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Facilitates rapid data transmission in data center optical networks</w:t>
            </w:r>
          </w:p>
        </w:tc>
      </w:tr>
      <w:tr w:rsidR="00825D6E" w14:paraId="0AD8B2DC" w14:textId="77777777">
        <w:tc>
          <w:tcPr>
            <w:tcW w:w="1575" w:type="dxa"/>
          </w:tcPr>
          <w:p w14:paraId="7627F47B" w14:textId="77777777" w:rsidR="00825D6E" w:rsidRDefault="00000000">
            <w:pPr>
              <w:widowControl w:val="0"/>
              <w:spacing w:line="240" w:lineRule="auto"/>
              <w:jc w:val="center"/>
              <w:rPr>
                <w:rFonts w:ascii="Times New Roman" w:eastAsia="Times New Roman" w:hAnsi="Times New Roman" w:cs="Times New Roman"/>
              </w:rPr>
            </w:pPr>
            <w:r>
              <w:rPr>
                <w:rFonts w:ascii="Times New Roman" w:eastAsia="Times New Roman" w:hAnsi="Times New Roman" w:cs="Times New Roman"/>
              </w:rPr>
              <w:t>Cobalt</w:t>
            </w:r>
          </w:p>
        </w:tc>
        <w:tc>
          <w:tcPr>
            <w:tcW w:w="2745" w:type="dxa"/>
          </w:tcPr>
          <w:p w14:paraId="75DB05FF" w14:textId="77777777" w:rsidR="00825D6E" w:rsidRDefault="00000000">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Interconnect metallization</w:t>
            </w:r>
          </w:p>
        </w:tc>
        <w:tc>
          <w:tcPr>
            <w:tcW w:w="5040" w:type="dxa"/>
          </w:tcPr>
          <w:p w14:paraId="6E81F674" w14:textId="77777777" w:rsidR="00825D6E" w:rsidRDefault="00000000">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 xml:space="preserve">Prevents electromigration in advanced semiconductor </w:t>
            </w:r>
            <w:r>
              <w:rPr>
                <w:rFonts w:ascii="Times New Roman" w:eastAsia="Times New Roman" w:hAnsi="Times New Roman" w:cs="Times New Roman"/>
              </w:rPr>
              <w:lastRenderedPageBreak/>
              <w:t>nodes</w:t>
            </w:r>
          </w:p>
        </w:tc>
      </w:tr>
    </w:tbl>
    <w:p w14:paraId="365258FF" w14:textId="77777777" w:rsidR="00825D6E" w:rsidRDefault="00825D6E">
      <w:pPr>
        <w:rPr>
          <w:rFonts w:ascii="Times New Roman" w:eastAsia="Times New Roman" w:hAnsi="Times New Roman" w:cs="Times New Roman"/>
        </w:rPr>
      </w:pPr>
    </w:p>
    <w:p w14:paraId="102CF586" w14:textId="77777777" w:rsidR="00825D6E" w:rsidRDefault="00825D6E">
      <w:pPr>
        <w:rPr>
          <w:rFonts w:ascii="Times New Roman" w:eastAsia="Times New Roman" w:hAnsi="Times New Roman" w:cs="Times New Roman"/>
        </w:rPr>
      </w:pPr>
    </w:p>
    <w:p w14:paraId="27D3C2B7" w14:textId="77777777" w:rsidR="00825D6E" w:rsidRDefault="00000000">
      <w:pPr>
        <w:rPr>
          <w:rFonts w:ascii="Times New Roman" w:eastAsia="Times New Roman" w:hAnsi="Times New Roman" w:cs="Times New Roman"/>
        </w:rPr>
      </w:pPr>
      <w:r>
        <w:rPr>
          <w:rFonts w:ascii="Times New Roman" w:eastAsia="Times New Roman" w:hAnsi="Times New Roman" w:cs="Times New Roman"/>
          <w:b/>
          <w:bCs/>
        </w:rPr>
        <w:t xml:space="preserve">China's Dominance and Export Restrictions. </w:t>
      </w:r>
      <w:r>
        <w:rPr>
          <w:rFonts w:ascii="Times New Roman" w:eastAsia="Times New Roman" w:hAnsi="Times New Roman" w:cs="Times New Roman"/>
        </w:rPr>
        <w:t>The current global landscape reveals a stark imbalance in the control of AI-related minerals. China maintains an overwhelming dominance across the entire value chain, from extraction to refining. It produces approximately 98.7% of the world's primary gallium, 95% of its magnesium, 82.7% of its tungsten, and nearly 70% of its rare earth elements. [4] More critically, China's share of refined mineral supply is even higher, controlling over 85% of refined rare earths and 85% of synthetic graphite. [5] The risks associated with this concentration were realized in late 2024 when China implemented bans on the export of certain critical materials, including gallium, in response to U.S. trade restrictions. [6] These non-market policies and practices have led to a structural mismatch in the market, where supply is subject to political whims rather than economic demand. For the United States and its allies, this dependence creates a situation where the next wave of AI innovation could be throttled by a lack of access to the physical materials required for hardware expansion.</w:t>
      </w:r>
    </w:p>
    <w:p w14:paraId="01E1A054" w14:textId="77777777" w:rsidR="00825D6E" w:rsidRDefault="00825D6E">
      <w:pPr>
        <w:rPr>
          <w:rFonts w:ascii="Times New Roman" w:eastAsia="Times New Roman" w:hAnsi="Times New Roman" w:cs="Times New Roman"/>
        </w:rPr>
      </w:pPr>
    </w:p>
    <w:p w14:paraId="47D072AF" w14:textId="77777777" w:rsidR="00825D6E" w:rsidRDefault="00000000">
      <w:pPr>
        <w:rPr>
          <w:rFonts w:ascii="Times New Roman" w:eastAsia="Times New Roman" w:hAnsi="Times New Roman" w:cs="Times New Roman"/>
        </w:rPr>
      </w:pPr>
      <w:r>
        <w:rPr>
          <w:rFonts w:ascii="Times New Roman" w:eastAsia="Times New Roman" w:hAnsi="Times New Roman" w:cs="Times New Roman"/>
          <w:b/>
          <w:bCs/>
        </w:rPr>
        <w:t>Canada’s Mineral Reserves</w:t>
      </w:r>
      <w:r>
        <w:rPr>
          <w:rFonts w:ascii="Times New Roman" w:eastAsia="Times New Roman" w:hAnsi="Times New Roman" w:cs="Times New Roman"/>
        </w:rPr>
        <w:t>. Canada holds world-class deposits of all the minerals currently identified as critical for the AI boom. Key areas of mineral production are: Ontario and Quebec have nickel, cobalt, and lithium; Newfoundland and Labrador, Northwest Territories, and Nunavut produce copper, rare earth minerals, and other strategic minerals. Canada has 15 million tonnes of rare earths in resources, which is one of the world’s highest concentrations in the North. Canada is the #4 global producer of platinum, a mineral crucial for catalytic processes and semiconductor plating. [7] From the point of view of global supply chains, Canada’s current output of critical minerals is still limited in scale, accounting for less than 5% of the total amount produced worldwide for important minerals like cobalt and lithium. Estimates suggest that Canada could account for an average of 14 percent of the global supply across six key critical minerals—cobalt, nickel, lithium, copper, graphite, and rare earths—by 2040 if planned projects proceed at full capacity. [8]</w:t>
      </w:r>
    </w:p>
    <w:p w14:paraId="22CC77F3" w14:textId="77777777" w:rsidR="00825D6E" w:rsidRDefault="00825D6E">
      <w:pPr>
        <w:rPr>
          <w:rFonts w:ascii="Times New Roman" w:eastAsia="Times New Roman" w:hAnsi="Times New Roman" w:cs="Times New Roman"/>
        </w:rPr>
      </w:pPr>
    </w:p>
    <w:p w14:paraId="19225DA0" w14:textId="77777777" w:rsidR="00825D6E" w:rsidRDefault="00000000">
      <w:pPr>
        <w:rPr>
          <w:rFonts w:ascii="Times New Roman" w:eastAsia="Times New Roman" w:hAnsi="Times New Roman" w:cs="Times New Roman"/>
        </w:rPr>
      </w:pPr>
      <w:r>
        <w:rPr>
          <w:rFonts w:ascii="Times New Roman" w:eastAsia="Times New Roman" w:hAnsi="Times New Roman" w:cs="Times New Roman"/>
          <w:b/>
          <w:bCs/>
        </w:rPr>
        <w:t xml:space="preserve">Current Situation. </w:t>
      </w:r>
      <w:r>
        <w:rPr>
          <w:rFonts w:ascii="Times New Roman" w:eastAsia="Times New Roman" w:hAnsi="Times New Roman" w:cs="Times New Roman"/>
        </w:rPr>
        <w:t>A historical weakness in Canada's mining sector has been the "mine-and-ship" model, where raw materials are exported for refining—often to China—before being sold back as high-value components. [9] The Canadian Critical Minerals Strategy is actively working to close this gap by investing in midstream refining and processing. As of March 2025, Canada has 31 active critical mineral processing facilities and 28 new processing projects in the advanced stages of development. [10] This shift is essential for retaining value within the domestic economy and ensuring that the final products used in AI hardware are produced responsibly.</w:t>
      </w:r>
    </w:p>
    <w:p w14:paraId="566E8D61" w14:textId="77777777" w:rsidR="00825D6E" w:rsidRDefault="00000000">
      <w:pPr>
        <w:pStyle w:val="Heading2"/>
        <w:keepNext w:val="0"/>
        <w:keepLines w:val="0"/>
        <w:spacing w:after="80"/>
        <w:rPr>
          <w:rFonts w:ascii="Times New Roman" w:eastAsia="Times New Roman" w:hAnsi="Times New Roman" w:cs="Times New Roman"/>
          <w:b/>
          <w:bCs/>
          <w:sz w:val="22"/>
          <w:szCs w:val="22"/>
        </w:rPr>
      </w:pPr>
      <w:bookmarkStart w:id="12" w:name="_ge6o32hi5nws" w:colFirst="0" w:colLast="0"/>
      <w:bookmarkEnd w:id="12"/>
      <w:r>
        <w:rPr>
          <w:rFonts w:ascii="Times New Roman" w:eastAsia="Times New Roman" w:hAnsi="Times New Roman" w:cs="Times New Roman"/>
          <w:b/>
          <w:bCs/>
          <w:sz w:val="22"/>
          <w:szCs w:val="22"/>
        </w:rPr>
        <w:t>2.1.1 Recommendation</w:t>
      </w:r>
    </w:p>
    <w:p w14:paraId="6A329C4D" w14:textId="77777777" w:rsidR="00825D6E" w:rsidRDefault="00000000">
      <w:pPr>
        <w:rPr>
          <w:rFonts w:ascii="Times New Roman" w:eastAsia="Times New Roman" w:hAnsi="Times New Roman" w:cs="Times New Roman"/>
        </w:rPr>
      </w:pPr>
      <w:r>
        <w:rPr>
          <w:rFonts w:ascii="Times New Roman" w:eastAsia="Times New Roman" w:hAnsi="Times New Roman" w:cs="Times New Roman"/>
        </w:rPr>
        <w:t xml:space="preserve">The objective is to transition Canada from a net exporter of raw ores to a refiner and manufacturer of high-purity materials to capture domestic value. The current practice of exporting minerals for refining abroad, only to import them back as finished components, represents a significant strategic vulnerability and a lost economic opportunity. To bypass the 10-to-15-year lead time for traditional large-scale refineries, Canada must prioritize modular, relocatable processing. First, Canada will move away from China’s massive mixer-settler tanks to column-based systems like Ucore’s </w:t>
      </w:r>
      <w:proofErr w:type="spellStart"/>
      <w:r>
        <w:rPr>
          <w:rFonts w:ascii="Times New Roman" w:eastAsia="Times New Roman" w:hAnsi="Times New Roman" w:cs="Times New Roman"/>
        </w:rPr>
        <w:t>RapidSX</w:t>
      </w:r>
      <w:proofErr w:type="spellEnd"/>
      <w:r>
        <w:rPr>
          <w:rFonts w:ascii="Times New Roman" w:eastAsia="Times New Roman" w:hAnsi="Times New Roman" w:cs="Times New Roman"/>
        </w:rPr>
        <w:t xml:space="preserve"> platform. This technology runs approximately three times faster than conventional systems and has a significantly </w:t>
      </w:r>
      <w:r>
        <w:rPr>
          <w:rFonts w:ascii="Times New Roman" w:eastAsia="Times New Roman" w:hAnsi="Times New Roman" w:cs="Times New Roman"/>
        </w:rPr>
        <w:lastRenderedPageBreak/>
        <w:t xml:space="preserve">smaller physical footprint. Second, to avoid the lengthy environmental reviews required for new "greenfield" mines, Canada should prioritize secondary supply chains through modular waste processing. Modular units can be deployed at historic mine sites to extract rare earth elements and battery metals from tailings, coal ash, and industrial waste. </w:t>
      </w:r>
    </w:p>
    <w:p w14:paraId="32A31C8D" w14:textId="77777777" w:rsidR="00825D6E" w:rsidRDefault="00825D6E">
      <w:pPr>
        <w:rPr>
          <w:rFonts w:ascii="Times New Roman" w:eastAsia="Times New Roman" w:hAnsi="Times New Roman" w:cs="Times New Roman"/>
        </w:rPr>
      </w:pPr>
    </w:p>
    <w:p w14:paraId="368B1A40" w14:textId="77777777" w:rsidR="00825D6E" w:rsidRDefault="00000000">
      <w:pPr>
        <w:rPr>
          <w:rFonts w:ascii="Times New Roman" w:eastAsia="Times New Roman" w:hAnsi="Times New Roman" w:cs="Times New Roman"/>
        </w:rPr>
      </w:pPr>
      <w:r>
        <w:rPr>
          <w:rFonts w:ascii="Times New Roman" w:eastAsia="Times New Roman" w:hAnsi="Times New Roman" w:cs="Times New Roman"/>
        </w:rPr>
        <w:t xml:space="preserve">In Year 1, high-priority modular projects will be referred to the Major Projects Office (MPO) for "National Interest" status to begin the accelerated 2-year permitting track. The $2 billion Critical Minerals Sovereign Fund (CMSF), launching in Spring 2026, will be utilized to sign government-backed offtake agreements for initial modular outputs. This provides the revenue certainty required for project financing. In Year 2, commission the Rio Tinto gallium pilot plant in Saguenay and Ucore’s </w:t>
      </w:r>
      <w:proofErr w:type="spellStart"/>
      <w:r>
        <w:rPr>
          <w:rFonts w:ascii="Times New Roman" w:eastAsia="Times New Roman" w:hAnsi="Times New Roman" w:cs="Times New Roman"/>
        </w:rPr>
        <w:t>NdPr</w:t>
      </w:r>
      <w:proofErr w:type="spellEnd"/>
      <w:r>
        <w:rPr>
          <w:rFonts w:ascii="Times New Roman" w:eastAsia="Times New Roman" w:hAnsi="Times New Roman" w:cs="Times New Roman"/>
        </w:rPr>
        <w:t xml:space="preserve"> separation facility in Kingston. These modular units will demonstrate the ability to produce high-purity oxides without traditional mixer-settler infrastructure. In Year 3, transition from pilots to full-scale commercial recovery of graphite and rare earths from tailings and e-waste, specifically targeting projects like Green Graphite Technologies in Kingston. The estimated cost is $2.5 billion (includes the $2B Critical Minerals Sovereign Fund and $443M for innovative processing and stockpiling). The responsible ministry is Natural Resources Canada (NRCan) and Innovation, Science and Economic Development Canada (ISED), supported by the Major Projects Office (MPO). The primary metric is the achievement of a domestic production capacity of 400 metric tonnes of high-purity neodymium-praseodymium (</w:t>
      </w:r>
      <w:proofErr w:type="spellStart"/>
      <w:r>
        <w:rPr>
          <w:rFonts w:ascii="Times New Roman" w:eastAsia="Times New Roman" w:hAnsi="Times New Roman" w:cs="Times New Roman"/>
        </w:rPr>
        <w:t>NdPr</w:t>
      </w:r>
      <w:proofErr w:type="spellEnd"/>
      <w:r>
        <w:rPr>
          <w:rFonts w:ascii="Times New Roman" w:eastAsia="Times New Roman" w:hAnsi="Times New Roman" w:cs="Times New Roman"/>
        </w:rPr>
        <w:t>) metal annually by 2028. This volume represents a significant erosion of China's midstream monopoly and provides enough material to anchor an independent North American supply chain for the permanent magnets required in AI robotics and defense systems.</w:t>
      </w:r>
    </w:p>
    <w:p w14:paraId="117AD89A" w14:textId="77777777" w:rsidR="00825D6E" w:rsidRDefault="00825D6E">
      <w:pPr>
        <w:rPr>
          <w:rFonts w:ascii="Times New Roman" w:eastAsia="Times New Roman" w:hAnsi="Times New Roman" w:cs="Times New Roman"/>
        </w:rPr>
      </w:pPr>
    </w:p>
    <w:p w14:paraId="30D44D22" w14:textId="77777777" w:rsidR="00825D6E" w:rsidRDefault="00000000">
      <w:pPr>
        <w:rPr>
          <w:rFonts w:ascii="Times New Roman" w:eastAsia="Times New Roman" w:hAnsi="Times New Roman" w:cs="Times New Roman"/>
        </w:rPr>
      </w:pPr>
      <w:r>
        <w:rPr>
          <w:rFonts w:ascii="Times New Roman" w:eastAsia="Times New Roman" w:hAnsi="Times New Roman" w:cs="Times New Roman"/>
        </w:rPr>
        <w:t>While securing critical mineral supply is essential for enabling AI hardware production, it does not by itself guarantee usable compute capacity within Canada. The next bottleneck lies in how compute infrastructure is built and distributed across the country.</w:t>
      </w:r>
    </w:p>
    <w:p w14:paraId="5B9FEC3D" w14:textId="77777777" w:rsidR="00825D6E" w:rsidRDefault="00000000">
      <w:pPr>
        <w:pStyle w:val="Heading2"/>
        <w:keepNext w:val="0"/>
        <w:keepLines w:val="0"/>
        <w:spacing w:after="80"/>
        <w:rPr>
          <w:rFonts w:ascii="Times New Roman" w:eastAsia="Times New Roman" w:hAnsi="Times New Roman" w:cs="Times New Roman"/>
          <w:b/>
          <w:bCs/>
          <w:sz w:val="22"/>
          <w:szCs w:val="22"/>
        </w:rPr>
      </w:pPr>
      <w:bookmarkStart w:id="13" w:name="_p17bh2y05d3g" w:colFirst="0" w:colLast="0"/>
      <w:bookmarkEnd w:id="13"/>
      <w:r>
        <w:rPr>
          <w:rFonts w:ascii="Times New Roman" w:eastAsia="Times New Roman" w:hAnsi="Times New Roman" w:cs="Times New Roman"/>
          <w:b/>
          <w:bCs/>
          <w:sz w:val="22"/>
          <w:szCs w:val="22"/>
        </w:rPr>
        <w:t>2.2 Redirect federal AI infrastructure funding to provinces with more available power capacity</w:t>
      </w:r>
    </w:p>
    <w:p w14:paraId="2136C6AA" w14:textId="77777777" w:rsidR="00825D6E" w:rsidRDefault="00000000">
      <w:pPr>
        <w:widowControl w:val="0"/>
        <w:spacing w:after="70" w:line="252" w:lineRule="auto"/>
        <w:rPr>
          <w:rFonts w:ascii="Times New Roman" w:eastAsia="Times New Roman" w:hAnsi="Times New Roman" w:cs="Times New Roman"/>
        </w:rPr>
      </w:pPr>
      <w:r>
        <w:rPr>
          <w:rFonts w:ascii="Times New Roman" w:eastAsia="Times New Roman" w:hAnsi="Times New Roman" w:cs="Times New Roman"/>
        </w:rPr>
        <w:t>Our quantitative analysis of 36 countries using the Tortoise/Stanford AI Index (2024) identifies Infrastructure as Canada’s single largest AI competitiveness gap, scoring 5.2 points below its peer average. Canada ranks 29th of 36 in per-capita compute capacity and 27th in absolute compute—the lowest among all G7 nations. As of November 2023, Canada held just 0.7% of global AI compute capacity, half that of the United Kingdom, the next lowest G7 nation [20]. Our Lasso regression (R² = 0.88) confirms Infrastructure is among the strongest predictors of overall AI competitiveness, meaning closing this gap would yield the highest return on investment of any federal intervention. These rankings reflect a broader deficit in physical AI compute infrastructure—data centers, GPU clusters, and national research facilities—the facilities required to house the hardware that delivers compute capacity. Among these, data centers represent the largest category of planned federal investment ($700M via the AI Compute Challenge) and the most acute siting bottleneck, making them the focus of this recommendation.</w:t>
      </w:r>
    </w:p>
    <w:p w14:paraId="4D702DD1" w14:textId="77777777" w:rsidR="00825D6E" w:rsidRDefault="00825D6E">
      <w:pPr>
        <w:widowControl w:val="0"/>
        <w:spacing w:after="70" w:line="252" w:lineRule="auto"/>
        <w:rPr>
          <w:rFonts w:ascii="Times New Roman" w:eastAsia="Times New Roman" w:hAnsi="Times New Roman" w:cs="Times New Roman"/>
        </w:rPr>
      </w:pPr>
    </w:p>
    <w:p w14:paraId="639A7E65" w14:textId="77777777" w:rsidR="00825D6E" w:rsidRDefault="00000000">
      <w:pPr>
        <w:widowControl w:val="0"/>
        <w:spacing w:after="70" w:line="252" w:lineRule="auto"/>
        <w:rPr>
          <w:rFonts w:ascii="Times New Roman" w:eastAsia="Times New Roman" w:hAnsi="Times New Roman" w:cs="Times New Roman"/>
        </w:rPr>
      </w:pPr>
      <w:r>
        <w:rPr>
          <w:rFonts w:ascii="Times New Roman" w:eastAsia="Times New Roman" w:hAnsi="Times New Roman" w:cs="Times New Roman"/>
        </w:rPr>
        <w:t xml:space="preserve">The issue is not a lack of funding, but a misalignment in how funding is allocated. This creates a clear policy mismatch between where compute capacity is needed and where federal funding is currently directed. In Budget 2024, the federal government committed $2 billion over five years through the Canadian Sovereign AI Compute Strategy, including $700M via the AI Compute Challenge for private-sector data center construction and up to $300M through the AI Compute Access Fund for SMEs [17]. Canada is not short of funding commitments. However, none of these programs include geographic siting </w:t>
      </w:r>
      <w:r>
        <w:rPr>
          <w:rFonts w:ascii="Times New Roman" w:eastAsia="Times New Roman" w:hAnsi="Times New Roman" w:cs="Times New Roman"/>
        </w:rPr>
        <w:lastRenderedPageBreak/>
        <w:t>criteria. The AI Compute Challenge is awarded competitively based on project proposals, with no conditionality on where projects are located.</w:t>
      </w:r>
    </w:p>
    <w:p w14:paraId="38EFCFDE" w14:textId="77777777" w:rsidR="00825D6E" w:rsidRDefault="00825D6E">
      <w:pPr>
        <w:widowControl w:val="0"/>
        <w:spacing w:after="70" w:line="252" w:lineRule="auto"/>
        <w:rPr>
          <w:rFonts w:ascii="Times New Roman" w:eastAsia="Times New Roman" w:hAnsi="Times New Roman" w:cs="Times New Roman"/>
        </w:rPr>
      </w:pPr>
    </w:p>
    <w:p w14:paraId="6306560E" w14:textId="77777777" w:rsidR="00825D6E" w:rsidRDefault="00000000">
      <w:pPr>
        <w:widowControl w:val="0"/>
        <w:spacing w:after="70" w:line="252" w:lineRule="auto"/>
        <w:rPr>
          <w:rFonts w:ascii="Times New Roman" w:eastAsia="Times New Roman" w:hAnsi="Times New Roman" w:cs="Times New Roman"/>
        </w:rPr>
      </w:pPr>
      <w:r>
        <w:rPr>
          <w:rFonts w:ascii="Times New Roman" w:eastAsia="Times New Roman" w:hAnsi="Times New Roman" w:cs="Times New Roman"/>
        </w:rPr>
        <w:t>The result is severe geographic concentration. Toronto, Montreal, and Alberta collectively account for 93% of Canada’s total data center IT load [21]. All three markets are now hitting hard grid limits. In Alberta, 29 data center projects representing over 16 GW of demand sought grid connections, but AESO can only accommodate 1.2 GW by 2028; all remaining applications have been paused. [22][23] In Quebec, Bill 69 (enacted June 2025) requires ministerial authorization for any new load of 5 MW or more. [24][25] In Ontario, new data center connection requests already represent approximately 30% of 2024 peak demand, and the government introduced Bill 40 to establish a screening framework for new connections. [24] The first major investment under the Strategy—$240M to Toronto-based Cohere—confirmed this pattern. [19] Federal dollars intended to close the infrastructure gap are flowing into markets that physically cannot absorb new load.</w:t>
      </w:r>
    </w:p>
    <w:p w14:paraId="05205232" w14:textId="77777777" w:rsidR="00825D6E" w:rsidRDefault="00825D6E">
      <w:pPr>
        <w:widowControl w:val="0"/>
        <w:spacing w:after="70" w:line="252" w:lineRule="auto"/>
        <w:rPr>
          <w:rFonts w:ascii="Times New Roman" w:eastAsia="Times New Roman" w:hAnsi="Times New Roman" w:cs="Times New Roman"/>
        </w:rPr>
      </w:pPr>
    </w:p>
    <w:p w14:paraId="43FE0C59" w14:textId="77777777" w:rsidR="00825D6E" w:rsidRDefault="00000000">
      <w:pPr>
        <w:widowControl w:val="0"/>
        <w:spacing w:after="70" w:line="252" w:lineRule="auto"/>
        <w:rPr>
          <w:rFonts w:ascii="Times New Roman" w:eastAsia="Times New Roman" w:hAnsi="Times New Roman" w:cs="Times New Roman"/>
        </w:rPr>
      </w:pPr>
      <w:r>
        <w:rPr>
          <w:rFonts w:ascii="Times New Roman" w:eastAsia="Times New Roman" w:hAnsi="Times New Roman" w:cs="Times New Roman"/>
        </w:rPr>
        <w:t>Meanwhile, provinces with surplus capacity remain untapped. Manitoba’s total generating capacity is approximately 6,100 MW, with 99.7% of electricity from renewable sources. The province generates more electricity than it needs and exports the surplus to the United States, Saskatchewan, and Ontario—export revenues accounted for over 22% of Manitoba Hydro’s total electric revenue from 2010–2019.[26][27][28] Manitoba’s export transmission capacity alone reaches 3,185 MW following the 2020 Manitoba-Minnesota Transmission Project.[28] Newfoundland and Labrador has over 8,000 MW of total generating capacity, anchored by the 5,428 MW Churchill Falls generating station—one of the largest hydroelectric facilities in North America—and is a net electricity exporter. [30] Saskatchewan is expanding wind capacity with low industrial demand relative to generation. Yet all three provinces have attracted near-zero AI data center investment. This is a policy coordination failure, not a resource constraint.</w:t>
      </w:r>
    </w:p>
    <w:p w14:paraId="042C976A" w14:textId="77777777" w:rsidR="00825D6E" w:rsidRDefault="00825D6E">
      <w:pPr>
        <w:widowControl w:val="0"/>
        <w:spacing w:after="70" w:line="252" w:lineRule="auto"/>
        <w:rPr>
          <w:rFonts w:ascii="Times New Roman" w:eastAsia="Times New Roman" w:hAnsi="Times New Roman" w:cs="Times New Roman"/>
        </w:rPr>
      </w:pPr>
    </w:p>
    <w:p w14:paraId="3DB97242" w14:textId="77777777" w:rsidR="00825D6E" w:rsidRDefault="00000000">
      <w:pPr>
        <w:widowControl w:val="0"/>
        <w:spacing w:after="70" w:line="252" w:lineRule="auto"/>
        <w:rPr>
          <w:rFonts w:ascii="Times New Roman" w:eastAsia="Times New Roman" w:hAnsi="Times New Roman" w:cs="Times New Roman"/>
        </w:rPr>
      </w:pPr>
      <w:r>
        <w:rPr>
          <w:rFonts w:ascii="Times New Roman" w:eastAsia="Times New Roman" w:hAnsi="Times New Roman" w:cs="Times New Roman"/>
        </w:rPr>
        <w:t>Geospatial verification. To confirm that surplus-capacity provinces can realistically support data center development, we conducted a suitability analysis using ArcGIS Pro, integrating four data layers: proximity to large-scale power generation (100 MW+ within 100 km, NRCan/NACEI), broadband connectivity (50/10 Mbps+ coverage, CRTC), and low seismic and flood hazard risk (NRCan). The analysis identifies significant suitable areas across the Saskatchewan-Manitoba corridor, Northern Ontario, and Atlantic Canada. This does not prescribe specific sites but demonstrates that provinces with surplus electricity also meet the basic infrastructure requirements for data center development (see Appendix, Figure A6).</w:t>
      </w:r>
    </w:p>
    <w:p w14:paraId="0E612306" w14:textId="77777777" w:rsidR="00825D6E" w:rsidRDefault="00825D6E">
      <w:pPr>
        <w:widowControl w:val="0"/>
        <w:spacing w:after="70" w:line="252" w:lineRule="auto"/>
        <w:rPr>
          <w:rFonts w:ascii="Times New Roman" w:eastAsia="Times New Roman" w:hAnsi="Times New Roman" w:cs="Times New Roman"/>
        </w:rPr>
      </w:pPr>
    </w:p>
    <w:p w14:paraId="3F8956E0" w14:textId="77777777" w:rsidR="00825D6E" w:rsidRDefault="00000000">
      <w:pPr>
        <w:widowControl w:val="0"/>
        <w:spacing w:after="70" w:line="252" w:lineRule="auto"/>
        <w:rPr>
          <w:rFonts w:ascii="Times New Roman" w:eastAsia="Times New Roman" w:hAnsi="Times New Roman" w:cs="Times New Roman"/>
        </w:rPr>
      </w:pPr>
      <w:r>
        <w:rPr>
          <w:rFonts w:ascii="Times New Roman" w:eastAsia="Times New Roman" w:hAnsi="Times New Roman" w:cs="Times New Roman"/>
        </w:rPr>
        <w:t>International precedent. Singapore imposed a data center moratorium from 2019 to 2022, then reopened with geographic and sustainability conditionality through the DC-CFA framework. [31] France’s national AI strategy under France 2030 emphasizes territorial distribution of AI infrastructure, with over 30 government-approved low-carbon sites designated across the country to encourage investment beyond Paris.[32] Canada is the only major AI-investing nation directing billions into compute infrastructure with no geographic guidance.</w:t>
      </w:r>
    </w:p>
    <w:p w14:paraId="12D6A3F9" w14:textId="77777777" w:rsidR="00825D6E" w:rsidRDefault="00825D6E">
      <w:pPr>
        <w:widowControl w:val="0"/>
        <w:spacing w:after="70" w:line="252" w:lineRule="auto"/>
        <w:rPr>
          <w:rFonts w:ascii="Times New Roman" w:eastAsia="Times New Roman" w:hAnsi="Times New Roman" w:cs="Times New Roman"/>
        </w:rPr>
      </w:pPr>
    </w:p>
    <w:p w14:paraId="4F5D3DB4" w14:textId="77777777" w:rsidR="00825D6E" w:rsidRDefault="00000000">
      <w:pPr>
        <w:widowControl w:val="0"/>
        <w:spacing w:after="70" w:line="252" w:lineRule="auto"/>
        <w:rPr>
          <w:rFonts w:ascii="Times New Roman" w:eastAsia="Times New Roman" w:hAnsi="Times New Roman" w:cs="Times New Roman"/>
          <w:b/>
          <w:bCs/>
        </w:rPr>
      </w:pPr>
      <w:r>
        <w:rPr>
          <w:rFonts w:ascii="Times New Roman" w:eastAsia="Times New Roman" w:hAnsi="Times New Roman" w:cs="Times New Roman"/>
          <w:b/>
          <w:bCs/>
        </w:rPr>
        <w:t>2.2.1 Recommendation</w:t>
      </w:r>
    </w:p>
    <w:p w14:paraId="47150FB6" w14:textId="77777777" w:rsidR="00825D6E" w:rsidRDefault="00000000">
      <w:pPr>
        <w:widowControl w:val="0"/>
        <w:spacing w:after="70" w:line="252" w:lineRule="auto"/>
        <w:rPr>
          <w:rFonts w:ascii="Times New Roman" w:eastAsia="Times New Roman" w:hAnsi="Times New Roman" w:cs="Times New Roman"/>
        </w:rPr>
      </w:pPr>
      <w:r>
        <w:rPr>
          <w:rFonts w:ascii="Times New Roman" w:eastAsia="Times New Roman" w:hAnsi="Times New Roman" w:cs="Times New Roman"/>
        </w:rPr>
        <w:t xml:space="preserve">We recommend that ISED introduce geographic conditionality into the $700M AI Compute Challenge, ensuring that a meaningful share of funded capacity is directed toward provinces with demonstrated </w:t>
      </w:r>
      <w:r>
        <w:rPr>
          <w:rFonts w:ascii="Times New Roman" w:eastAsia="Times New Roman" w:hAnsi="Times New Roman" w:cs="Times New Roman"/>
        </w:rPr>
        <w:lastRenderedPageBreak/>
        <w:t>surplus electricity and available grid connections—specifically Manitoba, Newfoundland and Labrador, and Saskatchewan. This can be achieved through two complementary policy tools. First, amend the AI Compute Challenge evaluation criteria to award significant additional scoring weight to projects located in regions with available grid capacity, verified renewable energy supply, low natural-hazard risk, and no utility-imposed connection moratoriums. Second, extend the Accelerated Investment Incentive (reinstated in the 2024 Fall Economic Statement) to include enhanced capital cost allowance rates for data center equipment deployed in designated surplus-capacity provinces, reducing upfront capital costs and incentivizing private-sector location decisions.</w:t>
      </w:r>
    </w:p>
    <w:p w14:paraId="0E08937C" w14:textId="77777777" w:rsidR="00825D6E" w:rsidRDefault="00825D6E">
      <w:pPr>
        <w:widowControl w:val="0"/>
        <w:spacing w:after="70" w:line="252" w:lineRule="auto"/>
        <w:rPr>
          <w:rFonts w:ascii="Times New Roman" w:eastAsia="Times New Roman" w:hAnsi="Times New Roman" w:cs="Times New Roman"/>
        </w:rPr>
      </w:pPr>
    </w:p>
    <w:p w14:paraId="7A0EB1C4" w14:textId="77777777" w:rsidR="00825D6E" w:rsidRDefault="00000000">
      <w:pPr>
        <w:widowControl w:val="0"/>
        <w:spacing w:after="70" w:line="252" w:lineRule="auto"/>
        <w:rPr>
          <w:rFonts w:ascii="Times New Roman" w:eastAsia="Times New Roman" w:hAnsi="Times New Roman" w:cs="Times New Roman"/>
        </w:rPr>
      </w:pPr>
      <w:r>
        <w:rPr>
          <w:rFonts w:ascii="Times New Roman" w:eastAsia="Times New Roman" w:hAnsi="Times New Roman" w:cs="Times New Roman"/>
        </w:rPr>
        <w:t>This recommendation does not require the federal government to build data centers, override provincial jurisdiction, or create new spending. It redirects already-committed funding by adding geographic criteria to existing programs—the same approach used successfully by Singapore and France.</w:t>
      </w:r>
    </w:p>
    <w:p w14:paraId="20C6B579" w14:textId="77777777" w:rsidR="00825D6E" w:rsidRDefault="00825D6E">
      <w:pPr>
        <w:widowControl w:val="0"/>
        <w:spacing w:after="70" w:line="252" w:lineRule="auto"/>
        <w:rPr>
          <w:rFonts w:ascii="Times New Roman" w:eastAsia="Times New Roman" w:hAnsi="Times New Roman" w:cs="Times New Roman"/>
        </w:rPr>
      </w:pPr>
    </w:p>
    <w:p w14:paraId="022CB3CF" w14:textId="77777777" w:rsidR="00825D6E" w:rsidRDefault="00000000">
      <w:pPr>
        <w:widowControl w:val="0"/>
        <w:spacing w:before="100" w:after="60" w:line="240" w:lineRule="auto"/>
        <w:rPr>
          <w:rFonts w:ascii="Times New Roman" w:eastAsia="Times New Roman" w:hAnsi="Times New Roman" w:cs="Times New Roman"/>
        </w:rPr>
      </w:pPr>
      <w:r>
        <w:rPr>
          <w:rFonts w:ascii="Times New Roman" w:eastAsia="Times New Roman" w:hAnsi="Times New Roman" w:cs="Times New Roman"/>
          <w:b/>
          <w:bCs/>
        </w:rPr>
        <w:t>Implementation</w:t>
      </w:r>
    </w:p>
    <w:tbl>
      <w:tblPr>
        <w:tblStyle w:val="a0"/>
        <w:tblW w:w="100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0"/>
        <w:gridCol w:w="7640"/>
      </w:tblGrid>
      <w:tr w:rsidR="00825D6E" w14:paraId="74EACA3E" w14:textId="77777777">
        <w:tc>
          <w:tcPr>
            <w:tcW w:w="2400" w:type="dxa"/>
            <w:tcBorders>
              <w:top w:val="single" w:sz="4" w:space="0" w:color="CCCCCC"/>
              <w:left w:val="single" w:sz="4" w:space="0" w:color="CCCCCC"/>
              <w:bottom w:val="single" w:sz="4" w:space="0" w:color="CCCCCC"/>
              <w:right w:val="single" w:sz="4" w:space="0" w:color="CCCCCC"/>
            </w:tcBorders>
            <w:shd w:val="clear" w:color="auto" w:fill="F2F3F4"/>
            <w:tcMar>
              <w:top w:w="50" w:type="dxa"/>
              <w:left w:w="100" w:type="dxa"/>
              <w:bottom w:w="50" w:type="dxa"/>
              <w:right w:w="100" w:type="dxa"/>
            </w:tcMar>
          </w:tcPr>
          <w:p w14:paraId="07FABF4E" w14:textId="77777777" w:rsidR="00825D6E" w:rsidRDefault="00000000">
            <w:pPr>
              <w:widowControl w:val="0"/>
              <w:spacing w:line="240" w:lineRule="auto"/>
              <w:rPr>
                <w:rFonts w:ascii="Times New Roman" w:eastAsia="Times New Roman" w:hAnsi="Times New Roman" w:cs="Times New Roman"/>
              </w:rPr>
            </w:pPr>
            <w:r>
              <w:rPr>
                <w:rFonts w:ascii="Times New Roman" w:eastAsia="Times New Roman" w:hAnsi="Times New Roman" w:cs="Times New Roman"/>
                <w:b/>
                <w:bCs/>
              </w:rPr>
              <w:t>Responsible agency</w:t>
            </w:r>
          </w:p>
        </w:tc>
        <w:tc>
          <w:tcPr>
            <w:tcW w:w="7640" w:type="dxa"/>
            <w:tcBorders>
              <w:top w:val="single" w:sz="4" w:space="0" w:color="CCCCCC"/>
              <w:left w:val="single" w:sz="4" w:space="0" w:color="CCCCCC"/>
              <w:bottom w:val="single" w:sz="4" w:space="0" w:color="CCCCCC"/>
              <w:right w:val="single" w:sz="4" w:space="0" w:color="CCCCCC"/>
            </w:tcBorders>
            <w:tcMar>
              <w:top w:w="50" w:type="dxa"/>
              <w:left w:w="100" w:type="dxa"/>
              <w:bottom w:w="50" w:type="dxa"/>
              <w:right w:w="100" w:type="dxa"/>
            </w:tcMar>
          </w:tcPr>
          <w:p w14:paraId="3989C22B" w14:textId="77777777" w:rsidR="00825D6E" w:rsidRDefault="00000000">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ISED, in coordination with NRCan, the Canada Infrastructure Bank, and provincial utilities (Manitoba Hydro, NL Hydro, SaskPower).</w:t>
            </w:r>
          </w:p>
        </w:tc>
      </w:tr>
      <w:tr w:rsidR="00825D6E" w14:paraId="2A9F21F7" w14:textId="77777777">
        <w:tc>
          <w:tcPr>
            <w:tcW w:w="2400" w:type="dxa"/>
            <w:tcBorders>
              <w:top w:val="single" w:sz="4" w:space="0" w:color="CCCCCC"/>
              <w:left w:val="single" w:sz="4" w:space="0" w:color="CCCCCC"/>
              <w:bottom w:val="single" w:sz="4" w:space="0" w:color="CCCCCC"/>
              <w:right w:val="single" w:sz="4" w:space="0" w:color="CCCCCC"/>
            </w:tcBorders>
            <w:shd w:val="clear" w:color="auto" w:fill="F2F3F4"/>
            <w:tcMar>
              <w:top w:w="50" w:type="dxa"/>
              <w:left w:w="100" w:type="dxa"/>
              <w:bottom w:w="50" w:type="dxa"/>
              <w:right w:w="100" w:type="dxa"/>
            </w:tcMar>
          </w:tcPr>
          <w:p w14:paraId="6E5DAD3F" w14:textId="77777777" w:rsidR="00825D6E" w:rsidRDefault="00000000">
            <w:pPr>
              <w:widowControl w:val="0"/>
              <w:spacing w:line="240" w:lineRule="auto"/>
              <w:rPr>
                <w:rFonts w:ascii="Times New Roman" w:eastAsia="Times New Roman" w:hAnsi="Times New Roman" w:cs="Times New Roman"/>
              </w:rPr>
            </w:pPr>
            <w:r>
              <w:rPr>
                <w:rFonts w:ascii="Times New Roman" w:eastAsia="Times New Roman" w:hAnsi="Times New Roman" w:cs="Times New Roman"/>
                <w:b/>
                <w:bCs/>
              </w:rPr>
              <w:t>Estimated cost</w:t>
            </w:r>
          </w:p>
        </w:tc>
        <w:tc>
          <w:tcPr>
            <w:tcW w:w="7640" w:type="dxa"/>
            <w:tcBorders>
              <w:top w:val="single" w:sz="4" w:space="0" w:color="CCCCCC"/>
              <w:left w:val="single" w:sz="4" w:space="0" w:color="CCCCCC"/>
              <w:bottom w:val="single" w:sz="4" w:space="0" w:color="CCCCCC"/>
              <w:right w:val="single" w:sz="4" w:space="0" w:color="CCCCCC"/>
            </w:tcBorders>
            <w:tcMar>
              <w:top w:w="50" w:type="dxa"/>
              <w:left w:w="100" w:type="dxa"/>
              <w:bottom w:w="50" w:type="dxa"/>
              <w:right w:w="100" w:type="dxa"/>
            </w:tcMar>
          </w:tcPr>
          <w:p w14:paraId="1ACC4C7D" w14:textId="77777777" w:rsidR="00825D6E" w:rsidRDefault="00000000">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$15–25M for criteria development and inter-agency coordination (&lt;4% of the $700M AI Compute Challenge). Core mechanism is reallocation of existing funding, not new spending.</w:t>
            </w:r>
          </w:p>
        </w:tc>
      </w:tr>
      <w:tr w:rsidR="00825D6E" w14:paraId="00B3487D" w14:textId="77777777">
        <w:tc>
          <w:tcPr>
            <w:tcW w:w="2400" w:type="dxa"/>
            <w:tcBorders>
              <w:top w:val="single" w:sz="4" w:space="0" w:color="CCCCCC"/>
              <w:left w:val="single" w:sz="4" w:space="0" w:color="CCCCCC"/>
              <w:bottom w:val="single" w:sz="4" w:space="0" w:color="CCCCCC"/>
              <w:right w:val="single" w:sz="4" w:space="0" w:color="CCCCCC"/>
            </w:tcBorders>
            <w:shd w:val="clear" w:color="auto" w:fill="F2F3F4"/>
            <w:tcMar>
              <w:top w:w="50" w:type="dxa"/>
              <w:left w:w="100" w:type="dxa"/>
              <w:bottom w:w="50" w:type="dxa"/>
              <w:right w:w="100" w:type="dxa"/>
            </w:tcMar>
          </w:tcPr>
          <w:p w14:paraId="35E6D04E" w14:textId="77777777" w:rsidR="00825D6E" w:rsidRDefault="00000000">
            <w:pPr>
              <w:widowControl w:val="0"/>
              <w:spacing w:line="240" w:lineRule="auto"/>
              <w:rPr>
                <w:rFonts w:ascii="Times New Roman" w:eastAsia="Times New Roman" w:hAnsi="Times New Roman" w:cs="Times New Roman"/>
              </w:rPr>
            </w:pPr>
            <w:r>
              <w:rPr>
                <w:rFonts w:ascii="Times New Roman" w:eastAsia="Times New Roman" w:hAnsi="Times New Roman" w:cs="Times New Roman"/>
                <w:b/>
                <w:bCs/>
              </w:rPr>
              <w:t>Timeline</w:t>
            </w:r>
          </w:p>
        </w:tc>
        <w:tc>
          <w:tcPr>
            <w:tcW w:w="7640" w:type="dxa"/>
            <w:tcBorders>
              <w:top w:val="single" w:sz="4" w:space="0" w:color="CCCCCC"/>
              <w:left w:val="single" w:sz="4" w:space="0" w:color="CCCCCC"/>
              <w:bottom w:val="single" w:sz="4" w:space="0" w:color="CCCCCC"/>
              <w:right w:val="single" w:sz="4" w:space="0" w:color="CCCCCC"/>
            </w:tcBorders>
            <w:tcMar>
              <w:top w:w="50" w:type="dxa"/>
              <w:left w:w="100" w:type="dxa"/>
              <w:bottom w:w="50" w:type="dxa"/>
              <w:right w:w="100" w:type="dxa"/>
            </w:tcMar>
          </w:tcPr>
          <w:p w14:paraId="72D2166D" w14:textId="77777777" w:rsidR="00825D6E" w:rsidRDefault="00000000">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Year 1: Amend AI Compute Challenge scoring criteria; engage provincial utilities on capacity inventory. Year 2: Implement enhanced capital cost allowances for surplus-capacity provinces; publish suitability data as open data. Year 3: Review outcomes; extend conditionality to CIB AI lending.</w:t>
            </w:r>
          </w:p>
        </w:tc>
      </w:tr>
      <w:tr w:rsidR="00825D6E" w14:paraId="2F19C387" w14:textId="77777777">
        <w:tc>
          <w:tcPr>
            <w:tcW w:w="2400" w:type="dxa"/>
            <w:tcBorders>
              <w:top w:val="single" w:sz="4" w:space="0" w:color="CCCCCC"/>
              <w:left w:val="single" w:sz="4" w:space="0" w:color="CCCCCC"/>
              <w:bottom w:val="single" w:sz="4" w:space="0" w:color="CCCCCC"/>
              <w:right w:val="single" w:sz="4" w:space="0" w:color="CCCCCC"/>
            </w:tcBorders>
            <w:shd w:val="clear" w:color="auto" w:fill="F2F3F4"/>
            <w:tcMar>
              <w:top w:w="50" w:type="dxa"/>
              <w:left w:w="100" w:type="dxa"/>
              <w:bottom w:w="50" w:type="dxa"/>
              <w:right w:w="100" w:type="dxa"/>
            </w:tcMar>
          </w:tcPr>
          <w:p w14:paraId="78F0A4AB" w14:textId="77777777" w:rsidR="00825D6E" w:rsidRDefault="00000000">
            <w:pPr>
              <w:widowControl w:val="0"/>
              <w:spacing w:line="240" w:lineRule="auto"/>
              <w:rPr>
                <w:rFonts w:ascii="Times New Roman" w:eastAsia="Times New Roman" w:hAnsi="Times New Roman" w:cs="Times New Roman"/>
              </w:rPr>
            </w:pPr>
            <w:r>
              <w:rPr>
                <w:rFonts w:ascii="Times New Roman" w:eastAsia="Times New Roman" w:hAnsi="Times New Roman" w:cs="Times New Roman"/>
                <w:b/>
                <w:bCs/>
              </w:rPr>
              <w:t>Success metric</w:t>
            </w:r>
          </w:p>
        </w:tc>
        <w:tc>
          <w:tcPr>
            <w:tcW w:w="7640" w:type="dxa"/>
            <w:tcBorders>
              <w:top w:val="single" w:sz="4" w:space="0" w:color="CCCCCC"/>
              <w:left w:val="single" w:sz="4" w:space="0" w:color="CCCCCC"/>
              <w:bottom w:val="single" w:sz="4" w:space="0" w:color="CCCCCC"/>
              <w:right w:val="single" w:sz="4" w:space="0" w:color="CCCCCC"/>
            </w:tcBorders>
            <w:tcMar>
              <w:top w:w="50" w:type="dxa"/>
              <w:left w:w="100" w:type="dxa"/>
              <w:bottom w:w="50" w:type="dxa"/>
              <w:right w:w="100" w:type="dxa"/>
            </w:tcMar>
          </w:tcPr>
          <w:p w14:paraId="42EA3C58" w14:textId="77777777" w:rsidR="00825D6E" w:rsidRDefault="00000000">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Reduce the share of federally-funded data center capacity in Toronto/Montreal/Alberta from 93% to below 70% within three years. This target is benchmarked against the Netherlands—Canada’s closest KNN peer—where Amsterdam accounts for approximately 70% of national capacity, a level reached only after a 2019 moratorium on new data center development due to grid congestion.[33]</w:t>
            </w:r>
          </w:p>
        </w:tc>
      </w:tr>
    </w:tbl>
    <w:p w14:paraId="0A6ED76E" w14:textId="77777777" w:rsidR="00825D6E" w:rsidRDefault="00825D6E">
      <w:pPr>
        <w:widowControl w:val="0"/>
        <w:spacing w:before="100" w:after="40" w:line="240" w:lineRule="auto"/>
        <w:rPr>
          <w:rFonts w:ascii="Times New Roman" w:eastAsia="Times New Roman" w:hAnsi="Times New Roman" w:cs="Times New Roman"/>
        </w:rPr>
      </w:pPr>
    </w:p>
    <w:p w14:paraId="594B5214" w14:textId="77777777" w:rsidR="00825D6E" w:rsidRDefault="00000000">
      <w:pPr>
        <w:widowControl w:val="0"/>
        <w:spacing w:before="100" w:after="40" w:line="240" w:lineRule="auto"/>
        <w:rPr>
          <w:rFonts w:ascii="Times New Roman" w:eastAsia="Times New Roman" w:hAnsi="Times New Roman" w:cs="Times New Roman"/>
          <w:b/>
          <w:bCs/>
        </w:rPr>
      </w:pPr>
      <w:r>
        <w:rPr>
          <w:rFonts w:ascii="Times New Roman" w:eastAsia="Times New Roman" w:hAnsi="Times New Roman" w:cs="Times New Roman"/>
          <w:b/>
          <w:bCs/>
        </w:rPr>
        <w:t>Expected Impact:</w:t>
      </w:r>
    </w:p>
    <w:p w14:paraId="3998AF2B" w14:textId="77777777" w:rsidR="00825D6E" w:rsidRDefault="00000000">
      <w:pPr>
        <w:widowControl w:val="0"/>
        <w:spacing w:before="100" w:after="40" w:line="240" w:lineRule="auto"/>
        <w:rPr>
          <w:rFonts w:ascii="Times New Roman" w:eastAsia="Times New Roman" w:hAnsi="Times New Roman" w:cs="Times New Roman"/>
        </w:rPr>
      </w:pPr>
      <w:r>
        <w:rPr>
          <w:rFonts w:ascii="Times New Roman" w:eastAsia="Times New Roman" w:hAnsi="Times New Roman" w:cs="Times New Roman"/>
        </w:rPr>
        <w:t>Closing the infrastructure gap — Canada's single largest AI weakness — would move Canada from 17th toward a projected top-12 composite AI ranking among the 36 countries analyzed in Part 1. Redirecting investment to surplus-capacity provinces would relieve grid pressure on Alberta and Ontario, distribute the economic benefits of data center construction to regions that currently receive none, and convert stranded provincial energy assets into a national competitive advantage: Manitoba and Newfoundland currently export surplus clean electricity to American utilities, while Canada imports the compute capacity that electricity could power domestically.</w:t>
      </w:r>
    </w:p>
    <w:p w14:paraId="3184DFA9" w14:textId="77777777" w:rsidR="00825D6E" w:rsidRDefault="00825D6E">
      <w:pPr>
        <w:widowControl w:val="0"/>
        <w:spacing w:before="100" w:after="40" w:line="240" w:lineRule="auto"/>
        <w:rPr>
          <w:rFonts w:ascii="Times New Roman" w:eastAsia="Times New Roman" w:hAnsi="Times New Roman" w:cs="Times New Roman"/>
        </w:rPr>
      </w:pPr>
    </w:p>
    <w:p w14:paraId="51852478" w14:textId="77777777" w:rsidR="00825D6E" w:rsidRDefault="00000000">
      <w:pPr>
        <w:widowControl w:val="0"/>
        <w:spacing w:before="100" w:after="40" w:line="240" w:lineRule="auto"/>
        <w:rPr>
          <w:rFonts w:ascii="Times New Roman" w:eastAsia="Times New Roman" w:hAnsi="Times New Roman" w:cs="Times New Roman"/>
        </w:rPr>
      </w:pPr>
      <w:r>
        <w:rPr>
          <w:rFonts w:ascii="Times New Roman" w:eastAsia="Times New Roman" w:hAnsi="Times New Roman" w:cs="Times New Roman"/>
        </w:rPr>
        <w:t>However, expanding and better allocating compute infrastructure alone is not sufficient to ensure that Canada captures the full economic benefits of AI. Even with improved access to compute, Canadian firms may still struggle to scale and commercialize their innovations domestically.</w:t>
      </w:r>
    </w:p>
    <w:p w14:paraId="7BD4F3C5" w14:textId="77777777" w:rsidR="00825D6E" w:rsidRDefault="00825D6E">
      <w:pPr>
        <w:rPr>
          <w:rFonts w:ascii="Times New Roman" w:eastAsia="Times New Roman" w:hAnsi="Times New Roman" w:cs="Times New Roman"/>
        </w:rPr>
      </w:pPr>
    </w:p>
    <w:p w14:paraId="3398C726" w14:textId="77777777" w:rsidR="00825D6E" w:rsidRDefault="00000000">
      <w:pPr>
        <w:pStyle w:val="Heading2"/>
        <w:keepNext w:val="0"/>
        <w:keepLines w:val="0"/>
        <w:spacing w:after="80"/>
        <w:rPr>
          <w:rFonts w:ascii="Times New Roman" w:eastAsia="Times New Roman" w:hAnsi="Times New Roman" w:cs="Times New Roman"/>
          <w:b/>
          <w:bCs/>
          <w:sz w:val="22"/>
          <w:szCs w:val="22"/>
        </w:rPr>
      </w:pPr>
      <w:bookmarkStart w:id="14" w:name="_gtpgquxkwaaz" w:colFirst="0" w:colLast="0"/>
      <w:bookmarkEnd w:id="14"/>
      <w:r>
        <w:rPr>
          <w:rFonts w:ascii="Times New Roman" w:eastAsia="Times New Roman" w:hAnsi="Times New Roman" w:cs="Times New Roman"/>
          <w:b/>
          <w:bCs/>
          <w:sz w:val="22"/>
          <w:szCs w:val="22"/>
        </w:rPr>
        <w:lastRenderedPageBreak/>
        <w:t>2.3 Support the commercialization of indigenous Canadian AI companies through targeted AI tax credits</w:t>
      </w:r>
    </w:p>
    <w:p w14:paraId="071CDCF1" w14:textId="77777777" w:rsidR="00825D6E" w:rsidRDefault="00000000">
      <w:pPr>
        <w:spacing w:before="240" w:after="240" w:line="240" w:lineRule="auto"/>
        <w:jc w:val="both"/>
        <w:rPr>
          <w:rFonts w:ascii="Times New Roman" w:eastAsia="Times New Roman" w:hAnsi="Times New Roman" w:cs="Times New Roman"/>
        </w:rPr>
      </w:pPr>
      <w:r>
        <w:rPr>
          <w:rFonts w:ascii="Times New Roman" w:eastAsia="Times New Roman" w:hAnsi="Times New Roman" w:cs="Times New Roman"/>
        </w:rPr>
        <w:t>Despite Canada’s strong foundation in AI research and talent development, a significant commercialization gap remains. The key challenge is not the generation of innovation, but the ability to translate it into domestic products, revenue, and industry growth.</w:t>
      </w:r>
    </w:p>
    <w:p w14:paraId="7954BEBF" w14:textId="77777777" w:rsidR="00825D6E" w:rsidRDefault="00000000">
      <w:pPr>
        <w:spacing w:before="240" w:after="240" w:line="240" w:lineRule="auto"/>
        <w:jc w:val="both"/>
        <w:rPr>
          <w:rFonts w:ascii="Times New Roman" w:eastAsia="Times New Roman" w:hAnsi="Times New Roman" w:cs="Times New Roman"/>
        </w:rPr>
      </w:pPr>
      <w:r>
        <w:rPr>
          <w:rFonts w:ascii="Times New Roman" w:eastAsia="Times New Roman" w:hAnsi="Times New Roman" w:cs="Times New Roman"/>
        </w:rPr>
        <w:t>Canadian AI firms face three main barriers: high costs of compute and deployment, limited financial support during early commercialization stages, and the tendency for economic value to be captured by foreign platforms. More fundamentally, constrained access to affordable domestic compute infrastructure continues to limit firms’ ability to scale within Canada.</w:t>
      </w:r>
    </w:p>
    <w:p w14:paraId="4326A43E" w14:textId="77777777" w:rsidR="00825D6E" w:rsidRDefault="00000000">
      <w:pPr>
        <w:spacing w:before="240" w:after="240" w:line="240" w:lineRule="auto"/>
        <w:jc w:val="both"/>
        <w:rPr>
          <w:rFonts w:ascii="Times New Roman" w:eastAsia="Times New Roman" w:hAnsi="Times New Roman" w:cs="Times New Roman"/>
        </w:rPr>
      </w:pPr>
      <w:r>
        <w:rPr>
          <w:rFonts w:ascii="Times New Roman" w:eastAsia="Times New Roman" w:hAnsi="Times New Roman" w:cs="Times New Roman"/>
        </w:rPr>
        <w:t>To address this gap, we propose that the federal government introduce a targeted AI Commercialization Tax Credit for Canadian AI enterprises. The policy should not be designed as a broad, untargeted subsidy, but as a conditional, targeted, and measurable tax incentive. Specifically, the tax credit should prioritize companies registered in Canada, with primary R&amp;D or product teams located domestically, and whose core AI products are developed or deployed in Canada. Eligible expenditures may include AI model development and testing, cloud compute usage, data governance and compliance, pilot deployment, and high-skilled labor directly linked to commercialization activities. Compared to one-time grants, tax credits incentivize upfront private investment and align more closely with the lifecycle of commercial projects.</w:t>
      </w:r>
    </w:p>
    <w:p w14:paraId="3C77A5EE" w14:textId="77777777" w:rsidR="00825D6E" w:rsidRDefault="00000000">
      <w:pPr>
        <w:spacing w:before="240" w:after="240" w:line="240" w:lineRule="auto"/>
        <w:jc w:val="both"/>
        <w:rPr>
          <w:rFonts w:ascii="Times New Roman" w:eastAsia="Times New Roman" w:hAnsi="Times New Roman" w:cs="Times New Roman"/>
        </w:rPr>
      </w:pPr>
      <w:r>
        <w:rPr>
          <w:rFonts w:ascii="Times New Roman" w:eastAsia="Times New Roman" w:hAnsi="Times New Roman" w:cs="Times New Roman"/>
        </w:rPr>
        <w:t>In terms of policy design, we recommend a 3-year pilot program (2026–2028). Eligible small and medium-sized enterprises would receive a 20% refundable tax credit, while larger firms would receive a 10% non-refundable tax credit. These rates are intentionally set below existing SR&amp;ED levels to avoid duplication and to specifically target the commercialization stage of the innovation lifecycle.[3] This structure prioritizes support for firms with limited cash flow while preventing disproportionate benefits to large incumbents. Additional eligibility criteria may include requiring firms to demonstrate that their AI products have reached pilot, commercial launch, or verified client adoption stages, ensuring that support is tied to commercialization outcomes rather than general R&amp;D spending.</w:t>
      </w:r>
    </w:p>
    <w:p w14:paraId="55257945" w14:textId="77777777" w:rsidR="00825D6E" w:rsidRDefault="00000000">
      <w:pPr>
        <w:spacing w:before="240" w:after="240" w:line="240" w:lineRule="auto"/>
        <w:jc w:val="both"/>
        <w:rPr>
          <w:rFonts w:ascii="Times New Roman" w:eastAsia="Times New Roman" w:hAnsi="Times New Roman" w:cs="Times New Roman"/>
        </w:rPr>
      </w:pPr>
      <w:r>
        <w:rPr>
          <w:rFonts w:ascii="Times New Roman" w:eastAsia="Times New Roman" w:hAnsi="Times New Roman" w:cs="Times New Roman"/>
        </w:rPr>
        <w:t>Implementation would involve coordination between the Department of Finance Canada, ISED, and the CRA. The Department of Finance would oversee tax policy design, ISED would define eligibility and coordinate industry alignment, and the CRA would administer claims and compliance. The estimated fiscal cost is approximately CAD 600 million over three years (about CAD 200 million annually). This can be financed through reallocation within existing innovation and industrial support programs, combined with a capped tax expenditure framework to ensure fiscal discipline.[4]</w:t>
      </w:r>
    </w:p>
    <w:p w14:paraId="19AA35CB" w14:textId="77777777" w:rsidR="00825D6E" w:rsidRDefault="00000000">
      <w:pPr>
        <w:spacing w:before="240" w:after="240" w:line="240" w:lineRule="auto"/>
        <w:jc w:val="both"/>
        <w:rPr>
          <w:rFonts w:ascii="Times New Roman" w:eastAsia="Times New Roman" w:hAnsi="Times New Roman" w:cs="Times New Roman"/>
        </w:rPr>
      </w:pPr>
      <w:r>
        <w:rPr>
          <w:rFonts w:ascii="Times New Roman" w:eastAsia="Times New Roman" w:hAnsi="Times New Roman" w:cs="Times New Roman"/>
        </w:rPr>
        <w:t>Ultimately, the central challenge is not generating AI innovation, but translating it into domestic economic value. This policy provides a targeted, scalable, and fiscally responsible mechanism to support that transition. The proposed success metric is to achieve a 30% increase in the number of Canadian AI firms successfully commercializing AI products by 2028.</w:t>
      </w:r>
    </w:p>
    <w:p w14:paraId="31DE6B8A" w14:textId="77777777" w:rsidR="00825D6E" w:rsidRDefault="00825D6E">
      <w:pPr>
        <w:rPr>
          <w:rFonts w:ascii="Times New Roman" w:eastAsia="Times New Roman" w:hAnsi="Times New Roman" w:cs="Times New Roman"/>
        </w:rPr>
      </w:pPr>
    </w:p>
    <w:p w14:paraId="3CD048DA" w14:textId="77777777" w:rsidR="00825D6E" w:rsidRDefault="00825D6E">
      <w:pPr>
        <w:rPr>
          <w:rFonts w:ascii="Times New Roman" w:eastAsia="Times New Roman" w:hAnsi="Times New Roman" w:cs="Times New Roman"/>
        </w:rPr>
      </w:pPr>
    </w:p>
    <w:p w14:paraId="1D87A41F" w14:textId="77777777" w:rsidR="00825D6E" w:rsidRDefault="00825D6E">
      <w:pPr>
        <w:spacing w:before="240" w:after="240"/>
        <w:rPr>
          <w:rFonts w:ascii="Times New Roman" w:eastAsia="Times New Roman" w:hAnsi="Times New Roman" w:cs="Times New Roman"/>
          <w:b/>
          <w:bCs/>
        </w:rPr>
      </w:pPr>
    </w:p>
    <w:p w14:paraId="77AFF354" w14:textId="77777777" w:rsidR="00825D6E" w:rsidRDefault="00825D6E">
      <w:pPr>
        <w:spacing w:before="240" w:after="240"/>
        <w:rPr>
          <w:rFonts w:ascii="Times New Roman" w:eastAsia="Times New Roman" w:hAnsi="Times New Roman" w:cs="Times New Roman"/>
          <w:b/>
          <w:bCs/>
        </w:rPr>
      </w:pPr>
    </w:p>
    <w:p w14:paraId="3416D4F4" w14:textId="77777777" w:rsidR="00825D6E" w:rsidRDefault="00825D6E">
      <w:pPr>
        <w:spacing w:before="240" w:after="240"/>
        <w:rPr>
          <w:rFonts w:ascii="Times New Roman" w:eastAsia="Times New Roman" w:hAnsi="Times New Roman" w:cs="Times New Roman"/>
        </w:rPr>
      </w:pPr>
    </w:p>
    <w:p w14:paraId="6AF45CCB" w14:textId="77777777" w:rsidR="00825D6E" w:rsidRDefault="00000000">
      <w:pPr>
        <w:spacing w:before="240" w:after="240"/>
        <w:rPr>
          <w:rFonts w:ascii="Times New Roman" w:eastAsia="Times New Roman" w:hAnsi="Times New Roman" w:cs="Times New Roman"/>
          <w:b/>
          <w:bCs/>
        </w:rPr>
      </w:pPr>
      <w:r>
        <w:rPr>
          <w:rFonts w:ascii="Times New Roman" w:eastAsia="Times New Roman" w:hAnsi="Times New Roman" w:cs="Times New Roman"/>
          <w:b/>
          <w:bCs/>
        </w:rPr>
        <w:lastRenderedPageBreak/>
        <w:t>References</w:t>
      </w:r>
    </w:p>
    <w:p w14:paraId="3B98D4E0" w14:textId="77777777" w:rsidR="00825D6E" w:rsidRDefault="00000000">
      <w:pPr>
        <w:spacing w:after="40"/>
        <w:rPr>
          <w:rFonts w:ascii="Times New Roman" w:eastAsia="Times New Roman" w:hAnsi="Times New Roman" w:cs="Times New Roman"/>
        </w:rPr>
      </w:pPr>
      <w:r>
        <w:rPr>
          <w:rFonts w:ascii="Times New Roman" w:eastAsia="Times New Roman" w:hAnsi="Times New Roman" w:cs="Times New Roman"/>
        </w:rPr>
        <w:t xml:space="preserve">[1] Stanford University HAI, “Global AI Vibrancy Tool,” 2024. [Online]. Available: </w:t>
      </w:r>
      <w:hyperlink r:id="rId6">
        <w:r>
          <w:rPr>
            <w:rFonts w:ascii="Times New Roman" w:eastAsia="Times New Roman" w:hAnsi="Times New Roman" w:cs="Times New Roman"/>
            <w:color w:val="1155CC"/>
            <w:u w:val="single"/>
          </w:rPr>
          <w:t>https://aiindex.stanford.edu/vibrancy/</w:t>
        </w:r>
      </w:hyperlink>
    </w:p>
    <w:p w14:paraId="712B7C66" w14:textId="77777777" w:rsidR="00825D6E" w:rsidRDefault="00825D6E">
      <w:pPr>
        <w:spacing w:after="40"/>
        <w:rPr>
          <w:rFonts w:ascii="Times New Roman" w:eastAsia="Times New Roman" w:hAnsi="Times New Roman" w:cs="Times New Roman"/>
        </w:rPr>
      </w:pPr>
    </w:p>
    <w:p w14:paraId="2C504BE4" w14:textId="77777777" w:rsidR="00825D6E" w:rsidRDefault="00000000">
      <w:pPr>
        <w:spacing w:after="40"/>
        <w:rPr>
          <w:rFonts w:ascii="Times New Roman" w:eastAsia="Times New Roman" w:hAnsi="Times New Roman" w:cs="Times New Roman"/>
        </w:rPr>
      </w:pPr>
      <w:r>
        <w:rPr>
          <w:rFonts w:ascii="Times New Roman" w:eastAsia="Times New Roman" w:hAnsi="Times New Roman" w:cs="Times New Roman"/>
        </w:rPr>
        <w:t>[2] C.D. Howe Institute, “The Missing Pillar of Canada’s AI Strategy: Data Supply Chains,” Feb. 2026.</w:t>
      </w:r>
    </w:p>
    <w:p w14:paraId="1F7C46F7" w14:textId="77777777" w:rsidR="00825D6E" w:rsidRDefault="00000000">
      <w:pPr>
        <w:spacing w:after="40"/>
        <w:rPr>
          <w:rFonts w:ascii="Times New Roman" w:eastAsia="Times New Roman" w:hAnsi="Times New Roman" w:cs="Times New Roman"/>
        </w:rPr>
      </w:pPr>
      <w:hyperlink r:id="rId7">
        <w:r>
          <w:rPr>
            <w:rFonts w:ascii="Times New Roman" w:eastAsia="Times New Roman" w:hAnsi="Times New Roman" w:cs="Times New Roman"/>
            <w:color w:val="1155CC"/>
            <w:u w:val="single"/>
          </w:rPr>
          <w:t>https://cdhowe.org/wp-content/uploads/2026/02/Commentary_706.pdf</w:t>
        </w:r>
      </w:hyperlink>
    </w:p>
    <w:p w14:paraId="7DBB4319" w14:textId="77777777" w:rsidR="00825D6E" w:rsidRDefault="00825D6E">
      <w:pPr>
        <w:spacing w:after="40"/>
        <w:rPr>
          <w:rFonts w:ascii="Times New Roman" w:eastAsia="Times New Roman" w:hAnsi="Times New Roman" w:cs="Times New Roman"/>
        </w:rPr>
      </w:pPr>
    </w:p>
    <w:p w14:paraId="140A2054" w14:textId="77777777" w:rsidR="00825D6E" w:rsidRDefault="00000000">
      <w:pPr>
        <w:spacing w:after="40"/>
        <w:rPr>
          <w:rFonts w:ascii="Times New Roman" w:eastAsia="Times New Roman" w:hAnsi="Times New Roman" w:cs="Times New Roman"/>
        </w:rPr>
      </w:pPr>
      <w:r>
        <w:rPr>
          <w:rFonts w:ascii="Times New Roman" w:eastAsia="Times New Roman" w:hAnsi="Times New Roman" w:cs="Times New Roman"/>
        </w:rPr>
        <w:t>[3] The Dais, Toronto Metropolitan University, “Can Canada Compute? Policy Options to Close Canada’s AI Compute Gap,” Mar. 2024.</w:t>
      </w:r>
    </w:p>
    <w:p w14:paraId="6386EEEF" w14:textId="77777777" w:rsidR="00825D6E" w:rsidRDefault="00000000">
      <w:pPr>
        <w:spacing w:after="40"/>
        <w:rPr>
          <w:rFonts w:ascii="Times New Roman" w:eastAsia="Times New Roman" w:hAnsi="Times New Roman" w:cs="Times New Roman"/>
        </w:rPr>
      </w:pPr>
      <w:hyperlink r:id="rId8">
        <w:r>
          <w:rPr>
            <w:rFonts w:ascii="Times New Roman" w:eastAsia="Times New Roman" w:hAnsi="Times New Roman" w:cs="Times New Roman"/>
            <w:color w:val="1155CC"/>
            <w:u w:val="single"/>
          </w:rPr>
          <w:t>https://dais.ca/wp-content/uploads/2024/03/Can-Canada-Compute.pdf</w:t>
        </w:r>
      </w:hyperlink>
    </w:p>
    <w:p w14:paraId="4A893E69" w14:textId="77777777" w:rsidR="00825D6E" w:rsidRDefault="00825D6E">
      <w:pPr>
        <w:spacing w:after="40"/>
        <w:rPr>
          <w:rFonts w:ascii="Times New Roman" w:eastAsia="Times New Roman" w:hAnsi="Times New Roman" w:cs="Times New Roman"/>
        </w:rPr>
      </w:pPr>
    </w:p>
    <w:p w14:paraId="0E2C1817" w14:textId="77777777" w:rsidR="00825D6E" w:rsidRDefault="00000000">
      <w:pPr>
        <w:spacing w:after="40"/>
        <w:rPr>
          <w:rFonts w:ascii="Times New Roman" w:eastAsia="Times New Roman" w:hAnsi="Times New Roman" w:cs="Times New Roman"/>
        </w:rPr>
      </w:pPr>
      <w:r>
        <w:rPr>
          <w:rFonts w:ascii="Times New Roman" w:eastAsia="Times New Roman" w:hAnsi="Times New Roman" w:cs="Times New Roman"/>
        </w:rPr>
        <w:t>[</w:t>
      </w:r>
      <w:proofErr w:type="gramStart"/>
      <w:r>
        <w:rPr>
          <w:rFonts w:ascii="Times New Roman" w:eastAsia="Times New Roman" w:hAnsi="Times New Roman" w:cs="Times New Roman"/>
        </w:rPr>
        <w:t>4]Visual</w:t>
      </w:r>
      <w:proofErr w:type="gramEnd"/>
      <w:r>
        <w:rPr>
          <w:rFonts w:ascii="Times New Roman" w:eastAsia="Times New Roman" w:hAnsi="Times New Roman" w:cs="Times New Roman"/>
        </w:rPr>
        <w:t xml:space="preserve"> Capitalist. (2025, October 30). How much control China has over the world's critical minerals. Visual Capitalist.</w:t>
      </w:r>
    </w:p>
    <w:p w14:paraId="4CA4EAF1" w14:textId="77777777" w:rsidR="00825D6E" w:rsidRDefault="00000000">
      <w:pPr>
        <w:spacing w:after="40"/>
        <w:rPr>
          <w:rFonts w:ascii="Times New Roman" w:eastAsia="Times New Roman" w:hAnsi="Times New Roman" w:cs="Times New Roman"/>
        </w:rPr>
      </w:pPr>
      <w:hyperlink r:id="rId9">
        <w:r>
          <w:rPr>
            <w:rFonts w:ascii="Times New Roman" w:eastAsia="Times New Roman" w:hAnsi="Times New Roman" w:cs="Times New Roman"/>
            <w:color w:val="1155CC"/>
            <w:u w:val="single"/>
          </w:rPr>
          <w:t>https://elements.visualcapitalist.com/how-much-control-china-has-over-the-worlds-critical-minerals/</w:t>
        </w:r>
      </w:hyperlink>
    </w:p>
    <w:p w14:paraId="6DD60F6B" w14:textId="77777777" w:rsidR="00825D6E" w:rsidRDefault="00825D6E">
      <w:pPr>
        <w:spacing w:after="40"/>
        <w:rPr>
          <w:rFonts w:ascii="Times New Roman" w:eastAsia="Times New Roman" w:hAnsi="Times New Roman" w:cs="Times New Roman"/>
        </w:rPr>
      </w:pPr>
    </w:p>
    <w:p w14:paraId="481A5CFA" w14:textId="77777777" w:rsidR="00825D6E" w:rsidRDefault="00000000">
      <w:pPr>
        <w:rPr>
          <w:rFonts w:ascii="Times New Roman" w:eastAsia="Times New Roman" w:hAnsi="Times New Roman" w:cs="Times New Roman"/>
        </w:rPr>
      </w:pPr>
      <w:r>
        <w:rPr>
          <w:rFonts w:ascii="Times New Roman" w:eastAsia="Times New Roman" w:hAnsi="Times New Roman" w:cs="Times New Roman"/>
        </w:rPr>
        <w:t>[5] Visual Capitalist. (2025, December 23). China still dominates critical mineral refining in 2030. Visual Capitalist.</w:t>
      </w:r>
    </w:p>
    <w:p w14:paraId="366DCC3F" w14:textId="77777777" w:rsidR="00825D6E" w:rsidRDefault="00000000">
      <w:pPr>
        <w:rPr>
          <w:rFonts w:ascii="Times New Roman" w:eastAsia="Times New Roman" w:hAnsi="Times New Roman" w:cs="Times New Roman"/>
        </w:rPr>
      </w:pPr>
      <w:hyperlink r:id="rId10">
        <w:r>
          <w:rPr>
            <w:rFonts w:ascii="Times New Roman" w:eastAsia="Times New Roman" w:hAnsi="Times New Roman" w:cs="Times New Roman"/>
            <w:color w:val="1155CC"/>
            <w:u w:val="single"/>
          </w:rPr>
          <w:t>https://elements.visualcapitalist.com/china-still-dominates-critical-mineral-refining-in-2030/</w:t>
        </w:r>
      </w:hyperlink>
    </w:p>
    <w:p w14:paraId="2D41562B" w14:textId="77777777" w:rsidR="00825D6E" w:rsidRDefault="00825D6E">
      <w:pPr>
        <w:rPr>
          <w:rFonts w:ascii="Times New Roman" w:eastAsia="Times New Roman" w:hAnsi="Times New Roman" w:cs="Times New Roman"/>
        </w:rPr>
      </w:pPr>
    </w:p>
    <w:p w14:paraId="3E937BD3" w14:textId="77777777" w:rsidR="00825D6E" w:rsidRDefault="00000000">
      <w:pPr>
        <w:rPr>
          <w:rFonts w:ascii="Times New Roman" w:eastAsia="Times New Roman" w:hAnsi="Times New Roman" w:cs="Times New Roman"/>
        </w:rPr>
      </w:pPr>
      <w:r>
        <w:rPr>
          <w:rFonts w:ascii="Times New Roman" w:eastAsia="Times New Roman" w:hAnsi="Times New Roman" w:cs="Times New Roman"/>
        </w:rPr>
        <w:t>[6] Pillsbury Winthrop Shaw Pittman LLP. (2025, January 6). AI needs critical materials, fast! But from where? Gravel2Gavel.</w:t>
      </w:r>
    </w:p>
    <w:p w14:paraId="3B021D14" w14:textId="77777777" w:rsidR="00825D6E" w:rsidRDefault="00000000">
      <w:pPr>
        <w:rPr>
          <w:rFonts w:ascii="Times New Roman" w:eastAsia="Times New Roman" w:hAnsi="Times New Roman" w:cs="Times New Roman"/>
        </w:rPr>
      </w:pPr>
      <w:hyperlink r:id="rId11">
        <w:r>
          <w:rPr>
            <w:rFonts w:ascii="Times New Roman" w:eastAsia="Times New Roman" w:hAnsi="Times New Roman" w:cs="Times New Roman"/>
            <w:color w:val="1155CC"/>
            <w:u w:val="single"/>
          </w:rPr>
          <w:t>https://www.gravel2gavel.com/ai-critical-materials/</w:t>
        </w:r>
      </w:hyperlink>
    </w:p>
    <w:p w14:paraId="5B22506C" w14:textId="77777777" w:rsidR="00825D6E" w:rsidRDefault="00825D6E">
      <w:pPr>
        <w:rPr>
          <w:rFonts w:ascii="Times New Roman" w:eastAsia="Times New Roman" w:hAnsi="Times New Roman" w:cs="Times New Roman"/>
        </w:rPr>
      </w:pPr>
    </w:p>
    <w:p w14:paraId="4E741600" w14:textId="77777777" w:rsidR="00825D6E" w:rsidRDefault="00000000">
      <w:pPr>
        <w:rPr>
          <w:rFonts w:ascii="Times New Roman" w:eastAsia="Times New Roman" w:hAnsi="Times New Roman" w:cs="Times New Roman"/>
        </w:rPr>
      </w:pPr>
      <w:r>
        <w:rPr>
          <w:rFonts w:ascii="Times New Roman" w:eastAsia="Times New Roman" w:hAnsi="Times New Roman" w:cs="Times New Roman"/>
        </w:rPr>
        <w:t xml:space="preserve">[7] Invest in Canada. (n.d.). Critical minerals. Government of Canada. </w:t>
      </w:r>
      <w:hyperlink r:id="rId12">
        <w:r>
          <w:rPr>
            <w:rFonts w:ascii="Times New Roman" w:eastAsia="Times New Roman" w:hAnsi="Times New Roman" w:cs="Times New Roman"/>
            <w:color w:val="1155CC"/>
            <w:u w:val="single"/>
          </w:rPr>
          <w:t>https://www.investcanada.ca/industries/critical-minerals</w:t>
        </w:r>
      </w:hyperlink>
    </w:p>
    <w:p w14:paraId="567CE4E0" w14:textId="77777777" w:rsidR="00825D6E" w:rsidRDefault="00825D6E">
      <w:pPr>
        <w:rPr>
          <w:rFonts w:ascii="Times New Roman" w:eastAsia="Times New Roman" w:hAnsi="Times New Roman" w:cs="Times New Roman"/>
        </w:rPr>
      </w:pPr>
    </w:p>
    <w:p w14:paraId="10654E47" w14:textId="77777777" w:rsidR="00825D6E" w:rsidRDefault="00000000">
      <w:pPr>
        <w:rPr>
          <w:rFonts w:ascii="Times New Roman" w:eastAsia="Times New Roman" w:hAnsi="Times New Roman" w:cs="Times New Roman"/>
        </w:rPr>
      </w:pPr>
      <w:r>
        <w:rPr>
          <w:rFonts w:ascii="Times New Roman" w:eastAsia="Times New Roman" w:hAnsi="Times New Roman" w:cs="Times New Roman"/>
        </w:rPr>
        <w:t xml:space="preserve">[8] Royal Bank of Canada. (2026, February 27). Mine &amp; refine: Bridging Canada’s critical minerals capital gap. RBC Climate Action Institute. </w:t>
      </w:r>
      <w:hyperlink r:id="rId13">
        <w:r>
          <w:rPr>
            <w:rFonts w:ascii="Times New Roman" w:eastAsia="Times New Roman" w:hAnsi="Times New Roman" w:cs="Times New Roman"/>
            <w:color w:val="1155CC"/>
            <w:u w:val="single"/>
          </w:rPr>
          <w:t>https://www.rbc.com/en/thought-leadership/climate-action-institute/energy-reports/mine-refine-bridging-canadas-critical-minerals-capital-gap-2/</w:t>
        </w:r>
      </w:hyperlink>
    </w:p>
    <w:p w14:paraId="1978B8A9" w14:textId="77777777" w:rsidR="00825D6E" w:rsidRDefault="00825D6E">
      <w:pPr>
        <w:rPr>
          <w:rFonts w:ascii="Times New Roman" w:eastAsia="Times New Roman" w:hAnsi="Times New Roman" w:cs="Times New Roman"/>
        </w:rPr>
      </w:pPr>
    </w:p>
    <w:p w14:paraId="4750EE15" w14:textId="77777777" w:rsidR="00825D6E" w:rsidRDefault="00000000">
      <w:pPr>
        <w:rPr>
          <w:rFonts w:ascii="Times New Roman" w:eastAsia="Times New Roman" w:hAnsi="Times New Roman" w:cs="Times New Roman"/>
        </w:rPr>
      </w:pPr>
      <w:r>
        <w:rPr>
          <w:rFonts w:ascii="Times New Roman" w:eastAsia="Times New Roman" w:hAnsi="Times New Roman" w:cs="Times New Roman"/>
        </w:rPr>
        <w:t xml:space="preserve">[9] Desaulniers, E. (2026, March 2). Canada’s critical mineral moment: From resource wealth to industrial power. The Future Economy. </w:t>
      </w:r>
      <w:hyperlink r:id="rId14">
        <w:r>
          <w:rPr>
            <w:rFonts w:ascii="Times New Roman" w:eastAsia="Times New Roman" w:hAnsi="Times New Roman" w:cs="Times New Roman"/>
            <w:color w:val="1155CC"/>
            <w:u w:val="single"/>
          </w:rPr>
          <w:t>https://thefutureeconomy.ca/op-eds/canadas-critical-mineral-moment/</w:t>
        </w:r>
      </w:hyperlink>
    </w:p>
    <w:p w14:paraId="06CA686F" w14:textId="77777777" w:rsidR="00825D6E" w:rsidRDefault="00825D6E">
      <w:pPr>
        <w:rPr>
          <w:rFonts w:ascii="Times New Roman" w:eastAsia="Times New Roman" w:hAnsi="Times New Roman" w:cs="Times New Roman"/>
        </w:rPr>
      </w:pPr>
    </w:p>
    <w:p w14:paraId="1E1524C5" w14:textId="77777777" w:rsidR="00825D6E" w:rsidRDefault="00000000">
      <w:pPr>
        <w:rPr>
          <w:rFonts w:ascii="Times New Roman" w:eastAsia="Times New Roman" w:hAnsi="Times New Roman" w:cs="Times New Roman"/>
        </w:rPr>
      </w:pPr>
      <w:r>
        <w:rPr>
          <w:rFonts w:ascii="Times New Roman" w:eastAsia="Times New Roman" w:hAnsi="Times New Roman" w:cs="Times New Roman"/>
        </w:rPr>
        <w:t xml:space="preserve">[10] Natural Resources Canada. (2026, February 27). Canada’s critical minerals strategy: Progress update. Government of Canada. </w:t>
      </w:r>
      <w:hyperlink r:id="rId15">
        <w:r>
          <w:rPr>
            <w:rFonts w:ascii="Times New Roman" w:eastAsia="Times New Roman" w:hAnsi="Times New Roman" w:cs="Times New Roman"/>
            <w:color w:val="1155CC"/>
            <w:u w:val="single"/>
          </w:rPr>
          <w:t>https://www.canada.ca/en/campaign/critical-minerals-in-canada/canadas-critical-minerals-strategy/canadas-critical-minerals-strategy-progress-update.html</w:t>
        </w:r>
      </w:hyperlink>
    </w:p>
    <w:p w14:paraId="2C30671E" w14:textId="77777777" w:rsidR="00825D6E" w:rsidRDefault="00825D6E">
      <w:pPr>
        <w:rPr>
          <w:rFonts w:ascii="Times New Roman" w:eastAsia="Times New Roman" w:hAnsi="Times New Roman" w:cs="Times New Roman"/>
        </w:rPr>
      </w:pPr>
    </w:p>
    <w:p w14:paraId="57F0C3A9" w14:textId="77777777" w:rsidR="00825D6E" w:rsidRDefault="00000000">
      <w:pPr>
        <w:rPr>
          <w:rFonts w:ascii="Times New Roman" w:eastAsia="Times New Roman" w:hAnsi="Times New Roman" w:cs="Times New Roman"/>
        </w:rPr>
      </w:pPr>
      <w:r>
        <w:rPr>
          <w:rFonts w:ascii="Times New Roman" w:eastAsia="Times New Roman" w:hAnsi="Times New Roman" w:cs="Times New Roman"/>
        </w:rPr>
        <w:t>[11] Burton, T. R., Shaikh, A., &amp; Desai, M. (2023, November 3). U.S.-Canada critical mineral, EV battery, and semiconductor cross-border supply chain issues. Mintz.</w:t>
      </w:r>
    </w:p>
    <w:p w14:paraId="4A8F1B76" w14:textId="77777777" w:rsidR="00825D6E" w:rsidRDefault="00000000">
      <w:pPr>
        <w:rPr>
          <w:rFonts w:ascii="Times New Roman" w:eastAsia="Times New Roman" w:hAnsi="Times New Roman" w:cs="Times New Roman"/>
          <w:u w:val="single"/>
        </w:rPr>
      </w:pPr>
      <w:hyperlink r:id="rId16">
        <w:r>
          <w:rPr>
            <w:rFonts w:ascii="Times New Roman" w:eastAsia="Times New Roman" w:hAnsi="Times New Roman" w:cs="Times New Roman"/>
            <w:color w:val="1155CC"/>
            <w:u w:val="single"/>
          </w:rPr>
          <w:t>https://www.mintz.com/insights-center/viewpoints/2151/2023-11-03-us-canada-critical-mineral-ev-battery-and-semiconductor</w:t>
        </w:r>
      </w:hyperlink>
    </w:p>
    <w:p w14:paraId="6F1D5B60" w14:textId="77777777" w:rsidR="00825D6E" w:rsidRDefault="00825D6E">
      <w:pPr>
        <w:rPr>
          <w:rFonts w:ascii="Times New Roman" w:eastAsia="Times New Roman" w:hAnsi="Times New Roman" w:cs="Times New Roman"/>
          <w:u w:val="single"/>
        </w:rPr>
      </w:pPr>
    </w:p>
    <w:p w14:paraId="54476616" w14:textId="77777777" w:rsidR="00825D6E" w:rsidRDefault="00000000">
      <w:pPr>
        <w:rPr>
          <w:rFonts w:ascii="Times New Roman" w:eastAsia="Times New Roman" w:hAnsi="Times New Roman" w:cs="Times New Roman"/>
        </w:rPr>
      </w:pPr>
      <w:r>
        <w:rPr>
          <w:rFonts w:ascii="Times New Roman" w:eastAsia="Times New Roman" w:hAnsi="Times New Roman" w:cs="Times New Roman"/>
        </w:rPr>
        <w:t xml:space="preserve">[12] </w:t>
      </w:r>
      <w:proofErr w:type="spellStart"/>
      <w:r>
        <w:rPr>
          <w:rFonts w:ascii="Times New Roman" w:eastAsia="Times New Roman" w:hAnsi="Times New Roman" w:cs="Times New Roman"/>
        </w:rPr>
        <w:t>Merwat</w:t>
      </w:r>
      <w:proofErr w:type="spellEnd"/>
      <w:r>
        <w:rPr>
          <w:rFonts w:ascii="Times New Roman" w:eastAsia="Times New Roman" w:hAnsi="Times New Roman" w:cs="Times New Roman"/>
        </w:rPr>
        <w:t xml:space="preserve">, S. (2025, March 10). The new great game: How the race for critical minerals is shaping tech supremacy. RBC Thought Leadership. </w:t>
      </w:r>
      <w:hyperlink r:id="rId17">
        <w:r>
          <w:rPr>
            <w:rFonts w:ascii="Times New Roman" w:eastAsia="Times New Roman" w:hAnsi="Times New Roman" w:cs="Times New Roman"/>
            <w:color w:val="1155CC"/>
            <w:u w:val="single"/>
          </w:rPr>
          <w:t>https://www.rbc.com/en/thought-leadership/the-trade-hub/the-new-great-game-how-the-race-for-critical-minerals-is-shaping-tech-supremacy/</w:t>
        </w:r>
      </w:hyperlink>
    </w:p>
    <w:p w14:paraId="52244FB4" w14:textId="77777777" w:rsidR="00825D6E" w:rsidRDefault="00825D6E">
      <w:pPr>
        <w:rPr>
          <w:rFonts w:ascii="Times New Roman" w:eastAsia="Times New Roman" w:hAnsi="Times New Roman" w:cs="Times New Roman"/>
        </w:rPr>
      </w:pPr>
    </w:p>
    <w:p w14:paraId="561293F1" w14:textId="77777777" w:rsidR="00825D6E" w:rsidRDefault="00000000">
      <w:pPr>
        <w:rPr>
          <w:rFonts w:ascii="Times New Roman" w:eastAsia="Times New Roman" w:hAnsi="Times New Roman" w:cs="Times New Roman"/>
        </w:rPr>
      </w:pPr>
      <w:r>
        <w:rPr>
          <w:rFonts w:ascii="Times New Roman" w:eastAsia="Times New Roman" w:hAnsi="Times New Roman" w:cs="Times New Roman"/>
        </w:rPr>
        <w:t xml:space="preserve">[13] Rio Tinto. (2026, March 2). Rio Tinto advances gallium metal R&amp;D project in partnership with the Government of Canada. Rio Tinto. </w:t>
      </w:r>
      <w:hyperlink r:id="rId18">
        <w:r>
          <w:rPr>
            <w:rFonts w:ascii="Times New Roman" w:eastAsia="Times New Roman" w:hAnsi="Times New Roman" w:cs="Times New Roman"/>
            <w:color w:val="1155CC"/>
            <w:u w:val="single"/>
          </w:rPr>
          <w:t>https://www.riotinto.com/en/news/releases/2026/rio-tinto-advances-gallium-metal-rd-project-in-partnership-with-the-government-of-canada</w:t>
        </w:r>
      </w:hyperlink>
    </w:p>
    <w:p w14:paraId="21C25F71" w14:textId="77777777" w:rsidR="00825D6E" w:rsidRDefault="00825D6E">
      <w:pPr>
        <w:rPr>
          <w:rFonts w:ascii="Times New Roman" w:eastAsia="Times New Roman" w:hAnsi="Times New Roman" w:cs="Times New Roman"/>
        </w:rPr>
      </w:pPr>
    </w:p>
    <w:p w14:paraId="38D43231" w14:textId="77777777" w:rsidR="00825D6E" w:rsidRDefault="00000000">
      <w:pPr>
        <w:rPr>
          <w:rFonts w:ascii="Times New Roman" w:eastAsia="Times New Roman" w:hAnsi="Times New Roman" w:cs="Times New Roman"/>
        </w:rPr>
      </w:pPr>
      <w:r>
        <w:rPr>
          <w:rFonts w:ascii="Times New Roman" w:eastAsia="Times New Roman" w:hAnsi="Times New Roman" w:cs="Times New Roman"/>
        </w:rPr>
        <w:t xml:space="preserve">[14] Natural Resources Canada. (2025, February 24). Critical minerals value chains—Semiconductors. Government of Canada. </w:t>
      </w:r>
      <w:hyperlink r:id="rId19">
        <w:r>
          <w:rPr>
            <w:rFonts w:ascii="Times New Roman" w:eastAsia="Times New Roman" w:hAnsi="Times New Roman" w:cs="Times New Roman"/>
            <w:color w:val="1155CC"/>
            <w:u w:val="single"/>
          </w:rPr>
          <w:t>https://www.canada.ca/en/campaign/critical-minerals-in-canada/critical-minerals-an-opportunity-for-canada/semiconductors.html</w:t>
        </w:r>
      </w:hyperlink>
    </w:p>
    <w:p w14:paraId="3F9647DC" w14:textId="77777777" w:rsidR="00825D6E" w:rsidRDefault="00825D6E">
      <w:pPr>
        <w:rPr>
          <w:rFonts w:ascii="Times New Roman" w:eastAsia="Times New Roman" w:hAnsi="Times New Roman" w:cs="Times New Roman"/>
        </w:rPr>
      </w:pPr>
    </w:p>
    <w:p w14:paraId="034F9665" w14:textId="77777777" w:rsidR="00825D6E" w:rsidRDefault="00000000">
      <w:pPr>
        <w:spacing w:after="40" w:line="240" w:lineRule="auto"/>
        <w:rPr>
          <w:rFonts w:ascii="Times New Roman" w:eastAsia="Times New Roman" w:hAnsi="Times New Roman" w:cs="Times New Roman"/>
          <w:color w:val="101214"/>
        </w:rPr>
      </w:pPr>
      <w:r>
        <w:rPr>
          <w:rFonts w:ascii="Times New Roman" w:eastAsia="Times New Roman" w:hAnsi="Times New Roman" w:cs="Times New Roman"/>
        </w:rPr>
        <w:t>[15]</w:t>
      </w:r>
      <w:r>
        <w:rPr>
          <w:rFonts w:ascii="Times New Roman" w:eastAsia="Times New Roman" w:hAnsi="Times New Roman" w:cs="Times New Roman"/>
          <w:color w:val="101214"/>
        </w:rPr>
        <w:t xml:space="preserve"> Government of Canada. (2023). Scientific Research and Experimental Development (SR&amp;ED) Tax Incentive Program.</w:t>
      </w:r>
    </w:p>
    <w:p w14:paraId="1F496182" w14:textId="77777777" w:rsidR="00825D6E" w:rsidRDefault="00000000">
      <w:pPr>
        <w:spacing w:line="240" w:lineRule="auto"/>
        <w:jc w:val="both"/>
        <w:rPr>
          <w:rFonts w:ascii="Times New Roman" w:eastAsia="Times New Roman" w:hAnsi="Times New Roman" w:cs="Times New Roman"/>
        </w:rPr>
      </w:pPr>
      <w:hyperlink r:id="rId20">
        <w:r>
          <w:rPr>
            <w:rFonts w:ascii="Times New Roman" w:eastAsia="Times New Roman" w:hAnsi="Times New Roman" w:cs="Times New Roman"/>
            <w:color w:val="1155CC"/>
            <w:u w:val="single"/>
          </w:rPr>
          <w:t>https://www.canada.ca/en/revenue-agency/services/scientific-research-experimental-development-tax-incentive-program.html</w:t>
        </w:r>
      </w:hyperlink>
    </w:p>
    <w:p w14:paraId="5D2E7046" w14:textId="77777777" w:rsidR="00825D6E" w:rsidRDefault="00825D6E">
      <w:pPr>
        <w:spacing w:line="240" w:lineRule="auto"/>
        <w:jc w:val="both"/>
        <w:rPr>
          <w:rFonts w:ascii="Times New Roman" w:eastAsia="Times New Roman" w:hAnsi="Times New Roman" w:cs="Times New Roman"/>
        </w:rPr>
      </w:pPr>
    </w:p>
    <w:p w14:paraId="5996192D" w14:textId="77777777" w:rsidR="00825D6E" w:rsidRDefault="00000000">
      <w:pPr>
        <w:spacing w:after="40" w:line="240" w:lineRule="auto"/>
        <w:rPr>
          <w:rFonts w:ascii="Times New Roman" w:eastAsia="Times New Roman" w:hAnsi="Times New Roman" w:cs="Times New Roman"/>
          <w:color w:val="101214"/>
        </w:rPr>
      </w:pPr>
      <w:r>
        <w:rPr>
          <w:rFonts w:ascii="Times New Roman" w:eastAsia="Times New Roman" w:hAnsi="Times New Roman" w:cs="Times New Roman"/>
        </w:rPr>
        <w:t>[</w:t>
      </w:r>
      <w:proofErr w:type="gramStart"/>
      <w:r>
        <w:rPr>
          <w:rFonts w:ascii="Times New Roman" w:eastAsia="Times New Roman" w:hAnsi="Times New Roman" w:cs="Times New Roman"/>
        </w:rPr>
        <w:t>16]</w:t>
      </w:r>
      <w:r>
        <w:rPr>
          <w:rFonts w:ascii="Times New Roman" w:eastAsia="Times New Roman" w:hAnsi="Times New Roman" w:cs="Times New Roman"/>
          <w:color w:val="101214"/>
        </w:rPr>
        <w:t>Department</w:t>
      </w:r>
      <w:proofErr w:type="gramEnd"/>
      <w:r>
        <w:rPr>
          <w:rFonts w:ascii="Times New Roman" w:eastAsia="Times New Roman" w:hAnsi="Times New Roman" w:cs="Times New Roman"/>
          <w:color w:val="101214"/>
        </w:rPr>
        <w:t xml:space="preserve"> of Finance Canada. (2026). Report on federal tax expenditures: Concepts, estimates and evaluations 2026.</w:t>
      </w:r>
    </w:p>
    <w:p w14:paraId="6E50B4D4" w14:textId="77777777" w:rsidR="00825D6E" w:rsidRDefault="00000000">
      <w:pPr>
        <w:spacing w:line="240" w:lineRule="auto"/>
        <w:jc w:val="both"/>
        <w:rPr>
          <w:rFonts w:ascii="Times New Roman" w:eastAsia="Times New Roman" w:hAnsi="Times New Roman" w:cs="Times New Roman"/>
        </w:rPr>
      </w:pPr>
      <w:hyperlink r:id="rId21">
        <w:r>
          <w:rPr>
            <w:rFonts w:ascii="Times New Roman" w:eastAsia="Times New Roman" w:hAnsi="Times New Roman" w:cs="Times New Roman"/>
            <w:color w:val="1155CC"/>
            <w:u w:val="single"/>
          </w:rPr>
          <w:t>https://www.canada.ca/content/dam/fin/publications/taxexp-depfisc/2026/taxexp-depfisc-26-eng.pdf</w:t>
        </w:r>
      </w:hyperlink>
    </w:p>
    <w:p w14:paraId="29360EEB" w14:textId="77777777" w:rsidR="00825D6E" w:rsidRDefault="00825D6E">
      <w:pPr>
        <w:spacing w:line="240" w:lineRule="auto"/>
        <w:jc w:val="both"/>
        <w:rPr>
          <w:rFonts w:ascii="Times New Roman" w:eastAsia="Times New Roman" w:hAnsi="Times New Roman" w:cs="Times New Roman"/>
        </w:rPr>
      </w:pPr>
    </w:p>
    <w:p w14:paraId="19E72869" w14:textId="77777777" w:rsidR="00825D6E" w:rsidRDefault="00000000">
      <w:pPr>
        <w:widowControl w:val="0"/>
        <w:spacing w:after="10" w:line="220" w:lineRule="auto"/>
        <w:ind w:left="300"/>
        <w:rPr>
          <w:rFonts w:ascii="Times New Roman" w:eastAsia="Times New Roman" w:hAnsi="Times New Roman" w:cs="Times New Roman"/>
        </w:rPr>
      </w:pPr>
      <w:r>
        <w:rPr>
          <w:rFonts w:ascii="Times New Roman" w:eastAsia="Times New Roman" w:hAnsi="Times New Roman" w:cs="Times New Roman"/>
        </w:rPr>
        <w:t xml:space="preserve">[17] ISED. Canadian Sovereign AI Compute Strategy. December 2024. </w:t>
      </w:r>
    </w:p>
    <w:p w14:paraId="54061238" w14:textId="77777777" w:rsidR="00825D6E" w:rsidRDefault="00000000">
      <w:pPr>
        <w:widowControl w:val="0"/>
        <w:spacing w:after="10" w:line="220" w:lineRule="auto"/>
        <w:ind w:left="300"/>
        <w:rPr>
          <w:rFonts w:ascii="Times New Roman" w:eastAsia="Times New Roman" w:hAnsi="Times New Roman" w:cs="Times New Roman"/>
        </w:rPr>
      </w:pPr>
      <w:hyperlink r:id="rId22">
        <w:r>
          <w:rPr>
            <w:rFonts w:ascii="Times New Roman" w:eastAsia="Times New Roman" w:hAnsi="Times New Roman" w:cs="Times New Roman"/>
            <w:color w:val="1155CC"/>
            <w:u w:val="single"/>
          </w:rPr>
          <w:t>https://ised-isde.canada.ca/site/ised/en/canadian-sovereign-ai-compute-strategy</w:t>
        </w:r>
      </w:hyperlink>
    </w:p>
    <w:p w14:paraId="07F5D287" w14:textId="77777777" w:rsidR="00825D6E" w:rsidRDefault="00825D6E">
      <w:pPr>
        <w:widowControl w:val="0"/>
        <w:spacing w:after="10" w:line="220" w:lineRule="auto"/>
        <w:rPr>
          <w:rFonts w:ascii="Times New Roman" w:eastAsia="Times New Roman" w:hAnsi="Times New Roman" w:cs="Times New Roman"/>
        </w:rPr>
      </w:pPr>
    </w:p>
    <w:p w14:paraId="7C9A32E5" w14:textId="77777777" w:rsidR="00825D6E" w:rsidRDefault="00000000">
      <w:pPr>
        <w:widowControl w:val="0"/>
        <w:spacing w:after="10" w:line="220" w:lineRule="auto"/>
        <w:ind w:left="300"/>
        <w:rPr>
          <w:rFonts w:ascii="Times New Roman" w:eastAsia="Times New Roman" w:hAnsi="Times New Roman" w:cs="Times New Roman"/>
        </w:rPr>
      </w:pPr>
      <w:r>
        <w:rPr>
          <w:rFonts w:ascii="Times New Roman" w:eastAsia="Times New Roman" w:hAnsi="Times New Roman" w:cs="Times New Roman"/>
        </w:rPr>
        <w:t xml:space="preserve">[18] Department of Finance Canada. 2024 Fall Economic Statement. December 16, 2024. </w:t>
      </w:r>
    </w:p>
    <w:p w14:paraId="429F81B0" w14:textId="77777777" w:rsidR="00825D6E" w:rsidRDefault="00000000">
      <w:pPr>
        <w:widowControl w:val="0"/>
        <w:spacing w:after="10" w:line="220" w:lineRule="auto"/>
        <w:ind w:left="300"/>
        <w:rPr>
          <w:rFonts w:ascii="Times New Roman" w:eastAsia="Times New Roman" w:hAnsi="Times New Roman" w:cs="Times New Roman"/>
        </w:rPr>
      </w:pPr>
      <w:hyperlink r:id="rId23">
        <w:r>
          <w:rPr>
            <w:rFonts w:ascii="Times New Roman" w:eastAsia="Times New Roman" w:hAnsi="Times New Roman" w:cs="Times New Roman"/>
            <w:color w:val="1155CC"/>
            <w:u w:val="single"/>
          </w:rPr>
          <w:t>https://www.budget.canada.ca/update-miseajour/2024/home-accueil-en.html?utm_campaign=fin-fin-update-miseajour-24-25&amp;utm_medium=vanity-url&amp;utm_source=canada-ca_fall-economic-statement</w:t>
        </w:r>
      </w:hyperlink>
    </w:p>
    <w:p w14:paraId="7C3F1892" w14:textId="77777777" w:rsidR="00825D6E" w:rsidRDefault="00825D6E">
      <w:pPr>
        <w:widowControl w:val="0"/>
        <w:spacing w:after="10" w:line="220" w:lineRule="auto"/>
        <w:ind w:left="300"/>
        <w:rPr>
          <w:rFonts w:ascii="Times New Roman" w:eastAsia="Times New Roman" w:hAnsi="Times New Roman" w:cs="Times New Roman"/>
        </w:rPr>
      </w:pPr>
    </w:p>
    <w:p w14:paraId="1B9E9EDD" w14:textId="77777777" w:rsidR="00825D6E" w:rsidRDefault="00000000">
      <w:pPr>
        <w:widowControl w:val="0"/>
        <w:spacing w:after="10" w:line="220" w:lineRule="auto"/>
        <w:ind w:left="300"/>
        <w:rPr>
          <w:rFonts w:ascii="Times New Roman" w:eastAsia="Times New Roman" w:hAnsi="Times New Roman" w:cs="Times New Roman"/>
        </w:rPr>
      </w:pPr>
      <w:r>
        <w:rPr>
          <w:rFonts w:ascii="Times New Roman" w:eastAsia="Times New Roman" w:hAnsi="Times New Roman" w:cs="Times New Roman"/>
        </w:rPr>
        <w:t>[19] Torys LLP. Catalyzing AI Infrastructure: Opportunities with the Canadian Sovereign AI Compute Strategy. December 2024.</w:t>
      </w:r>
    </w:p>
    <w:p w14:paraId="2F4147A6" w14:textId="77777777" w:rsidR="00825D6E" w:rsidRDefault="00000000">
      <w:pPr>
        <w:widowControl w:val="0"/>
        <w:spacing w:after="10" w:line="220" w:lineRule="auto"/>
        <w:ind w:left="300"/>
        <w:rPr>
          <w:rFonts w:ascii="Times New Roman" w:eastAsia="Times New Roman" w:hAnsi="Times New Roman" w:cs="Times New Roman"/>
        </w:rPr>
      </w:pPr>
      <w:hyperlink r:id="rId24">
        <w:r>
          <w:rPr>
            <w:rFonts w:ascii="Times New Roman" w:eastAsia="Times New Roman" w:hAnsi="Times New Roman" w:cs="Times New Roman"/>
            <w:color w:val="1155CC"/>
            <w:u w:val="single"/>
          </w:rPr>
          <w:t>https://www.torys.com/our-latest-thinking/publications/2024/12/opportunities-with-canadian-sovereign-ai-compute-strategy-and-2024-fall-economic-statement</w:t>
        </w:r>
      </w:hyperlink>
    </w:p>
    <w:p w14:paraId="76666A17" w14:textId="77777777" w:rsidR="00825D6E" w:rsidRDefault="00825D6E">
      <w:pPr>
        <w:widowControl w:val="0"/>
        <w:spacing w:after="10" w:line="220" w:lineRule="auto"/>
        <w:ind w:left="300"/>
        <w:rPr>
          <w:rFonts w:ascii="Times New Roman" w:eastAsia="Times New Roman" w:hAnsi="Times New Roman" w:cs="Times New Roman"/>
        </w:rPr>
      </w:pPr>
    </w:p>
    <w:p w14:paraId="5200FCCD" w14:textId="77777777" w:rsidR="00825D6E" w:rsidRDefault="00000000">
      <w:pPr>
        <w:widowControl w:val="0"/>
        <w:spacing w:after="10" w:line="220" w:lineRule="auto"/>
        <w:ind w:left="300"/>
        <w:rPr>
          <w:rFonts w:ascii="Times New Roman" w:eastAsia="Times New Roman" w:hAnsi="Times New Roman" w:cs="Times New Roman"/>
        </w:rPr>
      </w:pPr>
      <w:r>
        <w:rPr>
          <w:rFonts w:ascii="Times New Roman" w:eastAsia="Times New Roman" w:hAnsi="Times New Roman" w:cs="Times New Roman"/>
        </w:rPr>
        <w:t>[20] Cassels. Canada’s AI Compute Quest: Powering an AI Enabled Future. December 2024.</w:t>
      </w:r>
      <w:hyperlink r:id="rId25">
        <w:r>
          <w:rPr>
            <w:rFonts w:ascii="Times New Roman" w:eastAsia="Times New Roman" w:hAnsi="Times New Roman" w:cs="Times New Roman"/>
            <w:color w:val="1155CC"/>
            <w:u w:val="single"/>
          </w:rPr>
          <w:t>https://cassels.com/insights/canadas-ai-compute-quest-powering-an-ai-enabled-future/</w:t>
        </w:r>
      </w:hyperlink>
    </w:p>
    <w:p w14:paraId="0AEF1579" w14:textId="77777777" w:rsidR="00825D6E" w:rsidRDefault="00825D6E">
      <w:pPr>
        <w:widowControl w:val="0"/>
        <w:spacing w:after="10" w:line="220" w:lineRule="auto"/>
        <w:ind w:left="300"/>
        <w:rPr>
          <w:rFonts w:ascii="Times New Roman" w:eastAsia="Times New Roman" w:hAnsi="Times New Roman" w:cs="Times New Roman"/>
        </w:rPr>
      </w:pPr>
    </w:p>
    <w:p w14:paraId="111783FF" w14:textId="77777777" w:rsidR="00825D6E" w:rsidRDefault="00000000">
      <w:pPr>
        <w:widowControl w:val="0"/>
        <w:spacing w:after="10" w:line="220" w:lineRule="auto"/>
        <w:ind w:left="300"/>
        <w:rPr>
          <w:rFonts w:ascii="Times New Roman" w:eastAsia="Times New Roman" w:hAnsi="Times New Roman" w:cs="Times New Roman"/>
        </w:rPr>
      </w:pPr>
      <w:r>
        <w:rPr>
          <w:rFonts w:ascii="Times New Roman" w:eastAsia="Times New Roman" w:hAnsi="Times New Roman" w:cs="Times New Roman"/>
        </w:rPr>
        <w:t xml:space="preserve">[21] DC Byte. Canada Data Centre Market Spotlight. September 2025. </w:t>
      </w:r>
      <w:hyperlink r:id="rId26">
        <w:r>
          <w:rPr>
            <w:rFonts w:ascii="Times New Roman" w:eastAsia="Times New Roman" w:hAnsi="Times New Roman" w:cs="Times New Roman"/>
            <w:color w:val="1155CC"/>
            <w:u w:val="single"/>
          </w:rPr>
          <w:t>https://www.dcbyte.com/market-spotlights/canada-data-centre-market-spotlight-2025/</w:t>
        </w:r>
      </w:hyperlink>
    </w:p>
    <w:p w14:paraId="4E2F9A96" w14:textId="77777777" w:rsidR="00825D6E" w:rsidRDefault="00825D6E">
      <w:pPr>
        <w:widowControl w:val="0"/>
        <w:spacing w:after="10" w:line="220" w:lineRule="auto"/>
        <w:ind w:left="300"/>
        <w:rPr>
          <w:rFonts w:ascii="Times New Roman" w:eastAsia="Times New Roman" w:hAnsi="Times New Roman" w:cs="Times New Roman"/>
        </w:rPr>
      </w:pPr>
    </w:p>
    <w:p w14:paraId="134A5B3D" w14:textId="77777777" w:rsidR="00825D6E" w:rsidRDefault="00000000">
      <w:pPr>
        <w:widowControl w:val="0"/>
        <w:spacing w:after="10" w:line="220" w:lineRule="auto"/>
        <w:ind w:left="300"/>
        <w:rPr>
          <w:rFonts w:ascii="Times New Roman" w:eastAsia="Times New Roman" w:hAnsi="Times New Roman" w:cs="Times New Roman"/>
        </w:rPr>
      </w:pPr>
      <w:r>
        <w:rPr>
          <w:rFonts w:ascii="Times New Roman" w:eastAsia="Times New Roman" w:hAnsi="Times New Roman" w:cs="Times New Roman"/>
        </w:rPr>
        <w:t xml:space="preserve">[22] AESO. Large Load Integration Program — Phase I. June 2025. </w:t>
      </w:r>
      <w:hyperlink r:id="rId27">
        <w:r>
          <w:rPr>
            <w:rFonts w:ascii="Times New Roman" w:eastAsia="Times New Roman" w:hAnsi="Times New Roman" w:cs="Times New Roman"/>
            <w:color w:val="1155CC"/>
            <w:u w:val="single"/>
          </w:rPr>
          <w:t>https://www.aeso.ca/grid/connecting-to-the-grid/large-load-projects/</w:t>
        </w:r>
      </w:hyperlink>
    </w:p>
    <w:p w14:paraId="269AF879" w14:textId="77777777" w:rsidR="00825D6E" w:rsidRDefault="00825D6E">
      <w:pPr>
        <w:widowControl w:val="0"/>
        <w:spacing w:after="10" w:line="220" w:lineRule="auto"/>
        <w:ind w:left="300"/>
        <w:rPr>
          <w:rFonts w:ascii="Times New Roman" w:eastAsia="Times New Roman" w:hAnsi="Times New Roman" w:cs="Times New Roman"/>
        </w:rPr>
      </w:pPr>
    </w:p>
    <w:p w14:paraId="223AEE1C" w14:textId="77777777" w:rsidR="00825D6E" w:rsidRDefault="00000000">
      <w:pPr>
        <w:widowControl w:val="0"/>
        <w:spacing w:after="10" w:line="220" w:lineRule="auto"/>
        <w:ind w:left="300"/>
        <w:rPr>
          <w:rFonts w:ascii="Times New Roman" w:eastAsia="Times New Roman" w:hAnsi="Times New Roman" w:cs="Times New Roman"/>
        </w:rPr>
      </w:pPr>
      <w:r>
        <w:rPr>
          <w:rFonts w:ascii="Times New Roman" w:eastAsia="Times New Roman" w:hAnsi="Times New Roman" w:cs="Times New Roman"/>
        </w:rPr>
        <w:t>[23] TD Economics. Data Centers in a Grid Constrained World: Challenges and Opportunities for Canada. 2025.</w:t>
      </w:r>
      <w:hyperlink r:id="rId28">
        <w:r>
          <w:rPr>
            <w:rFonts w:ascii="Times New Roman" w:eastAsia="Times New Roman" w:hAnsi="Times New Roman" w:cs="Times New Roman"/>
            <w:color w:val="1155CC"/>
            <w:u w:val="single"/>
          </w:rPr>
          <w:t>https://economics.td.com/ca-data-centers-and-grid-constraints</w:t>
        </w:r>
      </w:hyperlink>
    </w:p>
    <w:p w14:paraId="49CD6BD5" w14:textId="77777777" w:rsidR="00825D6E" w:rsidRDefault="00825D6E">
      <w:pPr>
        <w:widowControl w:val="0"/>
        <w:spacing w:after="10" w:line="220" w:lineRule="auto"/>
        <w:ind w:left="300"/>
        <w:rPr>
          <w:rFonts w:ascii="Times New Roman" w:eastAsia="Times New Roman" w:hAnsi="Times New Roman" w:cs="Times New Roman"/>
        </w:rPr>
      </w:pPr>
    </w:p>
    <w:p w14:paraId="68AEA50A" w14:textId="77777777" w:rsidR="00825D6E" w:rsidRDefault="00000000">
      <w:pPr>
        <w:widowControl w:val="0"/>
        <w:spacing w:after="10" w:line="220" w:lineRule="auto"/>
        <w:ind w:left="300"/>
        <w:rPr>
          <w:rFonts w:ascii="Times New Roman" w:eastAsia="Times New Roman" w:hAnsi="Times New Roman" w:cs="Times New Roman"/>
        </w:rPr>
      </w:pPr>
      <w:r>
        <w:rPr>
          <w:rFonts w:ascii="Times New Roman" w:eastAsia="Times New Roman" w:hAnsi="Times New Roman" w:cs="Times New Roman"/>
        </w:rPr>
        <w:t>[24] Osler, Hoskin &amp; Harcourt LLP. Powering AI: Canada’s Evolving Electricity Grid Connection Policies. December 2025.</w:t>
      </w:r>
    </w:p>
    <w:p w14:paraId="0EFE6899" w14:textId="77777777" w:rsidR="00825D6E" w:rsidRDefault="00000000">
      <w:pPr>
        <w:widowControl w:val="0"/>
        <w:spacing w:after="10" w:line="220" w:lineRule="auto"/>
        <w:ind w:left="300"/>
        <w:rPr>
          <w:rFonts w:ascii="Times New Roman" w:eastAsia="Times New Roman" w:hAnsi="Times New Roman" w:cs="Times New Roman"/>
        </w:rPr>
      </w:pPr>
      <w:hyperlink r:id="rId29">
        <w:r>
          <w:rPr>
            <w:rFonts w:ascii="Times New Roman" w:eastAsia="Times New Roman" w:hAnsi="Times New Roman" w:cs="Times New Roman"/>
            <w:color w:val="1155CC"/>
            <w:u w:val="single"/>
          </w:rPr>
          <w:t>https://www.osler.com/en/insights/reports/2025-legal-outlook/powering-ai-canadas-evolving-electricity-grid-connection-policies/</w:t>
        </w:r>
      </w:hyperlink>
    </w:p>
    <w:p w14:paraId="50FF61A4" w14:textId="77777777" w:rsidR="00825D6E" w:rsidRDefault="00825D6E">
      <w:pPr>
        <w:widowControl w:val="0"/>
        <w:spacing w:after="10" w:line="220" w:lineRule="auto"/>
        <w:ind w:left="300"/>
        <w:rPr>
          <w:rFonts w:ascii="Times New Roman" w:eastAsia="Times New Roman" w:hAnsi="Times New Roman" w:cs="Times New Roman"/>
        </w:rPr>
      </w:pPr>
    </w:p>
    <w:p w14:paraId="7051A2EC" w14:textId="77777777" w:rsidR="00825D6E" w:rsidRDefault="00000000">
      <w:pPr>
        <w:widowControl w:val="0"/>
        <w:spacing w:after="10" w:line="220" w:lineRule="auto"/>
        <w:rPr>
          <w:rFonts w:ascii="Times New Roman" w:eastAsia="Times New Roman" w:hAnsi="Times New Roman" w:cs="Times New Roman"/>
        </w:rPr>
      </w:pPr>
      <w:r>
        <w:rPr>
          <w:rFonts w:ascii="Times New Roman" w:eastAsia="Times New Roman" w:hAnsi="Times New Roman" w:cs="Times New Roman"/>
        </w:rPr>
        <w:t>[25] Stikeman Elliott. Québec Government Adopts Bill 69. June 2025.</w:t>
      </w:r>
    </w:p>
    <w:p w14:paraId="06E4297B" w14:textId="77777777" w:rsidR="00825D6E" w:rsidRDefault="00000000">
      <w:pPr>
        <w:widowControl w:val="0"/>
        <w:spacing w:after="10" w:line="220" w:lineRule="auto"/>
        <w:ind w:left="300"/>
        <w:rPr>
          <w:rFonts w:ascii="Times New Roman" w:eastAsia="Times New Roman" w:hAnsi="Times New Roman" w:cs="Times New Roman"/>
        </w:rPr>
      </w:pPr>
      <w:hyperlink r:id="rId30">
        <w:r>
          <w:rPr>
            <w:rFonts w:ascii="Times New Roman" w:eastAsia="Times New Roman" w:hAnsi="Times New Roman" w:cs="Times New Roman"/>
            <w:color w:val="1155CC"/>
            <w:u w:val="single"/>
          </w:rPr>
          <w:t>https://stikeman.com/en-CA/kh/canadian-energy-law/2025/06/20/14/53/quebec-government-adopts-bill-69-to-modernize-energy-legislation</w:t>
        </w:r>
      </w:hyperlink>
    </w:p>
    <w:p w14:paraId="7A17FCF7" w14:textId="77777777" w:rsidR="00825D6E" w:rsidRDefault="00825D6E">
      <w:pPr>
        <w:widowControl w:val="0"/>
        <w:spacing w:after="10" w:line="220" w:lineRule="auto"/>
        <w:ind w:left="300"/>
        <w:rPr>
          <w:rFonts w:ascii="Times New Roman" w:eastAsia="Times New Roman" w:hAnsi="Times New Roman" w:cs="Times New Roman"/>
        </w:rPr>
      </w:pPr>
    </w:p>
    <w:p w14:paraId="05509329" w14:textId="77777777" w:rsidR="00825D6E" w:rsidRDefault="00000000">
      <w:pPr>
        <w:widowControl w:val="0"/>
        <w:spacing w:after="10" w:line="220" w:lineRule="auto"/>
        <w:rPr>
          <w:rFonts w:ascii="Times New Roman" w:eastAsia="Times New Roman" w:hAnsi="Times New Roman" w:cs="Times New Roman"/>
        </w:rPr>
      </w:pPr>
      <w:r>
        <w:rPr>
          <w:rFonts w:ascii="Times New Roman" w:eastAsia="Times New Roman" w:hAnsi="Times New Roman" w:cs="Times New Roman"/>
        </w:rPr>
        <w:t>[26] Canada.ca. Manitoba: Clean Electricity Snapshot. November 2024.</w:t>
      </w:r>
    </w:p>
    <w:p w14:paraId="7F2A3015" w14:textId="77777777" w:rsidR="00825D6E" w:rsidRDefault="00000000">
      <w:pPr>
        <w:widowControl w:val="0"/>
        <w:spacing w:after="10" w:line="220" w:lineRule="auto"/>
        <w:ind w:left="300"/>
        <w:rPr>
          <w:rFonts w:ascii="Times New Roman" w:eastAsia="Times New Roman" w:hAnsi="Times New Roman" w:cs="Times New Roman"/>
        </w:rPr>
      </w:pPr>
      <w:hyperlink r:id="rId31">
        <w:r>
          <w:rPr>
            <w:rFonts w:ascii="Times New Roman" w:eastAsia="Times New Roman" w:hAnsi="Times New Roman" w:cs="Times New Roman"/>
            <w:color w:val="1155CC"/>
            <w:u w:val="single"/>
          </w:rPr>
          <w:t>https://www.canada.ca/en/services/environment/weather/climatechange/climate-plan/clean-electricity/overview-manitoba.html</w:t>
        </w:r>
      </w:hyperlink>
    </w:p>
    <w:p w14:paraId="10838B92" w14:textId="77777777" w:rsidR="00825D6E" w:rsidRDefault="00825D6E">
      <w:pPr>
        <w:widowControl w:val="0"/>
        <w:spacing w:after="10" w:line="220" w:lineRule="auto"/>
        <w:ind w:left="300"/>
        <w:rPr>
          <w:rFonts w:ascii="Times New Roman" w:eastAsia="Times New Roman" w:hAnsi="Times New Roman" w:cs="Times New Roman"/>
        </w:rPr>
      </w:pPr>
    </w:p>
    <w:p w14:paraId="218E0FEC" w14:textId="77777777" w:rsidR="00825D6E" w:rsidRDefault="00000000">
      <w:pPr>
        <w:widowControl w:val="0"/>
        <w:spacing w:after="10" w:line="220" w:lineRule="auto"/>
        <w:rPr>
          <w:rFonts w:ascii="Times New Roman" w:eastAsia="Times New Roman" w:hAnsi="Times New Roman" w:cs="Times New Roman"/>
        </w:rPr>
      </w:pPr>
      <w:r>
        <w:rPr>
          <w:rFonts w:ascii="Times New Roman" w:eastAsia="Times New Roman" w:hAnsi="Times New Roman" w:cs="Times New Roman"/>
        </w:rPr>
        <w:t xml:space="preserve">[27] Manitoba Hydro. Electricity Exports. </w:t>
      </w:r>
      <w:hyperlink r:id="rId32">
        <w:r>
          <w:rPr>
            <w:rFonts w:ascii="Times New Roman" w:eastAsia="Times New Roman" w:hAnsi="Times New Roman" w:cs="Times New Roman"/>
            <w:color w:val="1155CC"/>
            <w:u w:val="single"/>
          </w:rPr>
          <w:t>https://www.hydro.mb.ca/corporate/operations/</w:t>
        </w:r>
      </w:hyperlink>
    </w:p>
    <w:p w14:paraId="620586D5" w14:textId="77777777" w:rsidR="00825D6E" w:rsidRDefault="00825D6E">
      <w:pPr>
        <w:widowControl w:val="0"/>
        <w:spacing w:after="10" w:line="220" w:lineRule="auto"/>
        <w:rPr>
          <w:rFonts w:ascii="Times New Roman" w:eastAsia="Times New Roman" w:hAnsi="Times New Roman" w:cs="Times New Roman"/>
        </w:rPr>
      </w:pPr>
    </w:p>
    <w:p w14:paraId="091278C4" w14:textId="77777777" w:rsidR="00825D6E" w:rsidRDefault="00000000">
      <w:pPr>
        <w:widowControl w:val="0"/>
        <w:spacing w:after="10" w:line="220" w:lineRule="auto"/>
        <w:rPr>
          <w:rFonts w:ascii="Times New Roman" w:eastAsia="Times New Roman" w:hAnsi="Times New Roman" w:cs="Times New Roman"/>
        </w:rPr>
      </w:pPr>
      <w:r>
        <w:rPr>
          <w:rFonts w:ascii="Times New Roman" w:eastAsia="Times New Roman" w:hAnsi="Times New Roman" w:cs="Times New Roman"/>
        </w:rPr>
        <w:t xml:space="preserve">[28] CER. Provincial and Territorial Energy Profiles — Manitoba. </w:t>
      </w:r>
      <w:hyperlink r:id="rId33">
        <w:r>
          <w:rPr>
            <w:rFonts w:ascii="Times New Roman" w:eastAsia="Times New Roman" w:hAnsi="Times New Roman" w:cs="Times New Roman"/>
            <w:color w:val="1155CC"/>
            <w:u w:val="single"/>
          </w:rPr>
          <w:t>https://www.cer-rec.gc.ca/en/data-analysis/energy-markets/province-territory-energy-profiles/manitoba.html</w:t>
        </w:r>
      </w:hyperlink>
    </w:p>
    <w:p w14:paraId="24AFB373" w14:textId="77777777" w:rsidR="00825D6E" w:rsidRDefault="00825D6E">
      <w:pPr>
        <w:widowControl w:val="0"/>
        <w:spacing w:after="10" w:line="220" w:lineRule="auto"/>
        <w:rPr>
          <w:rFonts w:ascii="Times New Roman" w:eastAsia="Times New Roman" w:hAnsi="Times New Roman" w:cs="Times New Roman"/>
        </w:rPr>
      </w:pPr>
    </w:p>
    <w:p w14:paraId="0383F7C1" w14:textId="77777777" w:rsidR="00825D6E" w:rsidRDefault="00000000">
      <w:pPr>
        <w:widowControl w:val="0"/>
        <w:spacing w:after="10" w:line="220" w:lineRule="auto"/>
        <w:ind w:left="300"/>
        <w:rPr>
          <w:rFonts w:ascii="Times New Roman" w:eastAsia="Times New Roman" w:hAnsi="Times New Roman" w:cs="Times New Roman"/>
        </w:rPr>
      </w:pPr>
      <w:r>
        <w:rPr>
          <w:rFonts w:ascii="Times New Roman" w:eastAsia="Times New Roman" w:hAnsi="Times New Roman" w:cs="Times New Roman"/>
        </w:rPr>
        <w:t xml:space="preserve">[29] CER. Provincial and Territorial Energy Profiles — Newfoundland and Labrador. 2024. </w:t>
      </w:r>
      <w:hyperlink r:id="rId34">
        <w:r>
          <w:rPr>
            <w:rFonts w:ascii="Times New Roman" w:eastAsia="Times New Roman" w:hAnsi="Times New Roman" w:cs="Times New Roman"/>
            <w:color w:val="1155CC"/>
            <w:u w:val="single"/>
          </w:rPr>
          <w:t>https://cer-rec.gc.ca/</w:t>
        </w:r>
      </w:hyperlink>
    </w:p>
    <w:p w14:paraId="78C46AB2" w14:textId="77777777" w:rsidR="00825D6E" w:rsidRDefault="00825D6E">
      <w:pPr>
        <w:widowControl w:val="0"/>
        <w:spacing w:after="10" w:line="220" w:lineRule="auto"/>
        <w:ind w:left="300"/>
        <w:rPr>
          <w:rFonts w:ascii="Times New Roman" w:eastAsia="Times New Roman" w:hAnsi="Times New Roman" w:cs="Times New Roman"/>
        </w:rPr>
      </w:pPr>
    </w:p>
    <w:p w14:paraId="223E28B9" w14:textId="77777777" w:rsidR="00825D6E" w:rsidRDefault="00000000">
      <w:pPr>
        <w:widowControl w:val="0"/>
        <w:spacing w:after="10" w:line="220" w:lineRule="auto"/>
        <w:ind w:left="300"/>
        <w:rPr>
          <w:rFonts w:ascii="Times New Roman" w:eastAsia="Times New Roman" w:hAnsi="Times New Roman" w:cs="Times New Roman"/>
        </w:rPr>
      </w:pPr>
      <w:r>
        <w:rPr>
          <w:rFonts w:ascii="Times New Roman" w:eastAsia="Times New Roman" w:hAnsi="Times New Roman" w:cs="Times New Roman"/>
        </w:rPr>
        <w:t>[30] IMDA. Green Data Centre Roadmap. Singapore, 2024.</w:t>
      </w:r>
    </w:p>
    <w:p w14:paraId="45AD1700" w14:textId="77777777" w:rsidR="00825D6E" w:rsidRDefault="00000000">
      <w:pPr>
        <w:widowControl w:val="0"/>
        <w:spacing w:after="10" w:line="220" w:lineRule="auto"/>
        <w:ind w:left="300"/>
        <w:rPr>
          <w:rFonts w:ascii="Times New Roman" w:eastAsia="Times New Roman" w:hAnsi="Times New Roman" w:cs="Times New Roman"/>
        </w:rPr>
      </w:pPr>
      <w:hyperlink r:id="rId35">
        <w:r>
          <w:rPr>
            <w:rFonts w:ascii="Times New Roman" w:eastAsia="Times New Roman" w:hAnsi="Times New Roman" w:cs="Times New Roman"/>
            <w:color w:val="1155CC"/>
            <w:u w:val="single"/>
          </w:rPr>
          <w:t>https://www.nccs.gov.sg/files/docs/default-source/default-document-library/green-data-centre-technology-roadmap.pdf</w:t>
        </w:r>
      </w:hyperlink>
    </w:p>
    <w:p w14:paraId="1C583404" w14:textId="77777777" w:rsidR="00825D6E" w:rsidRDefault="00825D6E">
      <w:pPr>
        <w:widowControl w:val="0"/>
        <w:spacing w:after="10" w:line="220" w:lineRule="auto"/>
        <w:ind w:left="300"/>
        <w:rPr>
          <w:rFonts w:ascii="Times New Roman" w:eastAsia="Times New Roman" w:hAnsi="Times New Roman" w:cs="Times New Roman"/>
        </w:rPr>
      </w:pPr>
    </w:p>
    <w:p w14:paraId="7ED04F32" w14:textId="77777777" w:rsidR="00825D6E" w:rsidRDefault="00000000">
      <w:pPr>
        <w:widowControl w:val="0"/>
        <w:spacing w:after="10" w:line="220" w:lineRule="auto"/>
        <w:rPr>
          <w:rFonts w:ascii="Times New Roman" w:eastAsia="Times New Roman" w:hAnsi="Times New Roman" w:cs="Times New Roman"/>
        </w:rPr>
      </w:pPr>
      <w:r>
        <w:rPr>
          <w:rFonts w:ascii="Times New Roman" w:eastAsia="Times New Roman" w:hAnsi="Times New Roman" w:cs="Times New Roman"/>
        </w:rPr>
        <w:t>[31] Élysée. Make France an AI Powerhouse. February 2025.</w:t>
      </w:r>
    </w:p>
    <w:p w14:paraId="187B37E3" w14:textId="77777777" w:rsidR="00825D6E" w:rsidRDefault="00000000">
      <w:pPr>
        <w:widowControl w:val="0"/>
        <w:spacing w:after="10" w:line="220" w:lineRule="auto"/>
        <w:ind w:left="300"/>
        <w:rPr>
          <w:rFonts w:ascii="Times New Roman" w:eastAsia="Times New Roman" w:hAnsi="Times New Roman" w:cs="Times New Roman"/>
        </w:rPr>
      </w:pPr>
      <w:hyperlink r:id="rId36">
        <w:r>
          <w:rPr>
            <w:rFonts w:ascii="Times New Roman" w:eastAsia="Times New Roman" w:hAnsi="Times New Roman" w:cs="Times New Roman"/>
            <w:color w:val="1155CC"/>
            <w:u w:val="single"/>
          </w:rPr>
          <w:t>https://www.elysee.fr/admin/upload/default/0001/17/d9c1462e7337d353f918aac7d654b896b77c5349.pdf</w:t>
        </w:r>
      </w:hyperlink>
    </w:p>
    <w:p w14:paraId="4A1BC9B8" w14:textId="77777777" w:rsidR="00825D6E" w:rsidRDefault="00825D6E">
      <w:pPr>
        <w:widowControl w:val="0"/>
        <w:spacing w:after="10" w:line="220" w:lineRule="auto"/>
        <w:ind w:left="300"/>
        <w:rPr>
          <w:rFonts w:ascii="Times New Roman" w:eastAsia="Times New Roman" w:hAnsi="Times New Roman" w:cs="Times New Roman"/>
        </w:rPr>
      </w:pPr>
    </w:p>
    <w:p w14:paraId="271671E9" w14:textId="77777777" w:rsidR="00825D6E" w:rsidRDefault="00000000">
      <w:pPr>
        <w:widowControl w:val="0"/>
        <w:spacing w:after="10" w:line="220" w:lineRule="auto"/>
        <w:ind w:left="300"/>
        <w:rPr>
          <w:rFonts w:ascii="Times New Roman" w:eastAsia="Times New Roman" w:hAnsi="Times New Roman" w:cs="Times New Roman"/>
        </w:rPr>
      </w:pPr>
      <w:r>
        <w:rPr>
          <w:rFonts w:ascii="Times New Roman" w:eastAsia="Times New Roman" w:hAnsi="Times New Roman" w:cs="Times New Roman"/>
        </w:rPr>
        <w:t xml:space="preserve">[32] Dutch Data Center Association. Ten Years of State of the Dutch Data Centers. June 2025. </w:t>
      </w:r>
    </w:p>
    <w:p w14:paraId="231CB7DC" w14:textId="77777777" w:rsidR="00825D6E" w:rsidRDefault="00000000">
      <w:pPr>
        <w:widowControl w:val="0"/>
        <w:spacing w:after="10" w:line="220" w:lineRule="auto"/>
        <w:ind w:left="300"/>
        <w:rPr>
          <w:rFonts w:ascii="Times New Roman" w:eastAsia="Times New Roman" w:hAnsi="Times New Roman" w:cs="Times New Roman"/>
        </w:rPr>
      </w:pPr>
      <w:hyperlink r:id="rId37">
        <w:r>
          <w:rPr>
            <w:rFonts w:ascii="Times New Roman" w:eastAsia="Times New Roman" w:hAnsi="Times New Roman" w:cs="Times New Roman"/>
            <w:color w:val="1155CC"/>
            <w:u w:val="single"/>
          </w:rPr>
          <w:t>https://www.dutchdatacenters.nl/en/nieuws/ten-years-of-state-of-the-dutch-data-centers-a-decade-of-growth-and-challenges/</w:t>
        </w:r>
      </w:hyperlink>
    </w:p>
    <w:p w14:paraId="1FC63FF3" w14:textId="77777777" w:rsidR="00825D6E" w:rsidRDefault="00000000">
      <w:pPr>
        <w:spacing w:before="240" w:after="40"/>
        <w:rPr>
          <w:rFonts w:ascii="Times New Roman" w:eastAsia="Times New Roman" w:hAnsi="Times New Roman" w:cs="Times New Roman"/>
          <w:b/>
          <w:bCs/>
        </w:rPr>
      </w:pPr>
      <w:r>
        <w:br w:type="page"/>
      </w:r>
    </w:p>
    <w:p w14:paraId="13901CA1" w14:textId="77777777" w:rsidR="00825D6E" w:rsidRDefault="00000000">
      <w:pPr>
        <w:spacing w:before="240" w:after="40"/>
        <w:rPr>
          <w:rFonts w:ascii="Times New Roman" w:eastAsia="Times New Roman" w:hAnsi="Times New Roman" w:cs="Times New Roman"/>
          <w:b/>
          <w:bCs/>
        </w:rPr>
      </w:pPr>
      <w:r>
        <w:rPr>
          <w:rFonts w:ascii="Times New Roman" w:eastAsia="Times New Roman" w:hAnsi="Times New Roman" w:cs="Times New Roman"/>
          <w:b/>
          <w:bCs/>
        </w:rPr>
        <w:lastRenderedPageBreak/>
        <w:t>Appendix A: Data Analysis</w:t>
      </w:r>
    </w:p>
    <w:p w14:paraId="1AA70DAE" w14:textId="77777777" w:rsidR="00825D6E" w:rsidRDefault="00000000">
      <w:pPr>
        <w:spacing w:before="240" w:after="40"/>
        <w:jc w:val="center"/>
        <w:rPr>
          <w:rFonts w:ascii="Times New Roman" w:eastAsia="Times New Roman" w:hAnsi="Times New Roman" w:cs="Times New Roman"/>
          <w:b/>
          <w:bCs/>
        </w:rPr>
      </w:pPr>
      <w:r>
        <w:rPr>
          <w:rFonts w:ascii="Times New Roman" w:eastAsia="Times New Roman" w:hAnsi="Times New Roman" w:cs="Times New Roman"/>
          <w:b/>
          <w:bCs/>
          <w:noProof/>
        </w:rPr>
        <w:drawing>
          <wp:inline distT="114300" distB="114300" distL="114300" distR="114300" wp14:anchorId="74113BEB" wp14:editId="5434A61F">
            <wp:extent cx="5930900" cy="5080000"/>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8"/>
                    <a:srcRect/>
                    <a:stretch>
                      <a:fillRect/>
                    </a:stretch>
                  </pic:blipFill>
                  <pic:spPr>
                    <a:xfrm>
                      <a:off x="0" y="0"/>
                      <a:ext cx="5930900" cy="5080000"/>
                    </a:xfrm>
                    <a:prstGeom prst="rect">
                      <a:avLst/>
                    </a:prstGeom>
                    <a:ln/>
                  </pic:spPr>
                </pic:pic>
              </a:graphicData>
            </a:graphic>
          </wp:inline>
        </w:drawing>
      </w:r>
    </w:p>
    <w:p w14:paraId="15C480BD" w14:textId="77777777" w:rsidR="00825D6E" w:rsidRDefault="00000000">
      <w:pPr>
        <w:spacing w:before="240" w:after="40"/>
        <w:jc w:val="center"/>
        <w:rPr>
          <w:rFonts w:ascii="Times New Roman" w:eastAsia="Times New Roman" w:hAnsi="Times New Roman" w:cs="Times New Roman"/>
        </w:rPr>
      </w:pPr>
      <w:r>
        <w:rPr>
          <w:rFonts w:ascii="Times New Roman" w:eastAsia="Times New Roman" w:hAnsi="Times New Roman" w:cs="Times New Roman"/>
        </w:rPr>
        <w:t>Figure A1: Feature Correlation Matrix. This matrix list in the axis features that are used in data analysis. The heatmap confirms the set of pillars, for example, the number of newly funded companies is high correlated with private investment.</w:t>
      </w:r>
    </w:p>
    <w:p w14:paraId="2E8B92CD" w14:textId="77777777" w:rsidR="00825D6E" w:rsidRDefault="00000000">
      <w:pPr>
        <w:spacing w:before="240" w:after="40"/>
        <w:jc w:val="center"/>
        <w:rPr>
          <w:rFonts w:ascii="Times New Roman" w:eastAsia="Times New Roman" w:hAnsi="Times New Roman" w:cs="Times New Roman"/>
        </w:rPr>
      </w:pPr>
      <w:r>
        <w:rPr>
          <w:rFonts w:ascii="Times New Roman" w:eastAsia="Times New Roman" w:hAnsi="Times New Roman" w:cs="Times New Roman"/>
        </w:rPr>
        <w:t xml:space="preserve"> </w:t>
      </w:r>
    </w:p>
    <w:p w14:paraId="3B8B8888" w14:textId="77777777" w:rsidR="00825D6E" w:rsidRDefault="00000000">
      <w:pPr>
        <w:spacing w:before="240" w:after="40"/>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02D5E7EE" wp14:editId="632F41D1">
            <wp:extent cx="5943600" cy="39624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9"/>
                    <a:srcRect/>
                    <a:stretch>
                      <a:fillRect/>
                    </a:stretch>
                  </pic:blipFill>
                  <pic:spPr>
                    <a:xfrm>
                      <a:off x="0" y="0"/>
                      <a:ext cx="5943600" cy="3962400"/>
                    </a:xfrm>
                    <a:prstGeom prst="rect">
                      <a:avLst/>
                    </a:prstGeom>
                    <a:ln/>
                  </pic:spPr>
                </pic:pic>
              </a:graphicData>
            </a:graphic>
          </wp:inline>
        </w:drawing>
      </w:r>
    </w:p>
    <w:p w14:paraId="73019CE0" w14:textId="77777777" w:rsidR="00825D6E" w:rsidRDefault="00000000">
      <w:pPr>
        <w:spacing w:before="240" w:after="40"/>
        <w:jc w:val="center"/>
        <w:rPr>
          <w:rFonts w:ascii="Times New Roman" w:eastAsia="Times New Roman" w:hAnsi="Times New Roman" w:cs="Times New Roman"/>
        </w:rPr>
      </w:pPr>
      <w:r>
        <w:rPr>
          <w:rFonts w:ascii="Times New Roman" w:eastAsia="Times New Roman" w:hAnsi="Times New Roman" w:cs="Times New Roman"/>
        </w:rPr>
        <w:t>Figure A2: AI competitiveness of Canada and nearest peers in PCA space.</w:t>
      </w:r>
    </w:p>
    <w:p w14:paraId="1FEC248E" w14:textId="77777777" w:rsidR="00825D6E" w:rsidRDefault="00000000">
      <w:pPr>
        <w:spacing w:before="240" w:after="40"/>
        <w:jc w:val="center"/>
        <w:rPr>
          <w:rFonts w:ascii="Times New Roman" w:eastAsia="Times New Roman" w:hAnsi="Times New Roman" w:cs="Times New Roman"/>
        </w:rPr>
      </w:pPr>
      <w:r>
        <w:rPr>
          <w:rFonts w:ascii="Times New Roman" w:eastAsia="Times New Roman" w:hAnsi="Times New Roman" w:cs="Times New Roman"/>
        </w:rPr>
        <w:t xml:space="preserve"> </w:t>
      </w:r>
    </w:p>
    <w:p w14:paraId="414313B5" w14:textId="77777777" w:rsidR="00825D6E" w:rsidRDefault="00000000">
      <w:pPr>
        <w:spacing w:before="240" w:after="4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26FCDD26" wp14:editId="4DBCCCB3">
            <wp:extent cx="5943600" cy="20320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0"/>
                    <a:srcRect/>
                    <a:stretch>
                      <a:fillRect/>
                    </a:stretch>
                  </pic:blipFill>
                  <pic:spPr>
                    <a:xfrm>
                      <a:off x="0" y="0"/>
                      <a:ext cx="5943600" cy="2032000"/>
                    </a:xfrm>
                    <a:prstGeom prst="rect">
                      <a:avLst/>
                    </a:prstGeom>
                    <a:ln/>
                  </pic:spPr>
                </pic:pic>
              </a:graphicData>
            </a:graphic>
          </wp:inline>
        </w:drawing>
      </w:r>
    </w:p>
    <w:p w14:paraId="4557E277" w14:textId="77777777" w:rsidR="00825D6E" w:rsidRDefault="00000000">
      <w:pPr>
        <w:spacing w:before="240" w:after="40"/>
        <w:jc w:val="center"/>
        <w:rPr>
          <w:rFonts w:ascii="Times New Roman" w:eastAsia="Times New Roman" w:hAnsi="Times New Roman" w:cs="Times New Roman"/>
        </w:rPr>
      </w:pPr>
      <w:r>
        <w:rPr>
          <w:rFonts w:ascii="Times New Roman" w:eastAsia="Times New Roman" w:hAnsi="Times New Roman" w:cs="Times New Roman"/>
        </w:rPr>
        <w:t>Figure A3: Elbow test and silhouette scores of K-Means experiments.</w:t>
      </w:r>
    </w:p>
    <w:p w14:paraId="5797D5A8" w14:textId="77777777" w:rsidR="00825D6E" w:rsidRDefault="00000000">
      <w:pPr>
        <w:spacing w:before="240" w:after="40"/>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5F05DD52" wp14:editId="7F087B03">
            <wp:extent cx="2997200" cy="7620000"/>
            <wp:effectExtent l="0" t="0" r="0" b="0"/>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1"/>
                    <a:srcRect/>
                    <a:stretch>
                      <a:fillRect/>
                    </a:stretch>
                  </pic:blipFill>
                  <pic:spPr>
                    <a:xfrm>
                      <a:off x="0" y="0"/>
                      <a:ext cx="2997200" cy="7620000"/>
                    </a:xfrm>
                    <a:prstGeom prst="rect">
                      <a:avLst/>
                    </a:prstGeom>
                    <a:ln/>
                  </pic:spPr>
                </pic:pic>
              </a:graphicData>
            </a:graphic>
          </wp:inline>
        </w:drawing>
      </w:r>
    </w:p>
    <w:p w14:paraId="76EC737B" w14:textId="77777777" w:rsidR="00825D6E" w:rsidRDefault="00000000">
      <w:pPr>
        <w:spacing w:before="240" w:after="40"/>
        <w:jc w:val="center"/>
        <w:rPr>
          <w:rFonts w:ascii="Times New Roman" w:eastAsia="Times New Roman" w:hAnsi="Times New Roman" w:cs="Times New Roman"/>
        </w:rPr>
      </w:pPr>
      <w:r>
        <w:rPr>
          <w:rFonts w:ascii="Times New Roman" w:eastAsia="Times New Roman" w:hAnsi="Times New Roman" w:cs="Times New Roman"/>
        </w:rPr>
        <w:t>Figure A4: Hierarchical clustering dendrogram.</w:t>
      </w:r>
    </w:p>
    <w:p w14:paraId="681733A3" w14:textId="77777777" w:rsidR="00825D6E" w:rsidRDefault="00000000">
      <w:pPr>
        <w:spacing w:before="240" w:after="40"/>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03641555" wp14:editId="31931F71">
            <wp:extent cx="4254500" cy="7620000"/>
            <wp:effectExtent l="0" t="0" r="0" b="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42"/>
                    <a:srcRect/>
                    <a:stretch>
                      <a:fillRect/>
                    </a:stretch>
                  </pic:blipFill>
                  <pic:spPr>
                    <a:xfrm>
                      <a:off x="0" y="0"/>
                      <a:ext cx="4254500" cy="7620000"/>
                    </a:xfrm>
                    <a:prstGeom prst="rect">
                      <a:avLst/>
                    </a:prstGeom>
                    <a:ln/>
                  </pic:spPr>
                </pic:pic>
              </a:graphicData>
            </a:graphic>
          </wp:inline>
        </w:drawing>
      </w:r>
    </w:p>
    <w:p w14:paraId="5D24DB17" w14:textId="77777777" w:rsidR="00825D6E" w:rsidRDefault="00000000">
      <w:pPr>
        <w:spacing w:before="240" w:after="40"/>
        <w:jc w:val="center"/>
        <w:rPr>
          <w:rFonts w:ascii="Times New Roman" w:eastAsia="Times New Roman" w:hAnsi="Times New Roman" w:cs="Times New Roman"/>
        </w:rPr>
      </w:pPr>
      <w:r>
        <w:rPr>
          <w:rFonts w:ascii="Times New Roman" w:eastAsia="Times New Roman" w:hAnsi="Times New Roman" w:cs="Times New Roman"/>
        </w:rPr>
        <w:t>Figure A5: Raw metric comparison between Canada and target countries.</w:t>
      </w:r>
    </w:p>
    <w:p w14:paraId="69F5EA41" w14:textId="77777777" w:rsidR="00825D6E" w:rsidRDefault="00000000">
      <w:pPr>
        <w:widowControl w:val="0"/>
        <w:spacing w:after="70" w:line="252"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42A096A" wp14:editId="0BB81FC5">
            <wp:extent cx="5943600" cy="2540000"/>
            <wp:effectExtent l="0" t="0" r="0" b="0"/>
            <wp:docPr id="4"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43"/>
                    <a:srcRect t="11101" b="33684"/>
                    <a:stretch>
                      <a:fillRect/>
                    </a:stretch>
                  </pic:blipFill>
                  <pic:spPr>
                    <a:xfrm>
                      <a:off x="0" y="0"/>
                      <a:ext cx="5943600" cy="2540000"/>
                    </a:xfrm>
                    <a:prstGeom prst="rect">
                      <a:avLst/>
                    </a:prstGeom>
                    <a:ln/>
                  </pic:spPr>
                </pic:pic>
              </a:graphicData>
            </a:graphic>
          </wp:inline>
        </w:drawing>
      </w:r>
    </w:p>
    <w:p w14:paraId="1A28A4D8" w14:textId="77777777" w:rsidR="00825D6E" w:rsidRDefault="00000000">
      <w:pPr>
        <w:spacing w:before="240" w:after="40"/>
        <w:jc w:val="center"/>
        <w:rPr>
          <w:rFonts w:ascii="Times New Roman" w:eastAsia="Times New Roman" w:hAnsi="Times New Roman" w:cs="Times New Roman"/>
        </w:rPr>
      </w:pPr>
      <w:r>
        <w:rPr>
          <w:rFonts w:ascii="Times New Roman" w:eastAsia="Times New Roman" w:hAnsi="Times New Roman" w:cs="Times New Roman"/>
        </w:rPr>
        <w:t>Figure 6: Geospatial suitability analysis for data center development in Canada</w:t>
      </w:r>
    </w:p>
    <w:p w14:paraId="2448B528" w14:textId="77777777" w:rsidR="00825D6E" w:rsidRDefault="00825D6E">
      <w:pPr>
        <w:spacing w:after="40"/>
        <w:ind w:left="720" w:hanging="360"/>
        <w:rPr>
          <w:rFonts w:ascii="Times New Roman" w:eastAsia="Times New Roman" w:hAnsi="Times New Roman" w:cs="Times New Roman"/>
          <w:b/>
          <w:bCs/>
        </w:rPr>
      </w:pPr>
    </w:p>
    <w:sectPr w:rsidR="00825D6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ungsuh">
    <w:charset w:val="81"/>
    <w:family w:val="roman"/>
    <w:pitch w:val="variable"/>
    <w:sig w:usb0="B00002AF" w:usb1="69D77CFB" w:usb2="00000030" w:usb3="00000000" w:csb0="0008009F" w:csb1="00000000"/>
    <w:embedRegular r:id="rId1" w:subsetted="1" w:fontKey="{EBB3C1BA-A08D-4738-92F8-98473B1030D8}"/>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2" w:fontKey="{CA26F538-234A-41EB-977D-E5BED5576CDB}"/>
  </w:font>
  <w:font w:name="Cambria">
    <w:panose1 w:val="02040503050406030204"/>
    <w:charset w:val="00"/>
    <w:family w:val="roman"/>
    <w:pitch w:val="variable"/>
    <w:sig w:usb0="E00006FF" w:usb1="420024FF" w:usb2="02000000" w:usb3="00000000" w:csb0="0000019F" w:csb1="00000000"/>
    <w:embedRegular r:id="rId3" w:fontKey="{92A88763-B641-48BF-A3EB-3A91DAA30A8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D6E"/>
    <w:rsid w:val="00825D6E"/>
    <w:rsid w:val="00885D51"/>
    <w:rsid w:val="00DE586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A175F"/>
  <w15:docId w15:val="{C83B75A4-4E73-4443-BA56-8E56F73219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CA"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pBdr>
        <w:top w:val="none" w:sz="0" w:space="0" w:color="1F1E1D"/>
        <w:left w:val="none" w:sz="0" w:space="0" w:color="1F1E1D"/>
        <w:bottom w:val="none" w:sz="0" w:space="0" w:color="1F1E1D"/>
        <w:right w:val="none" w:sz="0" w:space="0" w:color="1F1E1D"/>
        <w:between w:val="none" w:sz="0" w:space="0" w:color="1F1E1D"/>
      </w:pBdr>
      <w:shd w:val="clear" w:color="auto" w:fill="FFFFFF"/>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CellMar>
        <w:top w:w="0" w:type="dxa"/>
        <w:left w:w="10" w:type="dxa"/>
        <w:bottom w:w="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rbc.com/en/thought-leadership/climate-action-institute/energy-reports/mine-refine-bridging-canadas-critical-minerals-capital-gap-2/" TargetMode="External"/><Relationship Id="rId18" Type="http://schemas.openxmlformats.org/officeDocument/2006/relationships/hyperlink" Target="https://www.riotinto.com/en/news/releases/2026/rio-tinto-advances-gallium-metal-rd-project-in-partnership-with-the-government-of-canada" TargetMode="External"/><Relationship Id="rId26" Type="http://schemas.openxmlformats.org/officeDocument/2006/relationships/hyperlink" Target="https://www.dcbyte.com/market-spotlights/canada-data-centre-market-spotlight-2025/" TargetMode="External"/><Relationship Id="rId39" Type="http://schemas.openxmlformats.org/officeDocument/2006/relationships/image" Target="media/image4.png"/><Relationship Id="rId21" Type="http://schemas.openxmlformats.org/officeDocument/2006/relationships/hyperlink" Target="https://www.canada.ca/content/dam/fin/publications/taxexp-depfisc/2026/taxexp-depfisc-26-eng.pdf" TargetMode="External"/><Relationship Id="rId34" Type="http://schemas.openxmlformats.org/officeDocument/2006/relationships/hyperlink" Target="https://cer-rec.gc.ca/" TargetMode="External"/><Relationship Id="rId42" Type="http://schemas.openxmlformats.org/officeDocument/2006/relationships/image" Target="media/image7.png"/><Relationship Id="rId7" Type="http://schemas.openxmlformats.org/officeDocument/2006/relationships/hyperlink" Target="https://cdhowe.org/wp-content/uploads/2026/02/Commentary_706.pdf" TargetMode="External"/><Relationship Id="rId2" Type="http://schemas.openxmlformats.org/officeDocument/2006/relationships/settings" Target="settings.xml"/><Relationship Id="rId16" Type="http://schemas.openxmlformats.org/officeDocument/2006/relationships/hyperlink" Target="https://www.mintz.com/insights-center/viewpoints/2151/2023-11-03-us-canada-critical-mineral-ev-battery-and-semiconductor" TargetMode="External"/><Relationship Id="rId29" Type="http://schemas.openxmlformats.org/officeDocument/2006/relationships/hyperlink" Target="https://www.osler.com/en/insights/reports/2025-legal-outlook/powering-ai-canadas-evolving-electricity-grid-connection-policies/" TargetMode="External"/><Relationship Id="rId1" Type="http://schemas.openxmlformats.org/officeDocument/2006/relationships/styles" Target="styles.xml"/><Relationship Id="rId6" Type="http://schemas.openxmlformats.org/officeDocument/2006/relationships/hyperlink" Target="https://aiindex.stanford.edu/vibrancy/" TargetMode="External"/><Relationship Id="rId11" Type="http://schemas.openxmlformats.org/officeDocument/2006/relationships/hyperlink" Target="https://www.gravel2gavel.com/ai-critical-materials/" TargetMode="External"/><Relationship Id="rId24" Type="http://schemas.openxmlformats.org/officeDocument/2006/relationships/hyperlink" Target="https://www.torys.com/our-latest-thinking/publications/2024/12/opportunities-with-canadian-sovereign-ai-compute-strategy-and-2024-fall-economic-statement" TargetMode="External"/><Relationship Id="rId32" Type="http://schemas.openxmlformats.org/officeDocument/2006/relationships/hyperlink" Target="https://www.hydro.mb.ca/corporate/operations/" TargetMode="External"/><Relationship Id="rId37" Type="http://schemas.openxmlformats.org/officeDocument/2006/relationships/hyperlink" Target="https://www.dutchdatacenters.nl/en/nieuws/ten-years-of-state-of-the-dutch-data-centers-a-decade-of-growth-and-challenges/" TargetMode="External"/><Relationship Id="rId40" Type="http://schemas.openxmlformats.org/officeDocument/2006/relationships/image" Target="media/image5.png"/><Relationship Id="rId45" Type="http://schemas.openxmlformats.org/officeDocument/2006/relationships/theme" Target="theme/theme1.xml"/><Relationship Id="rId5" Type="http://schemas.openxmlformats.org/officeDocument/2006/relationships/image" Target="media/image2.png"/><Relationship Id="rId15" Type="http://schemas.openxmlformats.org/officeDocument/2006/relationships/hyperlink" Target="https://www.canada.ca/en/campaign/critical-minerals-in-canada/canadas-critical-minerals-strategy/canadas-critical-minerals-strategy-progress-update.html" TargetMode="External"/><Relationship Id="rId23" Type="http://schemas.openxmlformats.org/officeDocument/2006/relationships/hyperlink" Target="https://www.budget.canada.ca/update-miseajour/2024/home-accueil-en.html?utm_campaign=fin-fin-update-miseajour-24-25&amp;utm_medium=vanity-url&amp;utm_source=canada-ca_fall-economic-statement" TargetMode="External"/><Relationship Id="rId28" Type="http://schemas.openxmlformats.org/officeDocument/2006/relationships/hyperlink" Target="https://economics.td.com/ca-data-centers-and-grid-constraints" TargetMode="External"/><Relationship Id="rId36" Type="http://schemas.openxmlformats.org/officeDocument/2006/relationships/hyperlink" Target="https://www.elysee.fr/admin/upload/default/0001/17/d9c1462e7337d353f918aac7d654b896b77c5349.pdf" TargetMode="External"/><Relationship Id="rId10" Type="http://schemas.openxmlformats.org/officeDocument/2006/relationships/hyperlink" Target="https://elements.visualcapitalist.com/china-still-dominates-critical-mineral-refining-in-2030/" TargetMode="External"/><Relationship Id="rId19" Type="http://schemas.openxmlformats.org/officeDocument/2006/relationships/hyperlink" Target="https://www.canada.ca/en/campaign/critical-minerals-in-canada/critical-minerals-an-opportunity-for-canada/semiconductors.html" TargetMode="External"/><Relationship Id="rId31" Type="http://schemas.openxmlformats.org/officeDocument/2006/relationships/hyperlink" Target="https://www.canada.ca/en/services/environment/weather/climatechange/climate-plan/clean-electricity/overview-manitoba.html" TargetMode="External"/><Relationship Id="rId44"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hyperlink" Target="https://elements.visualcapitalist.com/how-much-control-china-has-over-the-worlds-critical-minerals/" TargetMode="External"/><Relationship Id="rId14" Type="http://schemas.openxmlformats.org/officeDocument/2006/relationships/hyperlink" Target="https://thefutureeconomy.ca/op-eds/canadas-critical-mineral-moment/" TargetMode="External"/><Relationship Id="rId22" Type="http://schemas.openxmlformats.org/officeDocument/2006/relationships/hyperlink" Target="https://ised-isde.canada.ca/site/ised/en/canadian-sovereign-ai-compute-strategy" TargetMode="External"/><Relationship Id="rId27" Type="http://schemas.openxmlformats.org/officeDocument/2006/relationships/hyperlink" Target="https://www.aeso.ca/grid/connecting-to-the-grid/large-load-projects/" TargetMode="External"/><Relationship Id="rId30" Type="http://schemas.openxmlformats.org/officeDocument/2006/relationships/hyperlink" Target="https://stikeman.com/en-CA/kh/canadian-energy-law/2025/06/20/14/53/quebec-government-adopts-bill-69-to-modernize-energy-legislation" TargetMode="External"/><Relationship Id="rId35" Type="http://schemas.openxmlformats.org/officeDocument/2006/relationships/hyperlink" Target="https://www.nccs.gov.sg/files/docs/default-source/default-document-library/green-data-centre-technology-roadmap.pdf" TargetMode="External"/><Relationship Id="rId43" Type="http://schemas.openxmlformats.org/officeDocument/2006/relationships/image" Target="media/image8.jpg"/><Relationship Id="rId8" Type="http://schemas.openxmlformats.org/officeDocument/2006/relationships/hyperlink" Target="https://dais.ca/wp-content/uploads/2024/03/Can-Canada-Compute.pdf" TargetMode="External"/><Relationship Id="rId3" Type="http://schemas.openxmlformats.org/officeDocument/2006/relationships/webSettings" Target="webSettings.xml"/><Relationship Id="rId12" Type="http://schemas.openxmlformats.org/officeDocument/2006/relationships/hyperlink" Target="https://www.investcanada.ca/industries/critical-minerals" TargetMode="External"/><Relationship Id="rId17" Type="http://schemas.openxmlformats.org/officeDocument/2006/relationships/hyperlink" Target="https://www.rbc.com/en/thought-leadership/the-trade-hub/the-new-great-game-how-the-race-for-critical-minerals-is-shaping-tech-supremacy/" TargetMode="External"/><Relationship Id="rId25" Type="http://schemas.openxmlformats.org/officeDocument/2006/relationships/hyperlink" Target="https://cassels.com/insights/canadas-ai-compute-quest-powering-an-ai-enabled-future/" TargetMode="External"/><Relationship Id="rId33" Type="http://schemas.openxmlformats.org/officeDocument/2006/relationships/hyperlink" Target="https://www.cer-rec.gc.ca/en/data-analysis/energy-markets/province-territory-energy-profiles/manitoba.html" TargetMode="External"/><Relationship Id="rId38" Type="http://schemas.openxmlformats.org/officeDocument/2006/relationships/image" Target="media/image3.png"/><Relationship Id="rId20" Type="http://schemas.openxmlformats.org/officeDocument/2006/relationships/hyperlink" Target="https://www.canada.ca/en/revenue-agency/services/scientific-research-experimental-development-tax-incentive-program.html" TargetMode="External"/><Relationship Id="rId41" Type="http://schemas.openxmlformats.org/officeDocument/2006/relationships/image" Target="media/image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18</Pages>
  <Words>6037</Words>
  <Characters>34414</Characters>
  <Application>Microsoft Office Word</Application>
  <DocSecurity>0</DocSecurity>
  <Lines>286</Lines>
  <Paragraphs>80</Paragraphs>
  <ScaleCrop>false</ScaleCrop>
  <Company/>
  <LinksUpToDate>false</LinksUpToDate>
  <CharactersWithSpaces>40371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Jake Shi</cp:lastModifiedBy>
  <cp:revision>2</cp:revision>
  <dcterms:created xsi:type="dcterms:W3CDTF">2026-03-29T17:41:00Z</dcterms:created>
  <dcterms:modified xsi:type="dcterms:W3CDTF">2026-03-29T17:41:00Z</dcterms:modified>
</cp:coreProperties>
</file>