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7F2B" w:rsidRDefault="00000000">
      <w:pPr>
        <w:spacing w:line="240" w:lineRule="auto"/>
        <w:jc w:val="both"/>
        <w:rPr>
          <w:color w:val="101214"/>
          <w:sz w:val="24"/>
          <w:szCs w:val="24"/>
        </w:rPr>
      </w:pPr>
      <w:r>
        <w:rPr>
          <w:color w:val="101214"/>
          <w:sz w:val="24"/>
          <w:szCs w:val="24"/>
        </w:rPr>
        <w:t>Support the commercialization of indigenous Canadian AI companies through targeted AI tax credits</w:t>
      </w:r>
    </w:p>
    <w:p w14:paraId="00000002" w14:textId="77777777" w:rsidR="00427F2B" w:rsidRDefault="00427F2B">
      <w:pPr>
        <w:spacing w:line="240" w:lineRule="auto"/>
        <w:jc w:val="both"/>
        <w:rPr>
          <w:color w:val="101214"/>
          <w:sz w:val="24"/>
          <w:szCs w:val="24"/>
        </w:rPr>
      </w:pPr>
    </w:p>
    <w:p w14:paraId="00000003" w14:textId="77777777" w:rsidR="00427F2B" w:rsidRDefault="00000000">
      <w:pPr>
        <w:spacing w:line="240" w:lineRule="auto"/>
        <w:jc w:val="both"/>
        <w:rPr>
          <w:color w:val="101214"/>
          <w:sz w:val="24"/>
          <w:szCs w:val="24"/>
        </w:rPr>
      </w:pPr>
      <w:r>
        <w:rPr>
          <w:color w:val="101214"/>
          <w:sz w:val="24"/>
          <w:szCs w:val="24"/>
        </w:rPr>
        <w:t>Although Canada has a strong foundation in AI research, local AI companies still face obvious obstacles in the process of moving from research to commercialization and from technology to large-scale landing. At present, the most prominent question is not "whether there is research capacity", but "whether the research results can be turned into products, income and industrial capacity in Canada". The existing problems are mainly reflected in three aspects. Firstly, the cost of obtaining computing power and deploying resources is high for local enterprises. Second, early AI companies lack sufficient financial support in the product verification and market expansion stages. [1] Third, Canada has developed strong capabilities in AI research and talent development, as highlighted by CIFAR’s Pan-Canadian AI Strategy. However, compared to its research strength, challenges remain in translating these capabilities into large-scale commercialization and industry growth.[2] More importantly, the core constraint is not only financial, but the limited access to affordable domestic compute and infrastructure resources. As a result, firms are pushed toward foreign platforms, weakening Canada’s ability to retain technological and economic value domestically.</w:t>
      </w:r>
    </w:p>
    <w:p w14:paraId="00000004" w14:textId="77777777" w:rsidR="00427F2B" w:rsidRDefault="00427F2B">
      <w:pPr>
        <w:spacing w:line="240" w:lineRule="auto"/>
        <w:jc w:val="both"/>
        <w:rPr>
          <w:color w:val="101214"/>
          <w:sz w:val="24"/>
          <w:szCs w:val="24"/>
        </w:rPr>
      </w:pPr>
    </w:p>
    <w:p w14:paraId="00000005" w14:textId="3CC7A338" w:rsidR="00427F2B" w:rsidRDefault="00000000">
      <w:pPr>
        <w:spacing w:line="240" w:lineRule="auto"/>
        <w:jc w:val="both"/>
        <w:rPr>
          <w:color w:val="101214"/>
          <w:sz w:val="24"/>
          <w:szCs w:val="24"/>
        </w:rPr>
      </w:pPr>
      <w:r>
        <w:rPr>
          <w:color w:val="101214"/>
          <w:sz w:val="24"/>
          <w:szCs w:val="24"/>
        </w:rPr>
        <w:t xml:space="preserve">Based on this, it is suggested that the federal government launch a targeted AI Commercialization Tax Credit for Canadian local AI enterprises. The policy should not be designed as a general doling out of money, but as conditional, targeted and measurable tax incentives. Specifically, the tax credit should be given priority to companies registered in Canada, whose primary R&amp;D or product teams </w:t>
      </w:r>
      <w:r w:rsidR="008A6576">
        <w:rPr>
          <w:color w:val="101214"/>
          <w:sz w:val="24"/>
          <w:szCs w:val="24"/>
        </w:rPr>
        <w:t>are in</w:t>
      </w:r>
      <w:r>
        <w:rPr>
          <w:color w:val="101214"/>
          <w:sz w:val="24"/>
          <w:szCs w:val="24"/>
        </w:rPr>
        <w:t xml:space="preserve"> Canada, and whose core AI products have been developed or deployed in Canada. Eligible spending can </w:t>
      </w:r>
      <w:r w:rsidR="008A6576">
        <w:rPr>
          <w:color w:val="101214"/>
          <w:sz w:val="24"/>
          <w:szCs w:val="24"/>
        </w:rPr>
        <w:t>include</w:t>
      </w:r>
      <w:r>
        <w:rPr>
          <w:color w:val="101214"/>
          <w:sz w:val="24"/>
          <w:szCs w:val="24"/>
        </w:rPr>
        <w:t xml:space="preserve"> AI model development and testing costs, cloud compute/compute power rental costs, data governance and security compliance costs, pilot deployment costs, and spending on high-skilled jobs directly related to commercializing the AI product. Compared with one-time subsidies, the advantage of tax credits is that it can encourage enterprises to invest first and declare later, and it is easier to leverage private capital to jointly invest, and it is more in line with the pace of commercial projects.</w:t>
      </w:r>
    </w:p>
    <w:p w14:paraId="00000006" w14:textId="77777777" w:rsidR="00427F2B" w:rsidRDefault="00427F2B">
      <w:pPr>
        <w:spacing w:line="240" w:lineRule="auto"/>
        <w:jc w:val="both"/>
        <w:rPr>
          <w:color w:val="101214"/>
          <w:sz w:val="24"/>
          <w:szCs w:val="24"/>
        </w:rPr>
      </w:pPr>
    </w:p>
    <w:p w14:paraId="00000007" w14:textId="6133D41F" w:rsidR="00427F2B" w:rsidRDefault="00000000">
      <w:pPr>
        <w:spacing w:line="240" w:lineRule="auto"/>
        <w:jc w:val="both"/>
        <w:rPr>
          <w:color w:val="101214"/>
          <w:sz w:val="24"/>
          <w:szCs w:val="24"/>
        </w:rPr>
      </w:pPr>
      <w:r>
        <w:rPr>
          <w:color w:val="101214"/>
          <w:sz w:val="24"/>
          <w:szCs w:val="24"/>
        </w:rPr>
        <w:t xml:space="preserve">In terms of policy design, it is recommended to adopt a 3-year pilot program (2026 -- 2028). For eligible small and medium-sized AI enterprises, 20% refundable tax credit is available; For larger enterprises that still focus on local AI products, a lower proportion of 10% non-refundable tax credit can be provided. The proposed rates are intentionally set below existing SR&amp;ED levels to avoid policy duplication and to target a different stage of the innovation lifecycle of commercialization.[3] This has the advantage of focusing support on the most cash-flow-hungry start-ups and growth companies, while avoiding the policy being absorbed entirely by a small number of large companies. At the same time, the government could set reporting caps and eligibility thresholds, such as requiring companies to prove that their AI products have entered the pilot, commercial launch or signed client adoption stage. </w:t>
      </w:r>
      <w:r w:rsidR="008A6576">
        <w:rPr>
          <w:color w:val="101214"/>
          <w:sz w:val="24"/>
          <w:szCs w:val="24"/>
        </w:rPr>
        <w:t>Thus,</w:t>
      </w:r>
      <w:r>
        <w:rPr>
          <w:color w:val="101214"/>
          <w:sz w:val="24"/>
          <w:szCs w:val="24"/>
        </w:rPr>
        <w:t xml:space="preserve"> ensuring that tax support truly serves "commercialized" rather than generalized R&amp;D spending.</w:t>
      </w:r>
    </w:p>
    <w:p w14:paraId="00000008" w14:textId="77777777" w:rsidR="00427F2B" w:rsidRDefault="00427F2B">
      <w:pPr>
        <w:spacing w:line="240" w:lineRule="auto"/>
        <w:jc w:val="both"/>
        <w:rPr>
          <w:color w:val="101214"/>
          <w:sz w:val="24"/>
          <w:szCs w:val="24"/>
        </w:rPr>
      </w:pPr>
    </w:p>
    <w:p w14:paraId="00000009" w14:textId="77777777" w:rsidR="00427F2B" w:rsidRDefault="00000000">
      <w:pPr>
        <w:spacing w:line="240" w:lineRule="auto"/>
        <w:jc w:val="both"/>
        <w:rPr>
          <w:color w:val="101214"/>
          <w:sz w:val="24"/>
          <w:szCs w:val="24"/>
        </w:rPr>
      </w:pPr>
      <w:r>
        <w:rPr>
          <w:color w:val="101214"/>
          <w:sz w:val="24"/>
          <w:szCs w:val="24"/>
        </w:rPr>
        <w:lastRenderedPageBreak/>
        <w:t>From the perspective of implementation, the departments responsible for this policy can be set as the Department of Finance Canada, ISED and CRA. The Ministry of Finance is responsible for tax policy design, ISED is responsible for industry qualification standards and policy coordination, and CRA is responsible for application review and implementation. Projected costs could be set at about C $600m over three years, or about C $200m per year. The financial burden of unlimited expansion can be avoided by adjusting part of the allocation in the existing innovation and industry support program and controlling it with the annual tax expenditure cap. [4]</w:t>
      </w:r>
    </w:p>
    <w:p w14:paraId="0000000A" w14:textId="77777777" w:rsidR="00427F2B" w:rsidRDefault="00427F2B">
      <w:pPr>
        <w:spacing w:line="240" w:lineRule="auto"/>
        <w:jc w:val="both"/>
        <w:rPr>
          <w:color w:val="101214"/>
          <w:sz w:val="24"/>
          <w:szCs w:val="24"/>
        </w:rPr>
      </w:pPr>
    </w:p>
    <w:p w14:paraId="0000000B" w14:textId="77777777" w:rsidR="00427F2B" w:rsidRDefault="00000000">
      <w:pPr>
        <w:spacing w:line="240" w:lineRule="auto"/>
        <w:jc w:val="both"/>
        <w:rPr>
          <w:color w:val="101214"/>
          <w:sz w:val="24"/>
          <w:szCs w:val="24"/>
        </w:rPr>
      </w:pPr>
      <w:r>
        <w:rPr>
          <w:color w:val="101214"/>
          <w:sz w:val="24"/>
          <w:szCs w:val="24"/>
        </w:rPr>
        <w:t>What Canada lacks most right now is not an AI concept, but a mechanism to turn AI into revenue, market share, and job growth for Canadian companies. Tax credits are more specific than mere rhetorical support, more neutral than government picking winners, and easier to launch in the short term than large-scale new public institutions. Therefore, it is a recommendation with operability, policy rationality and defendable defense. Increase the number of Canadian AI companies that receive tax credits and complete commercialization by 30% by 2028.</w:t>
      </w:r>
    </w:p>
    <w:p w14:paraId="0000000C" w14:textId="77777777" w:rsidR="00427F2B" w:rsidRDefault="00427F2B">
      <w:pPr>
        <w:spacing w:line="240" w:lineRule="auto"/>
        <w:jc w:val="both"/>
        <w:rPr>
          <w:rFonts w:ascii="Neuton" w:eastAsia="Neuton" w:hAnsi="Neuton" w:cs="Neuton"/>
          <w:color w:val="101214"/>
          <w:sz w:val="24"/>
          <w:szCs w:val="24"/>
        </w:rPr>
      </w:pPr>
    </w:p>
    <w:p w14:paraId="0000000D" w14:textId="77777777" w:rsidR="00427F2B" w:rsidRDefault="00427F2B">
      <w:pPr>
        <w:spacing w:line="240" w:lineRule="auto"/>
        <w:jc w:val="both"/>
        <w:rPr>
          <w:rFonts w:ascii="Neuton" w:eastAsia="Neuton" w:hAnsi="Neuton" w:cs="Neuton"/>
          <w:color w:val="101214"/>
          <w:sz w:val="24"/>
          <w:szCs w:val="24"/>
        </w:rPr>
      </w:pPr>
    </w:p>
    <w:p w14:paraId="0000000E" w14:textId="77777777" w:rsidR="00427F2B" w:rsidRDefault="00427F2B">
      <w:pPr>
        <w:spacing w:line="240" w:lineRule="auto"/>
        <w:jc w:val="both"/>
        <w:rPr>
          <w:rFonts w:ascii="Neuton" w:eastAsia="Neuton" w:hAnsi="Neuton" w:cs="Neuton"/>
          <w:color w:val="101214"/>
          <w:sz w:val="24"/>
          <w:szCs w:val="24"/>
        </w:rPr>
      </w:pPr>
    </w:p>
    <w:p w14:paraId="0000000F" w14:textId="77777777" w:rsidR="00427F2B" w:rsidRDefault="00427F2B">
      <w:pPr>
        <w:spacing w:line="240" w:lineRule="auto"/>
        <w:jc w:val="both"/>
        <w:rPr>
          <w:rFonts w:ascii="Neuton" w:eastAsia="Neuton" w:hAnsi="Neuton" w:cs="Neuton"/>
          <w:color w:val="101214"/>
          <w:sz w:val="24"/>
          <w:szCs w:val="24"/>
        </w:rPr>
      </w:pPr>
    </w:p>
    <w:p w14:paraId="00000010" w14:textId="77777777" w:rsidR="00427F2B" w:rsidRDefault="00000000">
      <w:pPr>
        <w:spacing w:line="240" w:lineRule="auto"/>
        <w:jc w:val="both"/>
        <w:rPr>
          <w:color w:val="101214"/>
          <w:sz w:val="24"/>
          <w:szCs w:val="24"/>
        </w:rPr>
      </w:pPr>
      <w:r>
        <w:rPr>
          <w:color w:val="101214"/>
          <w:sz w:val="24"/>
          <w:szCs w:val="24"/>
        </w:rPr>
        <w:t>Reference:</w:t>
      </w:r>
    </w:p>
    <w:p w14:paraId="00000011" w14:textId="77777777" w:rsidR="00427F2B" w:rsidRDefault="00427F2B">
      <w:pPr>
        <w:spacing w:line="240" w:lineRule="auto"/>
        <w:jc w:val="both"/>
        <w:rPr>
          <w:color w:val="101214"/>
          <w:sz w:val="24"/>
          <w:szCs w:val="24"/>
        </w:rPr>
      </w:pPr>
    </w:p>
    <w:p w14:paraId="00000012" w14:textId="77777777" w:rsidR="00427F2B" w:rsidRDefault="00000000">
      <w:pPr>
        <w:spacing w:line="240" w:lineRule="auto"/>
        <w:jc w:val="both"/>
        <w:rPr>
          <w:color w:val="101214"/>
          <w:sz w:val="24"/>
          <w:szCs w:val="24"/>
        </w:rPr>
      </w:pPr>
      <w:r>
        <w:rPr>
          <w:color w:val="101214"/>
          <w:sz w:val="24"/>
          <w:szCs w:val="24"/>
        </w:rPr>
        <w:t>[</w:t>
      </w:r>
      <w:proofErr w:type="gramStart"/>
      <w:r>
        <w:rPr>
          <w:color w:val="101214"/>
          <w:sz w:val="24"/>
          <w:szCs w:val="24"/>
        </w:rPr>
        <w:t>1]Canadian</w:t>
      </w:r>
      <w:proofErr w:type="gramEnd"/>
      <w:r>
        <w:rPr>
          <w:color w:val="101214"/>
          <w:sz w:val="24"/>
          <w:szCs w:val="24"/>
        </w:rPr>
        <w:t xml:space="preserve"> Institute for Advanced Research. (2023). </w:t>
      </w:r>
      <w:r>
        <w:rPr>
          <w:i/>
          <w:iCs/>
          <w:color w:val="101214"/>
          <w:sz w:val="24"/>
          <w:szCs w:val="24"/>
        </w:rPr>
        <w:t>Impact report 2022–2023</w:t>
      </w:r>
      <w:r>
        <w:rPr>
          <w:color w:val="101214"/>
          <w:sz w:val="24"/>
          <w:szCs w:val="24"/>
        </w:rPr>
        <w:t>.</w:t>
      </w:r>
    </w:p>
    <w:p w14:paraId="00000013" w14:textId="77777777" w:rsidR="00427F2B" w:rsidRDefault="00000000">
      <w:pPr>
        <w:spacing w:line="240" w:lineRule="auto"/>
        <w:jc w:val="both"/>
        <w:rPr>
          <w:color w:val="101214"/>
          <w:sz w:val="24"/>
          <w:szCs w:val="24"/>
        </w:rPr>
      </w:pPr>
      <w:hyperlink r:id="rId4">
        <w:r>
          <w:rPr>
            <w:color w:val="1155CC"/>
            <w:sz w:val="24"/>
            <w:szCs w:val="24"/>
            <w:u w:val="single"/>
          </w:rPr>
          <w:t>https://cifar.ca/wp-content/uploads/2023/09/ImpactReport2223_ENG.pdf</w:t>
        </w:r>
      </w:hyperlink>
    </w:p>
    <w:p w14:paraId="00000014" w14:textId="77777777" w:rsidR="00427F2B" w:rsidRDefault="00000000">
      <w:pPr>
        <w:spacing w:line="240" w:lineRule="auto"/>
        <w:jc w:val="both"/>
        <w:rPr>
          <w:color w:val="101214"/>
          <w:sz w:val="24"/>
          <w:szCs w:val="24"/>
        </w:rPr>
      </w:pPr>
      <w:r>
        <w:rPr>
          <w:color w:val="101214"/>
          <w:sz w:val="24"/>
          <w:szCs w:val="24"/>
        </w:rPr>
        <w:t>[</w:t>
      </w:r>
      <w:proofErr w:type="gramStart"/>
      <w:r>
        <w:rPr>
          <w:color w:val="101214"/>
          <w:sz w:val="24"/>
          <w:szCs w:val="24"/>
        </w:rPr>
        <w:t>2]The</w:t>
      </w:r>
      <w:proofErr w:type="gramEnd"/>
      <w:r>
        <w:rPr>
          <w:color w:val="101214"/>
          <w:sz w:val="24"/>
          <w:szCs w:val="24"/>
        </w:rPr>
        <w:t xml:space="preserve"> Dais. (2024). </w:t>
      </w:r>
      <w:r>
        <w:rPr>
          <w:i/>
          <w:iCs/>
          <w:color w:val="101214"/>
          <w:sz w:val="24"/>
          <w:szCs w:val="24"/>
        </w:rPr>
        <w:t>Can Canada compute? Policy options to close Canada’s AI compute gap</w:t>
      </w:r>
      <w:r>
        <w:rPr>
          <w:color w:val="101214"/>
          <w:sz w:val="24"/>
          <w:szCs w:val="24"/>
        </w:rPr>
        <w:t>.</w:t>
      </w:r>
    </w:p>
    <w:p w14:paraId="00000015" w14:textId="77777777" w:rsidR="00427F2B" w:rsidRDefault="00000000">
      <w:pPr>
        <w:spacing w:line="240" w:lineRule="auto"/>
        <w:jc w:val="both"/>
        <w:rPr>
          <w:color w:val="101214"/>
          <w:sz w:val="24"/>
          <w:szCs w:val="24"/>
        </w:rPr>
      </w:pPr>
      <w:hyperlink r:id="rId5">
        <w:r>
          <w:rPr>
            <w:color w:val="1155CC"/>
            <w:sz w:val="24"/>
            <w:szCs w:val="24"/>
            <w:u w:val="single"/>
          </w:rPr>
          <w:t>https://dais.ca/reports/can-canada-compute/</w:t>
        </w:r>
      </w:hyperlink>
    </w:p>
    <w:p w14:paraId="00000016" w14:textId="77777777" w:rsidR="00427F2B" w:rsidRDefault="00000000">
      <w:pPr>
        <w:spacing w:line="240" w:lineRule="auto"/>
        <w:jc w:val="both"/>
        <w:rPr>
          <w:color w:val="101214"/>
          <w:sz w:val="24"/>
          <w:szCs w:val="24"/>
        </w:rPr>
      </w:pPr>
      <w:r>
        <w:rPr>
          <w:color w:val="101214"/>
          <w:sz w:val="24"/>
          <w:szCs w:val="24"/>
        </w:rPr>
        <w:t>[3] Government of Canada. (2023). Scientific Research and Experimental Development (SR&amp;ED) Tax Incentive Program.</w:t>
      </w:r>
    </w:p>
    <w:p w14:paraId="00000017" w14:textId="77777777" w:rsidR="00427F2B" w:rsidRDefault="00000000">
      <w:pPr>
        <w:spacing w:line="240" w:lineRule="auto"/>
        <w:jc w:val="both"/>
        <w:rPr>
          <w:color w:val="101214"/>
          <w:sz w:val="24"/>
          <w:szCs w:val="24"/>
        </w:rPr>
      </w:pPr>
      <w:hyperlink r:id="rId6">
        <w:r>
          <w:rPr>
            <w:color w:val="1155CC"/>
            <w:sz w:val="24"/>
            <w:szCs w:val="24"/>
            <w:u w:val="single"/>
          </w:rPr>
          <w:t>https://www.canada.ca/en/revenue-agency/services/scientific-research-experimental-development-tax-incentive-program.html</w:t>
        </w:r>
      </w:hyperlink>
    </w:p>
    <w:p w14:paraId="00000018" w14:textId="77777777" w:rsidR="00427F2B" w:rsidRDefault="00000000">
      <w:pPr>
        <w:spacing w:line="240" w:lineRule="auto"/>
        <w:jc w:val="both"/>
        <w:rPr>
          <w:color w:val="101214"/>
          <w:sz w:val="24"/>
          <w:szCs w:val="24"/>
        </w:rPr>
      </w:pPr>
      <w:r>
        <w:rPr>
          <w:color w:val="101214"/>
          <w:sz w:val="24"/>
          <w:szCs w:val="24"/>
        </w:rPr>
        <w:t>[</w:t>
      </w:r>
      <w:proofErr w:type="gramStart"/>
      <w:r>
        <w:rPr>
          <w:color w:val="101214"/>
          <w:sz w:val="24"/>
          <w:szCs w:val="24"/>
        </w:rPr>
        <w:t>4]Department</w:t>
      </w:r>
      <w:proofErr w:type="gramEnd"/>
      <w:r>
        <w:rPr>
          <w:color w:val="101214"/>
          <w:sz w:val="24"/>
          <w:szCs w:val="24"/>
        </w:rPr>
        <w:t xml:space="preserve"> of Finance Canada. (2026). </w:t>
      </w:r>
      <w:r>
        <w:rPr>
          <w:i/>
          <w:iCs/>
          <w:color w:val="101214"/>
          <w:sz w:val="24"/>
          <w:szCs w:val="24"/>
        </w:rPr>
        <w:t>Report on federal tax expenditures: Concepts, estimates and evaluations 2026</w:t>
      </w:r>
      <w:r>
        <w:rPr>
          <w:color w:val="101214"/>
          <w:sz w:val="24"/>
          <w:szCs w:val="24"/>
        </w:rPr>
        <w:t>.</w:t>
      </w:r>
    </w:p>
    <w:p w14:paraId="00000019" w14:textId="77777777" w:rsidR="00427F2B" w:rsidRDefault="00000000">
      <w:pPr>
        <w:spacing w:line="240" w:lineRule="auto"/>
        <w:jc w:val="both"/>
        <w:rPr>
          <w:color w:val="101214"/>
          <w:sz w:val="24"/>
          <w:szCs w:val="24"/>
        </w:rPr>
      </w:pPr>
      <w:hyperlink r:id="rId7">
        <w:r>
          <w:rPr>
            <w:color w:val="1155CC"/>
            <w:sz w:val="24"/>
            <w:szCs w:val="24"/>
            <w:u w:val="single"/>
          </w:rPr>
          <w:t>https://www.canada.ca/content/dam/fin/publications/taxexp-depfisc/2026/taxexp-depfisc-26-eng.pdf</w:t>
        </w:r>
      </w:hyperlink>
    </w:p>
    <w:p w14:paraId="0000001A" w14:textId="77777777" w:rsidR="00427F2B" w:rsidRDefault="00427F2B">
      <w:pPr>
        <w:spacing w:line="240" w:lineRule="auto"/>
        <w:jc w:val="both"/>
        <w:rPr>
          <w:color w:val="101214"/>
          <w:sz w:val="24"/>
          <w:szCs w:val="24"/>
        </w:rPr>
      </w:pPr>
    </w:p>
    <w:p w14:paraId="0000001B" w14:textId="77777777" w:rsidR="00427F2B" w:rsidRDefault="00427F2B">
      <w:pPr>
        <w:spacing w:line="240" w:lineRule="auto"/>
        <w:jc w:val="both"/>
        <w:rPr>
          <w:color w:val="101214"/>
          <w:sz w:val="24"/>
          <w:szCs w:val="24"/>
        </w:rPr>
      </w:pPr>
    </w:p>
    <w:p w14:paraId="0000001C" w14:textId="77777777" w:rsidR="00427F2B" w:rsidRDefault="00427F2B">
      <w:pPr>
        <w:spacing w:line="240" w:lineRule="auto"/>
        <w:jc w:val="both"/>
        <w:rPr>
          <w:color w:val="101214"/>
          <w:sz w:val="24"/>
          <w:szCs w:val="24"/>
        </w:rPr>
      </w:pPr>
    </w:p>
    <w:p w14:paraId="0000001D" w14:textId="77777777" w:rsidR="00427F2B" w:rsidRDefault="00427F2B">
      <w:pPr>
        <w:spacing w:line="240" w:lineRule="auto"/>
        <w:jc w:val="both"/>
        <w:rPr>
          <w:color w:val="101214"/>
          <w:sz w:val="24"/>
          <w:szCs w:val="24"/>
        </w:rPr>
      </w:pPr>
    </w:p>
    <w:p w14:paraId="0000001E" w14:textId="77777777" w:rsidR="00427F2B" w:rsidRDefault="00427F2B">
      <w:pPr>
        <w:spacing w:line="240" w:lineRule="auto"/>
        <w:jc w:val="both"/>
        <w:rPr>
          <w:color w:val="101214"/>
          <w:sz w:val="24"/>
          <w:szCs w:val="24"/>
        </w:rPr>
      </w:pPr>
    </w:p>
    <w:p w14:paraId="0000001F" w14:textId="77777777" w:rsidR="00427F2B" w:rsidRDefault="00427F2B">
      <w:pPr>
        <w:spacing w:line="240" w:lineRule="auto"/>
        <w:jc w:val="both"/>
        <w:rPr>
          <w:color w:val="101214"/>
          <w:sz w:val="24"/>
          <w:szCs w:val="24"/>
        </w:rPr>
      </w:pPr>
    </w:p>
    <w:p w14:paraId="00000020" w14:textId="77777777" w:rsidR="00427F2B" w:rsidRDefault="00427F2B">
      <w:pPr>
        <w:spacing w:line="240" w:lineRule="auto"/>
        <w:jc w:val="both"/>
        <w:rPr>
          <w:color w:val="101214"/>
          <w:sz w:val="24"/>
          <w:szCs w:val="24"/>
        </w:rPr>
      </w:pPr>
    </w:p>
    <w:p w14:paraId="00000021" w14:textId="77777777" w:rsidR="00427F2B" w:rsidRDefault="00427F2B">
      <w:pPr>
        <w:spacing w:line="240" w:lineRule="auto"/>
        <w:jc w:val="both"/>
        <w:rPr>
          <w:color w:val="101214"/>
          <w:sz w:val="24"/>
          <w:szCs w:val="24"/>
        </w:rPr>
      </w:pPr>
    </w:p>
    <w:p w14:paraId="00000022" w14:textId="77777777" w:rsidR="00427F2B" w:rsidRDefault="00427F2B">
      <w:pPr>
        <w:spacing w:line="240" w:lineRule="auto"/>
        <w:jc w:val="both"/>
        <w:rPr>
          <w:color w:val="101214"/>
          <w:sz w:val="24"/>
          <w:szCs w:val="24"/>
        </w:rPr>
      </w:pPr>
    </w:p>
    <w:p w14:paraId="00000023" w14:textId="77777777" w:rsidR="00427F2B" w:rsidRDefault="00427F2B">
      <w:pPr>
        <w:spacing w:line="240" w:lineRule="auto"/>
        <w:jc w:val="both"/>
        <w:rPr>
          <w:color w:val="101214"/>
          <w:sz w:val="24"/>
          <w:szCs w:val="24"/>
        </w:rPr>
      </w:pPr>
    </w:p>
    <w:p w14:paraId="00000024" w14:textId="77777777" w:rsidR="00427F2B" w:rsidRDefault="00427F2B">
      <w:pPr>
        <w:spacing w:line="240" w:lineRule="auto"/>
        <w:jc w:val="both"/>
        <w:rPr>
          <w:color w:val="101214"/>
          <w:sz w:val="24"/>
          <w:szCs w:val="24"/>
        </w:rPr>
      </w:pPr>
    </w:p>
    <w:sectPr w:rsidR="00427F2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BB8501D-07A0-C44F-97CB-4549806A280D}"/>
    <w:embedItalic r:id="rId2" w:fontKey="{6C8B5FDF-AF27-EC4B-B0C3-95A5F17DEF94}"/>
  </w:font>
  <w:font w:name="Times New Roman">
    <w:panose1 w:val="02020603050405020304"/>
    <w:charset w:val="00"/>
    <w:family w:val="roman"/>
    <w:pitch w:val="variable"/>
    <w:sig w:usb0="E0002EFF" w:usb1="C000785B" w:usb2="00000009" w:usb3="00000000" w:csb0="000001FF" w:csb1="00000000"/>
    <w:embedRegular r:id="rId3" w:fontKey="{D20152A8-85D0-C048-B0DC-D541FFFFC796}"/>
  </w:font>
  <w:font w:name="Neuton">
    <w:charset w:val="00"/>
    <w:family w:val="auto"/>
    <w:pitch w:val="default"/>
    <w:embedRegular r:id="rId4" w:fontKey="{DA5F92E0-B3D3-A54B-B7D4-02BE2C86492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embedRegular r:id="rId5" w:fontKey="{CAA03525-2841-264F-B227-FDF92FEB3183}"/>
  </w:font>
  <w:font w:name="Cambria">
    <w:panose1 w:val="02040503050406030204"/>
    <w:charset w:val="00"/>
    <w:family w:val="roman"/>
    <w:pitch w:val="variable"/>
    <w:sig w:usb0="E00002FF" w:usb1="400004FF" w:usb2="00000000" w:usb3="00000000" w:csb0="0000019F" w:csb1="00000000"/>
    <w:embedRegular r:id="rId6" w:fontKey="{B5581021-981B-4E4B-9D55-5C18F9C79D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F2B"/>
    <w:rsid w:val="00427F2B"/>
    <w:rsid w:val="008A6576"/>
    <w:rsid w:val="00B51FB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2D326D75-246E-3645-B9BB-3F046ED5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anada.ca/content/dam/fin/publications/taxexp-depfisc/2026/taxexp-depfisc-26-eng.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nada.ca/en/revenue-agency/services/scientific-research-experimental-development-tax-incentive-program.html" TargetMode="External"/><Relationship Id="rId5" Type="http://schemas.openxmlformats.org/officeDocument/2006/relationships/hyperlink" Target="https://dais.ca/reports/can-canada-compute/" TargetMode="External"/><Relationship Id="rId4" Type="http://schemas.openxmlformats.org/officeDocument/2006/relationships/hyperlink" Target="https://cifar.ca/wp-content/uploads/2023/09/ImpactReport2223_ENG.pdf"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858</Words>
  <Characters>4897</Characters>
  <Application>Microsoft Office Word</Application>
  <DocSecurity>0</DocSecurity>
  <Lines>40</Lines>
  <Paragraphs>11</Paragraphs>
  <ScaleCrop>false</ScaleCrop>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Qingwen Z</cp:lastModifiedBy>
  <cp:revision>2</cp:revision>
  <dcterms:created xsi:type="dcterms:W3CDTF">2026-03-29T00:50:00Z</dcterms:created>
  <dcterms:modified xsi:type="dcterms:W3CDTF">2026-03-29T00:51:00Z</dcterms:modified>
</cp:coreProperties>
</file>