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 年季度报告</w:t>
      </w:r>
    </w:p>
    <w:p>
      <w:pPr>
        <w:jc w:val="both"/>
      </w:pPr>
      <w:r>
        <w:rPr>
          <w:b/>
          <w:color w:val="C0392B"/>
        </w:rPr>
        <w:t>营收同比增长 18%</w:t>
      </w:r>
      <w:r>
        <w:t xml:space="preserve"> ，这一增长主要来自 </w:t>
      </w:r>
      <w:r>
        <w:rPr>
          <w:i/>
        </w:rPr>
        <w:t>企业客户</w:t>
      </w:r>
      <w:r>
        <w:t>.</w:t>
      </w:r>
    </w:p>
    <w:p>
      <w:r>
        <w:t>团队持续投入自动化与客户支持，运营费用基本持平。</w:t>
      </w:r>
    </w:p>
    <w:p>
      <w:pPr>
        <w:pStyle w:val="Heading2"/>
      </w:pPr>
      <w:r>
        <w:t>展望</w:t>
      </w:r>
    </w:p>
    <w:p>
      <w:pPr>
        <w:pStyle w:val="ListBullet"/>
      </w:pPr>
      <w:r>
        <w:t>我们预计未来两个季度将继续增长。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营收</w:t>
            </w:r>
          </w:p>
        </w:tc>
        <w:tc>
          <w:tcPr>
            <w:tcW w:type="dxa" w:w="4320"/>
          </w:tcPr>
          <w:p>
            <w:r>
              <w:t>1,240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880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机密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