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 2024</w:t>
      </w:r>
    </w:p>
    <w:p>
      <w:pPr>
        <w:jc w:val="both"/>
      </w:pPr>
      <w:r>
        <w:rPr>
          <w:b/>
          <w:color w:val="C0392B"/>
        </w:rPr>
        <w:t>Revenue grew by 18 percent</w:t>
      </w:r>
      <w:r>
        <w:t xml:space="preserve"> compared with the same period last year, driven by strong demand in the </w:t>
      </w:r>
      <w:r>
        <w:rPr>
          <w:i/>
        </w:rPr>
        <w:t>enterprise segment</w:t>
      </w:r>
      <w:r>
        <w:t>.</w:t>
      </w:r>
    </w:p>
    <w:p>
      <w:r>
        <w:t>Operating expenses remained flat as the team continued to invest in automation and customer support.</w:t>
      </w:r>
    </w:p>
    <w:p>
      <w:pPr>
        <w:pStyle w:val="Heading2"/>
      </w:pPr>
      <w:r>
        <w:t>Outlook</w:t>
      </w:r>
    </w:p>
    <w:p>
      <w:pPr>
        <w:pStyle w:val="ListBullet"/>
      </w:pPr>
      <w:r>
        <w:t>We expect growth to continue in the next two quarters.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1,240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880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