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0E2341"/>
          <w:sz w:val="46"/>
        </w:rPr>
        <w:t>Customer Engagement Dashboard</w:t>
        <w:br/>
        <w:t>KPI Master Table</w:t>
      </w:r>
    </w:p>
    <w:p>
      <w:pPr>
        <w:jc w:val="center"/>
      </w:pPr>
      <w:r>
        <w:rPr>
          <w:color w:val="475467"/>
          <w:sz w:val="22"/>
        </w:rPr>
        <w:t>Business definitions, calculations, and data sources for the NovaCarta customer engagement KPI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3"/>
      </w:tblGrid>
      <w:tr>
        <w:tc>
          <w:tcPr>
            <w:tcW w:type="dxa" w:w="13912"/>
            <w:shd w:fill="0E234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Reference scope</w:t>
            </w:r>
          </w:p>
          <w:p>
            <w:r>
              <w:rPr>
                <w:color w:val="FFFFFF"/>
                <w:sz w:val="18"/>
              </w:rPr>
              <w:t>This document summarizes the core customer-engagement KPIs used in the NovaCarta training materials. It is designed as a quick-reference companion for dashboard users, analysts, and enablement teams.</w:t>
            </w:r>
          </w:p>
        </w:tc>
      </w:tr>
    </w:tbl>
    <w:p/>
    <w:p>
      <w:pPr>
        <w:jc w:val="center"/>
      </w:pPr>
      <w:r>
        <w:rPr>
          <w:i/>
          <w:color w:val="667085"/>
          <w:sz w:val="19"/>
        </w:rPr>
        <w:t>Use this file as the Word equivalent of the KPI spreadsheet: one place to see what each KPI means, how it is calculated, and which dataset elements support it.</w:t>
      </w:r>
    </w:p>
    <w:p>
      <w:r>
        <w:br w:type="page"/>
      </w:r>
    </w:p>
    <w:p>
      <w:r>
        <w:rPr>
          <w:b/>
          <w:color w:val="0E2341"/>
          <w:sz w:val="32"/>
        </w:rPr>
        <w:t>Customer Engagement KPI Reference</w:t>
      </w:r>
    </w:p>
    <w:p>
      <w:r>
        <w:rPr>
          <w:color w:val="344054"/>
          <w:sz w:val="18"/>
        </w:rPr>
        <w:t>The table below follows the same logic as the spreadsheet version, but is formatted for human-readable training and documentation. Definitions are written in business language first, calculations are written in dashboard-friendly terms, and the data-source column shows where the KPI is sourced in the NovaCarta model.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649"/>
        <w:gridCol w:w="2891"/>
        <w:gridCol w:w="4535"/>
      </w:tblGrid>
      <w:tr>
        <w:trPr>
          <w:tblHeader w:val="true"/>
        </w:trPr>
        <w:tc>
          <w:tcPr>
            <w:tcW w:type="dxa" w:w="3478"/>
            <w:shd w:fill="0E23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3478"/>
            <w:shd w:fill="0E23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Definition</w:t>
            </w:r>
          </w:p>
        </w:tc>
        <w:tc>
          <w:tcPr>
            <w:tcW w:type="dxa" w:w="3478"/>
            <w:shd w:fill="0E23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Calculation</w:t>
            </w:r>
          </w:p>
        </w:tc>
        <w:tc>
          <w:tcPr>
            <w:tcW w:type="dxa" w:w="3478"/>
            <w:shd w:fill="0E23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Digital Channel Coverage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Percentage of the target HCP universe reached through digital channels. In this dashboard, digital reach combines approved email and web-based interactions.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Digital HCPs Reached ÷ Total Target HCP Universe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FACT_Coverage (kpi006_digital_coverage_pct) derived from FACT_Interactions flags for web and email, plus target universe fields in FACT_Coverage.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Email Utilization Rate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Percentage of consented HCPs who received at least one approved promotional or informational email in the selected period.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Consented HCPs with ≥1 approved email ÷ Total Consented HCPs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(is_email_flag / kpi014_promo_email_flag), filtered by consent logic from DIM_Account[consent_status].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Event Follow-up Rate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Percentage of HCPs who attended an event and then received a documented follow-up interaction within the expected follow-up window.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Event Attendees with Follow-up ÷ Total Event Attendees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using is_event_flag and kpi008_event_followup_flag.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Interaction Frequency TC1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Average number of completed interactions delivered to high-priority target-class-1 accounts during the selected period.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Total TC1 Interactions ÷ Distinct TC1 Accounts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using kpi012_tc1_interaction_flag; target class sourced from FACT_Account_Metrics[target_class].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Interaction Frequency TC2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Average number of completed interactions delivered to medium-priority target-class-2 accounts during the selected period.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Total TC2 Interactions ÷ Distinct TC2 Accounts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using kpi013_tc2_interaction_flag; target class sourced from FACT_Account_Metrics[target_class].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Promotional Email Effectiveness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Share of promotional emails that generated a documented engagement signal, such as interaction continuation, click-through proxy, or follow-up outcome.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Promotional Emails with Engagement ÷ Total Promotional Emails Sent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using kpi014_promo_email_flag and related email / follow-up engagement markers.</w:t>
            </w:r>
          </w:p>
        </w:tc>
      </w:tr>
      <w:tr>
        <w:tc>
          <w:tcPr>
            <w:tcW w:type="dxa" w:w="243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b/>
                <w:color w:val="344054"/>
                <w:sz w:val="17"/>
              </w:rPr>
              <w:t>Multi-Channel Engagement Score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Weighted score that reflects how well multiple engagement channels are combined for the same HCP or account. This KPI is intended to measure orchestration quality, not just channel volume.</w:t>
            </w:r>
          </w:p>
        </w:tc>
        <w:tc>
          <w:tcPr>
            <w:tcW w:type="dxa" w:w="289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Weighted Composite of Channel Diversity, Sequence, and Recency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40" w:before="0"/>
              <w:jc w:val="left"/>
            </w:pPr>
            <w:r>
              <w:rPr>
                <w:color w:val="344054"/>
                <w:sz w:val="17"/>
              </w:rPr>
              <w:t>FACT_Interactions using kpi015_multichannel_score, supported by channel flags (F2F, web, email, event).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Customer Engagement KPI Master Table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