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计算机技术与金融信息检索硕士论文选题报告</w:t>
      </w:r>
    </w:p>
    <w:p>
      <w:r>
        <w:t>提交用途：导师选题讨论与开题准备</w:t>
      </w:r>
    </w:p>
    <w:p>
      <w:r>
        <w:t>编制日期：2026年10月7日</w:t>
      </w:r>
    </w:p>
    <w:p>
      <w:r>
        <w:t>计划开题：2026年10月底</w:t>
      </w:r>
    </w:p>
    <w:p>
      <w:r>
        <w:t>研究周期：约六个月</w:t>
      </w:r>
    </w:p>
    <w:p>
      <w:r>
        <w:t>实验条件：仅使用公开资料与自建标注，采用租赁GPU及可获得的大模型API</w:t>
      </w:r>
    </w:p>
    <w:p>
      <w:pPr>
        <w:pStyle w:val="Heading1"/>
      </w:pPr>
      <w:r>
        <w:t>一 选题结论与研究边界</w:t>
      </w:r>
    </w:p>
    <w:p>
      <w:r>
        <w:t>建议优先讨论题目二“面向基金找品的多路证据一致性约束重排序方法研究”。它与实习中的AI搜索链路直接对应，能够固定召回和生成模块、单独验证排序方法，计算资源较易控制。题目一适合突出金融对象本身的结构与数据缺失问题；题目三适合研究生成可信性，但事实标注和创新论证难度较高。</w:t>
      </w:r>
    </w:p>
    <w:p>
      <w:r>
        <w:t>三个题目是备选方案，最终选择其中一个完成论文。实习项目提供问题来源和工程经验，论文实验重新建设公开数据、基线及评测集。研究对象是基金信息相关性、搜索排序和证据支持的文本生成；基金投资收益预测、个性化资产配置及收益保证不属于本报告的研究目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1735"/>
        <w:gridCol w:w="2217"/>
        <w:gridCol w:w="1253"/>
        <w:gridCol w:w="1253"/>
        <w:gridCol w:w="867"/>
      </w:tblGrid>
      <w:tr>
        <w:trPr>
          <w:cantSplit/>
          <w:tblHeader/>
        </w:trPr>
        <w:tc>
          <w:tcPr>
            <w:tcW w:type="dxa" w:w="2313"/>
            <w:vAlign w:val="center"/>
            <w:tcMar>
              <w:top w:w="90" w:type="dxa"/>
              <w:left w:w="90" w:type="dxa"/>
              <w:bottom w:w="90" w:type="dxa"/>
              <w:right w:w="90" w:type="dxa"/>
            </w:tcMar>
            <w:shd w:fill="E8EDF2"/>
          </w:tcPr>
          <w:p>
            <w:pPr>
              <w:spacing w:after="40" w:before="40" w:line="264" w:lineRule="auto"/>
            </w:pPr>
            <w:r>
              <w:rPr>
                <w:b/>
                <w:sz w:val="18"/>
              </w:rPr>
              <w:t>候选题目</w:t>
            </w:r>
          </w:p>
        </w:tc>
        <w:tc>
          <w:tcPr>
            <w:tcW w:type="dxa" w:w="1735"/>
            <w:vAlign w:val="center"/>
            <w:tcMar>
              <w:top w:w="90" w:type="dxa"/>
              <w:left w:w="90" w:type="dxa"/>
              <w:bottom w:w="90" w:type="dxa"/>
              <w:right w:w="90" w:type="dxa"/>
            </w:tcMar>
            <w:shd w:fill="E8EDF2"/>
          </w:tcPr>
          <w:p>
            <w:pPr>
              <w:spacing w:after="40" w:before="40" w:line="264" w:lineRule="auto"/>
            </w:pPr>
            <w:r>
              <w:rPr>
                <w:b/>
                <w:sz w:val="18"/>
              </w:rPr>
              <w:t>主要研究对象</w:t>
            </w:r>
          </w:p>
        </w:tc>
        <w:tc>
          <w:tcPr>
            <w:tcW w:type="dxa" w:w="2217"/>
            <w:vAlign w:val="center"/>
            <w:tcMar>
              <w:top w:w="90" w:type="dxa"/>
              <w:left w:w="90" w:type="dxa"/>
              <w:bottom w:w="90" w:type="dxa"/>
              <w:right w:w="90" w:type="dxa"/>
            </w:tcMar>
            <w:shd w:fill="E8EDF2"/>
          </w:tcPr>
          <w:p>
            <w:pPr>
              <w:spacing w:after="40" w:before="40" w:line="264" w:lineRule="auto"/>
            </w:pPr>
            <w:r>
              <w:rPr>
                <w:b/>
                <w:sz w:val="18"/>
              </w:rPr>
              <w:t>核心方法假设</w:t>
            </w:r>
          </w:p>
        </w:tc>
        <w:tc>
          <w:tcPr>
            <w:tcW w:type="dxa" w:w="1253"/>
            <w:vAlign w:val="center"/>
            <w:tcMar>
              <w:top w:w="90" w:type="dxa"/>
              <w:left w:w="90" w:type="dxa"/>
              <w:bottom w:w="90" w:type="dxa"/>
              <w:right w:w="90" w:type="dxa"/>
            </w:tcMar>
            <w:shd w:fill="E8EDF2"/>
          </w:tcPr>
          <w:p>
            <w:pPr>
              <w:spacing w:after="40" w:before="40" w:line="264" w:lineRule="auto"/>
            </w:pPr>
            <w:r>
              <w:rPr>
                <w:b/>
                <w:sz w:val="18"/>
              </w:rPr>
              <w:t>首要指标</w:t>
            </w:r>
          </w:p>
        </w:tc>
        <w:tc>
          <w:tcPr>
            <w:tcW w:type="dxa" w:w="1253"/>
            <w:vAlign w:val="center"/>
            <w:tcMar>
              <w:top w:w="90" w:type="dxa"/>
              <w:left w:w="90" w:type="dxa"/>
              <w:bottom w:w="90" w:type="dxa"/>
              <w:right w:w="90" w:type="dxa"/>
            </w:tcMar>
            <w:shd w:fill="E8EDF2"/>
          </w:tcPr>
          <w:p>
            <w:pPr>
              <w:spacing w:after="40" w:before="40" w:line="264" w:lineRule="auto"/>
            </w:pPr>
            <w:r>
              <w:rPr>
                <w:b/>
                <w:sz w:val="18"/>
              </w:rPr>
              <w:t>主要难点</w:t>
            </w:r>
          </w:p>
        </w:tc>
        <w:tc>
          <w:tcPr>
            <w:tcW w:type="dxa" w:w="867"/>
            <w:vAlign w:val="center"/>
            <w:tcMar>
              <w:top w:w="90" w:type="dxa"/>
              <w:left w:w="90" w:type="dxa"/>
              <w:bottom w:w="90" w:type="dxa"/>
              <w:right w:w="90" w:type="dxa"/>
            </w:tcMar>
            <w:shd w:fill="E8EDF2"/>
          </w:tcPr>
          <w:p>
            <w:pPr>
              <w:spacing w:after="40" w:before="40" w:line="264" w:lineRule="auto"/>
            </w:pPr>
            <w:r>
              <w:rPr>
                <w:b/>
                <w:sz w:val="18"/>
              </w:rPr>
              <w:t>建议顺序</w:t>
            </w:r>
          </w:p>
        </w:tc>
      </w:tr>
      <w:tr>
        <w:trPr>
          <w:cantSplit/>
        </w:trPr>
        <w:tc>
          <w:tcPr>
            <w:tcW w:type="dxa" w:w="2313"/>
            <w:vAlign w:val="center"/>
            <w:tcMar>
              <w:top w:w="90" w:type="dxa"/>
              <w:left w:w="90" w:type="dxa"/>
              <w:bottom w:w="90" w:type="dxa"/>
              <w:right w:w="90" w:type="dxa"/>
            </w:tcMar>
            <w:shd w:fill="FFFFFF"/>
          </w:tcPr>
          <w:p>
            <w:pPr>
              <w:spacing w:after="40" w:before="40" w:line="264" w:lineRule="auto"/>
            </w:pPr>
            <w:r>
              <w:rPr>
                <w:sz w:val="18"/>
              </w:rPr>
              <w:t>一 面向证据缺失的公募基金多视图相关性学习方法研究</w:t>
            </w:r>
          </w:p>
        </w:tc>
        <w:tc>
          <w:tcPr>
            <w:tcW w:type="dxa" w:w="1735"/>
            <w:vAlign w:val="center"/>
            <w:tcMar>
              <w:top w:w="90" w:type="dxa"/>
              <w:left w:w="90" w:type="dxa"/>
              <w:bottom w:w="90" w:type="dxa"/>
              <w:right w:w="90" w:type="dxa"/>
            </w:tcMar>
            <w:shd w:fill="FFFFFF"/>
          </w:tcPr>
          <w:p>
            <w:pPr>
              <w:spacing w:after="40" w:before="40" w:line="264" w:lineRule="auto"/>
            </w:pPr>
            <w:r>
              <w:rPr>
                <w:sz w:val="18"/>
              </w:rPr>
              <w:t>基金与基金相关性，查询与基金为辅助任务</w:t>
            </w:r>
          </w:p>
        </w:tc>
        <w:tc>
          <w:tcPr>
            <w:tcW w:type="dxa" w:w="2217"/>
            <w:vAlign w:val="center"/>
            <w:tcMar>
              <w:top w:w="90" w:type="dxa"/>
              <w:left w:w="90" w:type="dxa"/>
              <w:bottom w:w="90" w:type="dxa"/>
              <w:right w:w="90" w:type="dxa"/>
            </w:tcMar>
            <w:shd w:fill="FFFFFF"/>
          </w:tcPr>
          <w:p>
            <w:pPr>
              <w:spacing w:after="40" w:before="40" w:line="264" w:lineRule="auto"/>
            </w:pPr>
            <w:r>
              <w:rPr>
                <w:sz w:val="18"/>
              </w:rPr>
              <w:t>按策略与证据完整度学习视图权重及关系表示</w:t>
            </w:r>
          </w:p>
        </w:tc>
        <w:tc>
          <w:tcPr>
            <w:tcW w:type="dxa" w:w="1253"/>
            <w:vAlign w:val="center"/>
            <w:tcMar>
              <w:top w:w="90" w:type="dxa"/>
              <w:left w:w="90" w:type="dxa"/>
              <w:bottom w:w="90" w:type="dxa"/>
              <w:right w:w="90" w:type="dxa"/>
            </w:tcMar>
            <w:shd w:fill="FFFFFF"/>
          </w:tcPr>
          <w:p>
            <w:pPr>
              <w:spacing w:after="40" w:before="40" w:line="264" w:lineRule="auto"/>
            </w:pPr>
            <w:r>
              <w:rPr>
                <w:sz w:val="18"/>
              </w:rPr>
              <w:t>人工金标nDCG@10</w:t>
            </w:r>
          </w:p>
        </w:tc>
        <w:tc>
          <w:tcPr>
            <w:tcW w:type="dxa" w:w="1253"/>
            <w:vAlign w:val="center"/>
            <w:tcMar>
              <w:top w:w="90" w:type="dxa"/>
              <w:left w:w="90" w:type="dxa"/>
              <w:bottom w:w="90" w:type="dxa"/>
              <w:right w:w="90" w:type="dxa"/>
            </w:tcMar>
            <w:shd w:fill="FFFFFF"/>
          </w:tcPr>
          <w:p>
            <w:pPr>
              <w:spacing w:after="40" w:before="40" w:line="264" w:lineRule="auto"/>
            </w:pPr>
            <w:r>
              <w:rPr>
                <w:sz w:val="18"/>
              </w:rPr>
              <w:t>基金关系标签与多期资料</w:t>
            </w:r>
          </w:p>
        </w:tc>
        <w:tc>
          <w:tcPr>
            <w:tcW w:type="dxa" w:w="867"/>
            <w:vAlign w:val="center"/>
            <w:tcMar>
              <w:top w:w="90" w:type="dxa"/>
              <w:left w:w="90" w:type="dxa"/>
              <w:bottom w:w="90" w:type="dxa"/>
              <w:right w:w="90" w:type="dxa"/>
            </w:tcMar>
            <w:shd w:fill="FFFFFF"/>
          </w:tcPr>
          <w:p>
            <w:pPr>
              <w:spacing w:after="40" w:before="40" w:line="264" w:lineRule="auto"/>
            </w:pPr>
            <w:r>
              <w:rPr>
                <w:sz w:val="18"/>
              </w:rPr>
              <w:t>第二</w:t>
            </w:r>
          </w:p>
        </w:tc>
      </w:tr>
      <w:tr>
        <w:trPr>
          <w:cantSplit/>
        </w:trPr>
        <w:tc>
          <w:tcPr>
            <w:tcW w:type="dxa" w:w="2313"/>
            <w:vAlign w:val="center"/>
            <w:tcMar>
              <w:top w:w="90" w:type="dxa"/>
              <w:left w:w="90" w:type="dxa"/>
              <w:bottom w:w="90" w:type="dxa"/>
              <w:right w:w="90" w:type="dxa"/>
            </w:tcMar>
            <w:shd w:fill="F7F8FA"/>
          </w:tcPr>
          <w:p>
            <w:pPr>
              <w:spacing w:after="40" w:before="40" w:line="264" w:lineRule="auto"/>
            </w:pPr>
            <w:r>
              <w:rPr>
                <w:sz w:val="18"/>
              </w:rPr>
              <w:t>二 面向基金找品的多路证据一致性约束重排序方法研究</w:t>
            </w:r>
          </w:p>
        </w:tc>
        <w:tc>
          <w:tcPr>
            <w:tcW w:type="dxa" w:w="1735"/>
            <w:vAlign w:val="center"/>
            <w:tcMar>
              <w:top w:w="90" w:type="dxa"/>
              <w:left w:w="90" w:type="dxa"/>
              <w:bottom w:w="90" w:type="dxa"/>
              <w:right w:w="90" w:type="dxa"/>
            </w:tcMar>
            <w:shd w:fill="F7F8FA"/>
          </w:tcPr>
          <w:p>
            <w:pPr>
              <w:spacing w:after="40" w:before="40" w:line="264" w:lineRule="auto"/>
            </w:pPr>
            <w:r>
              <w:rPr>
                <w:sz w:val="18"/>
              </w:rPr>
              <w:t>查询与候选基金及其多路证据</w:t>
            </w:r>
          </w:p>
        </w:tc>
        <w:tc>
          <w:tcPr>
            <w:tcW w:type="dxa" w:w="2217"/>
            <w:vAlign w:val="center"/>
            <w:tcMar>
              <w:top w:w="90" w:type="dxa"/>
              <w:left w:w="90" w:type="dxa"/>
              <w:bottom w:w="90" w:type="dxa"/>
              <w:right w:w="90" w:type="dxa"/>
            </w:tcMar>
            <w:shd w:fill="F7F8FA"/>
          </w:tcPr>
          <w:p>
            <w:pPr>
              <w:spacing w:after="40" w:before="40" w:line="264" w:lineRule="auto"/>
            </w:pPr>
            <w:r>
              <w:rPr>
                <w:sz w:val="18"/>
              </w:rPr>
              <w:t>去重后学习实体关系证据支持和冲突约束</w:t>
            </w:r>
          </w:p>
        </w:tc>
        <w:tc>
          <w:tcPr>
            <w:tcW w:type="dxa" w:w="1253"/>
            <w:vAlign w:val="center"/>
            <w:tcMar>
              <w:top w:w="90" w:type="dxa"/>
              <w:left w:w="90" w:type="dxa"/>
              <w:bottom w:w="90" w:type="dxa"/>
              <w:right w:w="90" w:type="dxa"/>
            </w:tcMar>
            <w:shd w:fill="F7F8FA"/>
          </w:tcPr>
          <w:p>
            <w:pPr>
              <w:spacing w:after="40" w:before="40" w:line="264" w:lineRule="auto"/>
            </w:pPr>
            <w:r>
              <w:rPr>
                <w:sz w:val="18"/>
              </w:rPr>
              <w:t>人工金标nDCG@10</w:t>
            </w:r>
          </w:p>
        </w:tc>
        <w:tc>
          <w:tcPr>
            <w:tcW w:type="dxa" w:w="1253"/>
            <w:vAlign w:val="center"/>
            <w:tcMar>
              <w:top w:w="90" w:type="dxa"/>
              <w:left w:w="90" w:type="dxa"/>
              <w:bottom w:w="90" w:type="dxa"/>
              <w:right w:w="90" w:type="dxa"/>
            </w:tcMar>
            <w:shd w:fill="F7F8FA"/>
          </w:tcPr>
          <w:p>
            <w:pPr>
              <w:spacing w:after="40" w:before="40" w:line="264" w:lineRule="auto"/>
            </w:pPr>
            <w:r>
              <w:rPr>
                <w:sz w:val="18"/>
              </w:rPr>
              <w:t>公共查询集与来源偏差</w:t>
            </w:r>
          </w:p>
        </w:tc>
        <w:tc>
          <w:tcPr>
            <w:tcW w:type="dxa" w:w="867"/>
            <w:vAlign w:val="center"/>
            <w:tcMar>
              <w:top w:w="90" w:type="dxa"/>
              <w:left w:w="90" w:type="dxa"/>
              <w:bottom w:w="90" w:type="dxa"/>
              <w:right w:w="90" w:type="dxa"/>
            </w:tcMar>
            <w:shd w:fill="F7F8FA"/>
          </w:tcPr>
          <w:p>
            <w:pPr>
              <w:spacing w:after="40" w:before="40" w:line="264" w:lineRule="auto"/>
            </w:pPr>
            <w:r>
              <w:rPr>
                <w:sz w:val="18"/>
              </w:rPr>
              <w:t>第一</w:t>
            </w:r>
          </w:p>
        </w:tc>
      </w:tr>
      <w:tr>
        <w:trPr>
          <w:cantSplit/>
        </w:trPr>
        <w:tc>
          <w:tcPr>
            <w:tcW w:type="dxa" w:w="2313"/>
            <w:vAlign w:val="center"/>
            <w:tcMar>
              <w:top w:w="90" w:type="dxa"/>
              <w:left w:w="90" w:type="dxa"/>
              <w:bottom w:w="90" w:type="dxa"/>
              <w:right w:w="90" w:type="dxa"/>
            </w:tcMar>
            <w:shd w:fill="FFFFFF"/>
          </w:tcPr>
          <w:p>
            <w:pPr>
              <w:spacing w:after="40" w:before="40" w:line="264" w:lineRule="auto"/>
            </w:pPr>
            <w:r>
              <w:rPr>
                <w:sz w:val="18"/>
              </w:rPr>
              <w:t>三 面向基金搜索的时点一致性约束可验证理由生成方法研究</w:t>
            </w:r>
          </w:p>
        </w:tc>
        <w:tc>
          <w:tcPr>
            <w:tcW w:type="dxa" w:w="1735"/>
            <w:vAlign w:val="center"/>
            <w:tcMar>
              <w:top w:w="90" w:type="dxa"/>
              <w:left w:w="90" w:type="dxa"/>
              <w:bottom w:w="90" w:type="dxa"/>
              <w:right w:w="90" w:type="dxa"/>
            </w:tcMar>
            <w:shd w:fill="FFFFFF"/>
          </w:tcPr>
          <w:p>
            <w:pPr>
              <w:spacing w:after="40" w:before="40" w:line="264" w:lineRule="auto"/>
            </w:pPr>
            <w:r>
              <w:rPr>
                <w:sz w:val="18"/>
              </w:rPr>
              <w:t>已选基金的相关理由和简短总结</w:t>
            </w:r>
          </w:p>
        </w:tc>
        <w:tc>
          <w:tcPr>
            <w:tcW w:type="dxa" w:w="2217"/>
            <w:vAlign w:val="center"/>
            <w:tcMar>
              <w:top w:w="90" w:type="dxa"/>
              <w:left w:w="90" w:type="dxa"/>
              <w:bottom w:w="90" w:type="dxa"/>
              <w:right w:w="90" w:type="dxa"/>
            </w:tcMar>
            <w:shd w:fill="FFFFFF"/>
          </w:tcPr>
          <w:p>
            <w:pPr>
              <w:spacing w:after="40" w:before="40" w:line="264" w:lineRule="auto"/>
            </w:pPr>
            <w:r>
              <w:rPr>
                <w:sz w:val="18"/>
              </w:rPr>
              <w:t>先选择可支持的关系声明，再按披露时点约束生成</w:t>
            </w:r>
          </w:p>
        </w:tc>
        <w:tc>
          <w:tcPr>
            <w:tcW w:type="dxa" w:w="1253"/>
            <w:vAlign w:val="center"/>
            <w:tcMar>
              <w:top w:w="90" w:type="dxa"/>
              <w:left w:w="90" w:type="dxa"/>
              <w:bottom w:w="90" w:type="dxa"/>
              <w:right w:w="90" w:type="dxa"/>
            </w:tcMar>
            <w:shd w:fill="FFFFFF"/>
          </w:tcPr>
          <w:p>
            <w:pPr>
              <w:spacing w:after="40" w:before="40" w:line="264" w:lineRule="auto"/>
            </w:pPr>
            <w:r>
              <w:rPr>
                <w:sz w:val="18"/>
              </w:rPr>
              <w:t>人工事实支持率和证据覆盖率</w:t>
            </w:r>
          </w:p>
        </w:tc>
        <w:tc>
          <w:tcPr>
            <w:tcW w:type="dxa" w:w="1253"/>
            <w:vAlign w:val="center"/>
            <w:tcMar>
              <w:top w:w="90" w:type="dxa"/>
              <w:left w:w="90" w:type="dxa"/>
              <w:bottom w:w="90" w:type="dxa"/>
              <w:right w:w="90" w:type="dxa"/>
            </w:tcMar>
            <w:shd w:fill="FFFFFF"/>
          </w:tcPr>
          <w:p>
            <w:pPr>
              <w:spacing w:after="40" w:before="40" w:line="264" w:lineRule="auto"/>
            </w:pPr>
            <w:r>
              <w:rPr>
                <w:sz w:val="18"/>
              </w:rPr>
              <w:t>声明级标注及强基线</w:t>
            </w:r>
          </w:p>
        </w:tc>
        <w:tc>
          <w:tcPr>
            <w:tcW w:type="dxa" w:w="867"/>
            <w:vAlign w:val="center"/>
            <w:tcMar>
              <w:top w:w="90" w:type="dxa"/>
              <w:left w:w="90" w:type="dxa"/>
              <w:bottom w:w="90" w:type="dxa"/>
              <w:right w:w="90" w:type="dxa"/>
            </w:tcMar>
            <w:shd w:fill="FFFFFF"/>
          </w:tcPr>
          <w:p>
            <w:pPr>
              <w:spacing w:after="40" w:before="40" w:line="264" w:lineRule="auto"/>
            </w:pPr>
            <w:r>
              <w:rPr>
                <w:sz w:val="18"/>
              </w:rPr>
              <w:t>第三</w:t>
            </w:r>
          </w:p>
        </w:tc>
      </w:tr>
    </w:tbl>
    <w:p>
      <w:pPr>
        <w:spacing w:after="40" w:before="0" w:line="120" w:lineRule="auto"/>
      </w:pPr>
      <w:r>
        <w:rPr>
          <w:sz w:val="4"/>
        </w:rPr>
      </w:r>
    </w:p>
    <w:p>
      <w:r>
        <w:t>研究贡献是否达到硕士学位要求，取决于具体方法、独立实验、论文完整性和学院及导师要求。下面的创新点均为待验证的研究假设，不预先宣称“首次提出”，也不将尚未开展的实验写成结果。开题前应精读核心论文全文并继续做前向引用检索，尤其核查2025至2026年的相近研究。</w:t>
      </w:r>
    </w:p>
    <w:p>
      <w:pPr>
        <w:pStyle w:val="Heading1"/>
      </w:pPr>
      <w:r>
        <w:t>二 实习项目提供的问题基础</w:t>
      </w:r>
    </w:p>
    <w:p>
      <w:pPr>
        <w:pStyle w:val="Heading2"/>
      </w:pPr>
      <w:r>
        <w:t>2.1 相关基金项目</w:t>
      </w:r>
    </w:p>
    <w:p>
      <w:r>
        <w:t>实习中的相关基金流程采用按基金类型召回、结构化关系证据计算、大模型排序、理由生成和本地输出校验。可利用的关系包括同产品不同份额、同跟踪指数、行业主题、持仓、经理和分类。项目迭代记录显示，按大类或单一关系召回会产生过宽候选；不同基金策略需要不同证据，缺少持仓或标签时也需要合理处理。</w:t>
      </w:r>
    </w:p>
    <w:p>
      <w:r>
        <w:t>现有工程尤其暴露出三类值得学术化的问题。第一，产品长期投资策略、阶段性持仓暴露与名称中的主题词不能直接等同。第二，数据缺失不能简单解释为“没有关联”，也不能默认为有利证据。第三，用同一套规则生成排名并评价排名，会产生循环论证。因而论文应学习相关性并用独立人工判断评价，而不是仅增加规则或调整Prompt。</w:t>
      </w:r>
    </w:p>
    <w:p>
      <w:pPr>
        <w:pStyle w:val="Heading2"/>
      </w:pPr>
      <w:r>
        <w:t>2.2 基金找品AI搜索项目</w:t>
      </w:r>
    </w:p>
    <w:p>
      <w:r>
        <w:t>AI搜索实现包含意图识别、查询改写、联网检索、资讯检索、候选抽取或重排序、实体标准化及扩展、结果总结。已存在用于生成SFT样本的脚本和用于RAG候选判定的Prompt。当前任务实际上包含两个对象：文章与查询相关，以及从文章提取的产品与查询相关。二者不能混为一个标签。</w:t>
      </w:r>
    </w:p>
    <w:p>
      <w:r>
        <w:t>当前Prompt中既有“每个产品类型尽量覆盖”的要求，也有“宁缺毋滥、无强证据则不输出”的要求。历史版本与训练数据生成方式不同，不能直接认定所有约束都在线上同时生效，但可以据此提出一个可检验问题：多路证据下，模型是否把共现频次、来源标签或凑数要求当成产品相关性的替代信号？另一个问题是，模型生成的简短理由能否准确落到具体产品、具体关系和可见证据上。</w:t>
      </w:r>
    </w:p>
    <w:p>
      <w:pPr>
        <w:pStyle w:val="Heading2"/>
      </w:pPr>
      <w:r>
        <w:t>2.3 财富搜索项目提供的补充问题</w:t>
      </w:r>
    </w:p>
    <w:p>
      <w:r>
        <w:t>财富搜索实现将自然语言解析为基金类型、投资区域、风格、份额、周期、行业概念、指数、公司、经理、重仓股等槽位，再进行多策略匹配与加权排序。它提供了第三类备选方向：多条件查询中的硬约束与软偏好分离。例如“半导体C类基金”中的份额条件不宜被其他主题得分抵消。该方向工程来源明确，但需要足量复合查询和否定条件标注，故本报告将其作为题目二的扩展或后备方向，不额外占用三个正式题目。</w:t>
      </w:r>
    </w:p>
    <w:p>
      <w:pPr>
        <w:pStyle w:val="Heading1"/>
        <w:pageBreakBefore/>
      </w:pPr>
      <w:r>
        <w:t>三 题目一 面向证据缺失的公募基金多视图相关性学习方法研究</w:t>
      </w:r>
    </w:p>
    <w:p>
      <w:pPr>
        <w:pStyle w:val="Heading2"/>
      </w:pPr>
      <w:r>
        <w:t>3.1 选题来源与具体问题</w:t>
      </w:r>
    </w:p>
    <w:p>
      <w:r>
        <w:t>该题来自相关基金项目。实际任务不是判断两只基金名称是否相似，而是在不同产品策略、字段可用性和披露时点下，判断其是否具有可核验的共同投资暴露或策略关系。仅有相同经理、相同大类或相近收益走势，通常不足以证明较强相关；同指数关系、持仓关系与同产品不同份额关系也有不同含义。</w:t>
      </w:r>
    </w:p>
    <w:p>
      <w:r>
        <w:t>建议以中国境内股票型及偏股混合基金为主要范围，覆盖指数基金与主动权益基金。债券、货币、FOF和QDII作为后续扩展，避免在六个月内同时解决多类异质产品。A/C等份额保留代码级信息，但在数据切分和展示评价中识别同产品家族，防止重复份额制造高分和训练泄漏。</w:t>
      </w:r>
    </w:p>
    <w:p>
      <w:pPr>
        <w:pStyle w:val="Heading2"/>
      </w:pPr>
      <w:r>
        <w:t>3.2 学术任务与研究价值</w:t>
      </w:r>
    </w:p>
    <w:p>
      <w:r>
        <w:t>将问题定义为带缺失视图的内容相关性排序。给定源基金f、候选基金g和截至查询时点t已经披露的证据E，学习分数s(f,g,E,t)，输出按相关性排列的候选及结构化关系类型。主要视图包括投资目标及策略文本、跟踪指数、披露持仓图和资产配置结构。持仓日期与公告发布日期分别记录；未披露的未来持仓不得进入输入。</w:t>
      </w:r>
    </w:p>
    <w:p>
      <w:r>
        <w:t>为避免“相关基金”概念过宽，金标以“共同投资暴露或策略关系”为目标，而不是个人适配性或未来业绩。标签采用0至3级：0为无可支持关系或策略冲突；1为只有宽泛同类；2为有明确共同暴露或相近策略；3为同跟踪标的或多项证据支持的强关系。同时单列“证据不足无法判断”，不将其机械编码为0。关系类型多标签记录同指数、同产品份额、持仓暴露、策略文本一致等；共同持仓不自动等于可替代。</w:t>
      </w:r>
    </w:p>
    <w:p>
      <w:r>
        <w:t>查询与基金相关度可设为辅助任务：在共享基金编码器上分别设置基金对和查询对评分头。它检验结构信息是否帮助主题查询，而不把两个不同任务强行共用一套标签。最小论文只完成基金与基金主任务，辅助任务在主任务稳定后实施。</w:t>
      </w:r>
    </w:p>
    <w:p>
      <w:pPr>
        <w:pStyle w:val="Heading2"/>
      </w:pPr>
      <w:r>
        <w:t>3.3 文献综述与尚需解决的部分</w:t>
      </w:r>
    </w:p>
    <w:p>
      <w:r/>
      <w:r>
        <w:rPr>
          <w:b/>
        </w:rPr>
        <w:t>基金相似度与图表示。</w:t>
      </w:r>
      <w:r>
        <w:t xml:space="preserve"> Fund2Vec[1]直接针对基金相似性，在基金与持仓资产的加权二部图上使用Node2Vec学习表示，已说明图学习能够超越简单持仓重合。因而“用持仓图判断基金相似”不是本题创新。其研究设定以美国权益指数基金和较完整持仓为主，本题关注公开中文文本与不完整持仓共同构成的证据，以及在独立相关性标签上的缺失鲁棒排序。</w:t>
      </w:r>
    </w:p>
    <w:p>
      <w:r/>
      <w:r>
        <w:rPr>
          <w:b/>
        </w:rPr>
        <w:t>语义表示与中文资源。</w:t>
      </w:r>
      <w:r>
        <w:t xml:space="preserve"> Sentence-BERT[2]建立高效文本相似性编码方法；C-Pack[3]提供中文嵌入模型及C-MTEB资源；BGE-M3[4]支持不同检索模式和文本粒度；Qwen3 Embedding[5]提供嵌入与重排序系列。这些方法适合作为强基线，不能仅通过替换编码模型或加入金融术语声称创新。文本相似也不能直接代表基金真实策略或投资暴露相似。</w:t>
      </w:r>
    </w:p>
    <w:p>
      <w:r/>
      <w:r>
        <w:rPr>
          <w:b/>
        </w:rPr>
        <w:t>中文多视图与知识推荐研究。</w:t>
      </w:r>
      <w:r>
        <w:t xml:space="preserve"> 刘晓琳等[6]研究不完整多视图下的邻域融合，说明缺失处理已有专门方法；但该工作为聚类任务，不能直接证明基金排序性能。饶子昀等[7]综述知识图谱推荐的表示和利用方式，说明多种关系辅助推荐已有充分基础。KGAT[8]建模高阶关系，但依赖用户交互的标准推荐设定与本题无用户日志的内容相关性任务不同；应借鉴其关系建模思路，不虚构点击或购买数据作为其输入。</w:t>
      </w:r>
    </w:p>
    <w:p>
      <w:r/>
      <w:r>
        <w:rPr>
          <w:b/>
        </w:rPr>
        <w:t>与近邻方向的区别。</w:t>
      </w:r>
      <w:r>
        <w:t xml:space="preserve"> 公开检索还发现2026年的基金图相似性研究和语义数值融合风格分类研究，说明基金图、融合及置信度方向持续活跃。它们应进入开题前扩展检索清单；不能凭“应用到基金”认定创新。本文拟研究的关键是缺失与过期证据对关系排序的作用，以及基于独立标签的验证，而不是仅做基金类别分类。</w:t>
      </w:r>
    </w:p>
    <w:p>
      <w:pPr>
        <w:pStyle w:val="Heading2"/>
      </w:pPr>
      <w:r>
        <w:t>3.4 拟采用方法与可检验创新假设</w:t>
      </w:r>
    </w:p>
    <w:p>
      <w:r>
        <w:t>首先建立公开资料的证据单元，包含实体、关系、来源、披露日期、报告期、缺失标记及可用字段。用预训练文本编码器得到策略表示，用加权持仓二部图或持仓向量得到暴露表示，用指数和资产结构得到关系特征。无法提取的视图保留缺失标记，不用模型猜测填入“真实持仓”。</w:t>
      </w:r>
    </w:p>
    <w:p>
      <w:r/>
      <w:r>
        <w:rPr>
          <w:b/>
        </w:rPr>
        <w:t>假设A：策略条件下的缺失感知融合优于固定权重。</w:t>
      </w:r>
      <w:r>
        <w:t xml:space="preserve"> 在小型门控网络中输入基金策略类型、视图可用掩码、持仓披露时间间隔和持仓覆盖比例，输出各视图的归一化权重。对缺失视图禁止赋予贡献，对旧持仓允许学习降低依赖。训练采用人工基金对标签的分级或成对排序损失；随机遮蔽只用于训练集增强。</w:t>
      </w:r>
    </w:p>
    <w:p>
      <w:r/>
      <w:r>
        <w:rPr>
          <w:b/>
        </w:rPr>
        <w:t>假设B：关系监督能够减少错误的主题泛化。</w:t>
      </w:r>
      <w:r>
        <w:t xml:space="preserve"> 将关系类型多标签预测作为辅助损失，并加入“同主题名称但策略不同”“同经理但持仓不同”等难负样本。对完整证据样本与其遮蔽版本增加表示一致性约束，但不强制严重缺失时仍给高置信分。指标应显示收益主要来自证据缺失及策略易混淆样本，而非仅完整数据的平均分。</w:t>
      </w:r>
    </w:p>
    <w:p>
      <w:r>
        <w:t>两项技术均有相关先行研究，预期贡献是针对部分披露金融证据建立具体学习目标、关系监督及验证协议。若完整实验中只得到一般拼接或门控收益，而没有对缺失、过期及策略混淆的稳定改善，应降低创新表述或修改题目。</w:t>
      </w:r>
    </w:p>
    <w:p>
      <w:pPr>
        <w:pStyle w:val="Heading2"/>
      </w:pPr>
      <w:r>
        <w:t>3.5 数据来源与标注方案</w:t>
      </w:r>
    </w:p>
    <w:p>
      <w:r/>
      <w:r>
        <w:rPr>
          <w:b/>
        </w:rPr>
        <w:t>原始资料。</w:t>
      </w:r>
      <w:r>
        <w:t xml:space="preserve"> 从基金管理人官网、上交所或深交所基金信息披露页面、巨潮资讯获取招募说明书、产品概要及定期报告；从这些资料提取基金代码、份额、策略、标的指数、资产配置和披露持仓。AKShare的fund_name_em、fund_portfolio_hold_em及fund_portfolio_industry_allocation_em可用于辅助获取和核对[22]，但它是接口封装，不等于拥有一份已经许可再分发的完整金融数据集。接口失败时以已下载的官方披露文件为主，不将付费数仓设为必需条件。</w:t>
      </w:r>
    </w:p>
    <w:p>
      <w:r>
        <w:t>先建设300至500个独立基金产品、约4至6个历史披露期的资料库，统计真实可用率；只有50只左右的小样本可用于预实验，不宜支撑最终主结论。季度前十大持仓是部分观测，不能当作全部投资组合；联接基金也不能因为股票直接持仓少就判为没有主题暴露，应识别其目标ETF关系。资料不全的产品保留缺失状态并分层报告。</w:t>
      </w:r>
    </w:p>
    <w:p>
      <w:r/>
      <w:r>
        <w:rPr>
          <w:b/>
        </w:rPr>
        <w:t>基金对金标。</w:t>
      </w:r>
      <w:r>
        <w:t xml:space="preserve"> 计划120只源基金，每只从多个独立基线召回结果及难负样本构成30个固定候选，共约3600对。全候选池人工标注后，所有重排序方法在同一池中比较，避免只标自己方法的结果。另建100条查询、每条20个基金候选约2000对作为可选辅助实验。规模是计划值，开题时以实际完成量报告。</w:t>
      </w:r>
    </w:p>
    <w:p>
      <w:r>
        <w:t>至少两名具有金融基础训练的标注者参加；源基金类别与方法名称对标注者隐藏，提供同一份原始证据材料。先双标200对修订指南；测试集全部双标，训练集至少20%双标，分歧由第三方或导师指导下仲裁。记录加权Cohen κ、各关系类别一致率和无法判断比例。若招不到第二位合格标注者，此题的可靠评价是实质性风险。</w:t>
      </w:r>
    </w:p>
    <w:p>
      <w:pPr>
        <w:pStyle w:val="Heading2"/>
      </w:pPr>
      <w:r>
        <w:t>3.6 实验设计与指标</w:t>
      </w:r>
    </w:p>
    <w:p>
      <w:r>
        <w:t>按产品家族划分训练、验证、测试源基金，例如70、20、30只；同一产品的全部份额不得跨集合，模板化查询和重复证据同步去重。增加一个时间外推测试：训练使用早期已披露记录，测试使用后期查询时点下可见记录。同一时点的候选池及证据对所有方法一致；可见无标签基金的结构可用于单独注明的传导式设置，不能把测试关系标签作为图边或监督。</w:t>
      </w:r>
    </w:p>
    <w:p>
      <w:r>
        <w:t>基线包括名称或策略BM25、策略文本嵌入、持仓加权Jaccard或余弦、Fund2Vec式Node2Vec、规则多路排序、LightGBM LambdaMART、简单文本与结构拼接、通用Qwen3-Reranker。对图基线复现其思想并说明中国前十持仓的差异，不将该结果称为原论文直接复现。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5"/>
        <w:gridCol w:w="2891"/>
        <w:gridCol w:w="2313"/>
        <w:gridCol w:w="2699"/>
      </w:tblGrid>
      <w:tr>
        <w:trPr>
          <w:cantSplit/>
          <w:tblHeader/>
        </w:trPr>
        <w:tc>
          <w:tcPr>
            <w:tcW w:type="dxa" w:w="1735"/>
            <w:vAlign w:val="center"/>
            <w:tcMar>
              <w:top w:w="90" w:type="dxa"/>
              <w:left w:w="90" w:type="dxa"/>
              <w:bottom w:w="90" w:type="dxa"/>
              <w:right w:w="90" w:type="dxa"/>
            </w:tcMar>
            <w:shd w:fill="E8EDF2"/>
          </w:tcPr>
          <w:p>
            <w:pPr>
              <w:spacing w:after="40" w:before="40" w:line="264" w:lineRule="auto"/>
            </w:pPr>
            <w:r>
              <w:rPr>
                <w:b/>
                <w:sz w:val="18"/>
              </w:rPr>
              <w:t>实验</w:t>
            </w:r>
          </w:p>
        </w:tc>
        <w:tc>
          <w:tcPr>
            <w:tcW w:type="dxa" w:w="2891"/>
            <w:vAlign w:val="center"/>
            <w:tcMar>
              <w:top w:w="90" w:type="dxa"/>
              <w:left w:w="90" w:type="dxa"/>
              <w:bottom w:w="90" w:type="dxa"/>
              <w:right w:w="90" w:type="dxa"/>
            </w:tcMar>
            <w:shd w:fill="E8EDF2"/>
          </w:tcPr>
          <w:p>
            <w:pPr>
              <w:spacing w:after="40" w:before="40" w:line="264" w:lineRule="auto"/>
            </w:pPr>
            <w:r>
              <w:rPr>
                <w:b/>
                <w:sz w:val="18"/>
              </w:rPr>
              <w:t>控制变量与方法</w:t>
            </w:r>
          </w:p>
        </w:tc>
        <w:tc>
          <w:tcPr>
            <w:tcW w:type="dxa" w:w="2313"/>
            <w:vAlign w:val="center"/>
            <w:tcMar>
              <w:top w:w="90" w:type="dxa"/>
              <w:left w:w="90" w:type="dxa"/>
              <w:bottom w:w="90" w:type="dxa"/>
              <w:right w:w="90" w:type="dxa"/>
            </w:tcMar>
            <w:shd w:fill="E8EDF2"/>
          </w:tcPr>
          <w:p>
            <w:pPr>
              <w:spacing w:after="40" w:before="40" w:line="264" w:lineRule="auto"/>
            </w:pPr>
            <w:r>
              <w:rPr>
                <w:b/>
                <w:sz w:val="18"/>
              </w:rPr>
              <w:t>评价指标</w:t>
            </w:r>
          </w:p>
        </w:tc>
        <w:tc>
          <w:tcPr>
            <w:tcW w:type="dxa" w:w="2699"/>
            <w:vAlign w:val="center"/>
            <w:tcMar>
              <w:top w:w="90" w:type="dxa"/>
              <w:left w:w="90" w:type="dxa"/>
              <w:bottom w:w="90" w:type="dxa"/>
              <w:right w:w="90" w:type="dxa"/>
            </w:tcMar>
            <w:shd w:fill="E8EDF2"/>
          </w:tcPr>
          <w:p>
            <w:pPr>
              <w:spacing w:after="40" w:before="40" w:line="264" w:lineRule="auto"/>
            </w:pPr>
            <w:r>
              <w:rPr>
                <w:b/>
                <w:sz w:val="18"/>
              </w:rPr>
              <w:t>需要证明的结论</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主排序比较</w:t>
            </w:r>
          </w:p>
        </w:tc>
        <w:tc>
          <w:tcPr>
            <w:tcW w:type="dxa" w:w="2891"/>
            <w:vAlign w:val="center"/>
            <w:tcMar>
              <w:top w:w="90" w:type="dxa"/>
              <w:left w:w="90" w:type="dxa"/>
              <w:bottom w:w="90" w:type="dxa"/>
              <w:right w:w="90" w:type="dxa"/>
            </w:tcMar>
            <w:shd w:fill="FFFFFF"/>
          </w:tcPr>
          <w:p>
            <w:pPr>
              <w:spacing w:after="40" w:before="40" w:line="264" w:lineRule="auto"/>
            </w:pPr>
            <w:r>
              <w:rPr>
                <w:sz w:val="18"/>
              </w:rPr>
              <w:t>相同人工金标候选池和公开证据</w:t>
            </w:r>
          </w:p>
        </w:tc>
        <w:tc>
          <w:tcPr>
            <w:tcW w:type="dxa" w:w="2313"/>
            <w:vAlign w:val="center"/>
            <w:tcMar>
              <w:top w:w="90" w:type="dxa"/>
              <w:left w:w="90" w:type="dxa"/>
              <w:bottom w:w="90" w:type="dxa"/>
              <w:right w:w="90" w:type="dxa"/>
            </w:tcMar>
            <w:shd w:fill="FFFFFF"/>
          </w:tcPr>
          <w:p>
            <w:pPr>
              <w:spacing w:after="40" w:before="40" w:line="264" w:lineRule="auto"/>
            </w:pPr>
            <w:r>
              <w:rPr>
                <w:sz w:val="18"/>
              </w:rPr>
              <w:t>nDCG@5及@10，P@10</w:t>
            </w:r>
          </w:p>
        </w:tc>
        <w:tc>
          <w:tcPr>
            <w:tcW w:type="dxa" w:w="2699"/>
            <w:vAlign w:val="center"/>
            <w:tcMar>
              <w:top w:w="90" w:type="dxa"/>
              <w:left w:w="90" w:type="dxa"/>
              <w:bottom w:w="90" w:type="dxa"/>
              <w:right w:w="90" w:type="dxa"/>
            </w:tcMar>
            <w:shd w:fill="FFFFFF"/>
          </w:tcPr>
          <w:p>
            <w:pPr>
              <w:spacing w:after="40" w:before="40" w:line="264" w:lineRule="auto"/>
            </w:pPr>
            <w:r>
              <w:rPr>
                <w:sz w:val="18"/>
              </w:rPr>
              <w:t>学习方法优于最强适配基线</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缺失鲁棒性</w:t>
            </w:r>
          </w:p>
        </w:tc>
        <w:tc>
          <w:tcPr>
            <w:tcW w:type="dxa" w:w="2891"/>
            <w:vAlign w:val="center"/>
            <w:tcMar>
              <w:top w:w="90" w:type="dxa"/>
              <w:left w:w="90" w:type="dxa"/>
              <w:bottom w:w="90" w:type="dxa"/>
              <w:right w:w="90" w:type="dxa"/>
            </w:tcMar>
            <w:shd w:fill="F7F8FA"/>
          </w:tcPr>
          <w:p>
            <w:pPr>
              <w:spacing w:after="40" w:before="40" w:line="264" w:lineRule="auto"/>
            </w:pPr>
            <w:r>
              <w:rPr>
                <w:sz w:val="18"/>
              </w:rPr>
              <w:t>原生缺失组；在完整子集遮蔽持仓或文本10%、30%、50%</w:t>
            </w:r>
          </w:p>
        </w:tc>
        <w:tc>
          <w:tcPr>
            <w:tcW w:type="dxa" w:w="2313"/>
            <w:vAlign w:val="center"/>
            <w:tcMar>
              <w:top w:w="90" w:type="dxa"/>
              <w:left w:w="90" w:type="dxa"/>
              <w:bottom w:w="90" w:type="dxa"/>
              <w:right w:w="90" w:type="dxa"/>
            </w:tcMar>
            <w:shd w:fill="F7F8FA"/>
          </w:tcPr>
          <w:p>
            <w:pPr>
              <w:spacing w:after="40" w:before="40" w:line="264" w:lineRule="auto"/>
            </w:pPr>
            <w:r>
              <w:rPr>
                <w:sz w:val="18"/>
              </w:rPr>
              <w:t>各组nDCG@10，相对性能下降</w:t>
            </w:r>
          </w:p>
        </w:tc>
        <w:tc>
          <w:tcPr>
            <w:tcW w:type="dxa" w:w="2699"/>
            <w:vAlign w:val="center"/>
            <w:tcMar>
              <w:top w:w="90" w:type="dxa"/>
              <w:left w:w="90" w:type="dxa"/>
              <w:bottom w:w="90" w:type="dxa"/>
              <w:right w:w="90" w:type="dxa"/>
            </w:tcMar>
            <w:shd w:fill="F7F8FA"/>
          </w:tcPr>
          <w:p>
            <w:pPr>
              <w:spacing w:after="40" w:before="40" w:line="264" w:lineRule="auto"/>
            </w:pPr>
            <w:r>
              <w:rPr>
                <w:sz w:val="18"/>
              </w:rPr>
              <w:t>缺失机制的独立作用</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时点与过期证据</w:t>
            </w:r>
          </w:p>
        </w:tc>
        <w:tc>
          <w:tcPr>
            <w:tcW w:type="dxa" w:w="2891"/>
            <w:vAlign w:val="center"/>
            <w:tcMar>
              <w:top w:w="90" w:type="dxa"/>
              <w:left w:w="90" w:type="dxa"/>
              <w:bottom w:w="90" w:type="dxa"/>
              <w:right w:w="90" w:type="dxa"/>
            </w:tcMar>
            <w:shd w:fill="FFFFFF"/>
          </w:tcPr>
          <w:p>
            <w:pPr>
              <w:spacing w:after="40" w:before="40" w:line="264" w:lineRule="auto"/>
            </w:pPr>
            <w:r>
              <w:rPr>
                <w:sz w:val="18"/>
              </w:rPr>
              <w:t>固定查询时点；替换为一或两个更早披露期</w:t>
            </w:r>
          </w:p>
        </w:tc>
        <w:tc>
          <w:tcPr>
            <w:tcW w:type="dxa" w:w="2313"/>
            <w:vAlign w:val="center"/>
            <w:tcMar>
              <w:top w:w="90" w:type="dxa"/>
              <w:left w:w="90" w:type="dxa"/>
              <w:bottom w:w="90" w:type="dxa"/>
              <w:right w:w="90" w:type="dxa"/>
            </w:tcMar>
            <w:shd w:fill="FFFFFF"/>
          </w:tcPr>
          <w:p>
            <w:pPr>
              <w:spacing w:after="40" w:before="40" w:line="264" w:lineRule="auto"/>
            </w:pPr>
            <w:r>
              <w:rPr>
                <w:sz w:val="18"/>
              </w:rPr>
              <w:t>nDCG@10，错误强关系比例</w:t>
            </w:r>
          </w:p>
        </w:tc>
        <w:tc>
          <w:tcPr>
            <w:tcW w:type="dxa" w:w="2699"/>
            <w:vAlign w:val="center"/>
            <w:tcMar>
              <w:top w:w="90" w:type="dxa"/>
              <w:left w:w="90" w:type="dxa"/>
              <w:bottom w:w="90" w:type="dxa"/>
              <w:right w:w="90" w:type="dxa"/>
            </w:tcMar>
            <w:shd w:fill="FFFFFF"/>
          </w:tcPr>
          <w:p>
            <w:pPr>
              <w:spacing w:after="40" w:before="40" w:line="264" w:lineRule="auto"/>
            </w:pPr>
            <w:r>
              <w:rPr>
                <w:sz w:val="18"/>
              </w:rPr>
              <w:t>日期特征可抑制过期暴露</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关系辅助任务</w:t>
            </w:r>
          </w:p>
        </w:tc>
        <w:tc>
          <w:tcPr>
            <w:tcW w:type="dxa" w:w="2891"/>
            <w:vAlign w:val="center"/>
            <w:tcMar>
              <w:top w:w="90" w:type="dxa"/>
              <w:left w:w="90" w:type="dxa"/>
              <w:bottom w:w="90" w:type="dxa"/>
              <w:right w:w="90" w:type="dxa"/>
            </w:tcMar>
            <w:shd w:fill="F7F8FA"/>
          </w:tcPr>
          <w:p>
            <w:pPr>
              <w:spacing w:after="40" w:before="40" w:line="264" w:lineRule="auto"/>
            </w:pPr>
            <w:r>
              <w:rPr>
                <w:sz w:val="18"/>
              </w:rPr>
              <w:t>去除关系监督及难负样本</w:t>
            </w:r>
          </w:p>
        </w:tc>
        <w:tc>
          <w:tcPr>
            <w:tcW w:type="dxa" w:w="2313"/>
            <w:vAlign w:val="center"/>
            <w:tcMar>
              <w:top w:w="90" w:type="dxa"/>
              <w:left w:w="90" w:type="dxa"/>
              <w:bottom w:w="90" w:type="dxa"/>
              <w:right w:w="90" w:type="dxa"/>
            </w:tcMar>
            <w:shd w:fill="F7F8FA"/>
          </w:tcPr>
          <w:p>
            <w:pPr>
              <w:spacing w:after="40" w:before="40" w:line="264" w:lineRule="auto"/>
            </w:pPr>
            <w:r>
              <w:rPr>
                <w:sz w:val="18"/>
              </w:rPr>
              <w:t>关系Macro-F1及主排序变化</w:t>
            </w:r>
          </w:p>
        </w:tc>
        <w:tc>
          <w:tcPr>
            <w:tcW w:type="dxa" w:w="2699"/>
            <w:vAlign w:val="center"/>
            <w:tcMar>
              <w:top w:w="90" w:type="dxa"/>
              <w:left w:w="90" w:type="dxa"/>
              <w:bottom w:w="90" w:type="dxa"/>
              <w:right w:w="90" w:type="dxa"/>
            </w:tcMar>
            <w:shd w:fill="F7F8FA"/>
          </w:tcPr>
          <w:p>
            <w:pPr>
              <w:spacing w:after="40" w:before="40" w:line="264" w:lineRule="auto"/>
            </w:pPr>
            <w:r>
              <w:rPr>
                <w:sz w:val="18"/>
              </w:rPr>
              <w:t>关系监督有实际价值</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融合消融</w:t>
            </w:r>
          </w:p>
        </w:tc>
        <w:tc>
          <w:tcPr>
            <w:tcW w:type="dxa" w:w="2891"/>
            <w:vAlign w:val="center"/>
            <w:tcMar>
              <w:top w:w="90" w:type="dxa"/>
              <w:left w:w="90" w:type="dxa"/>
              <w:bottom w:w="90" w:type="dxa"/>
              <w:right w:w="90" w:type="dxa"/>
            </w:tcMar>
            <w:shd w:fill="FFFFFF"/>
          </w:tcPr>
          <w:p>
            <w:pPr>
              <w:spacing w:after="40" w:before="40" w:line="264" w:lineRule="auto"/>
            </w:pPr>
            <w:r>
              <w:rPr>
                <w:sz w:val="18"/>
              </w:rPr>
              <w:t>固定权重、简单拼接、无掩码、无日期门控</w:t>
            </w:r>
          </w:p>
        </w:tc>
        <w:tc>
          <w:tcPr>
            <w:tcW w:type="dxa" w:w="2313"/>
            <w:vAlign w:val="center"/>
            <w:tcMar>
              <w:top w:w="90" w:type="dxa"/>
              <w:left w:w="90" w:type="dxa"/>
              <w:bottom w:w="90" w:type="dxa"/>
              <w:right w:w="90" w:type="dxa"/>
            </w:tcMar>
            <w:shd w:fill="FFFFFF"/>
          </w:tcPr>
          <w:p>
            <w:pPr>
              <w:spacing w:after="40" w:before="40" w:line="264" w:lineRule="auto"/>
            </w:pPr>
            <w:r>
              <w:rPr>
                <w:sz w:val="18"/>
              </w:rPr>
              <w:t>同上及分策略结果</w:t>
            </w:r>
          </w:p>
        </w:tc>
        <w:tc>
          <w:tcPr>
            <w:tcW w:type="dxa" w:w="2699"/>
            <w:vAlign w:val="center"/>
            <w:tcMar>
              <w:top w:w="90" w:type="dxa"/>
              <w:left w:w="90" w:type="dxa"/>
              <w:bottom w:w="90" w:type="dxa"/>
              <w:right w:w="90" w:type="dxa"/>
            </w:tcMar>
            <w:shd w:fill="FFFFFF"/>
          </w:tcPr>
          <w:p>
            <w:pPr>
              <w:spacing w:after="40" w:before="40" w:line="264" w:lineRule="auto"/>
            </w:pPr>
            <w:r>
              <w:rPr>
                <w:sz w:val="18"/>
              </w:rPr>
              <w:t>收益不只来自多加特征</w:t>
            </w:r>
          </w:p>
        </w:tc>
      </w:tr>
    </w:tbl>
    <w:p>
      <w:pPr>
        <w:spacing w:after="40" w:before="0" w:line="120" w:lineRule="auto"/>
      </w:pPr>
      <w:r>
        <w:rPr>
          <w:sz w:val="4"/>
        </w:rPr>
      </w:r>
    </w:p>
    <w:p>
      <w:r>
        <w:t>nDCG采用0至3级人工相关性标签，增益为2的标签次方减1；按源基金等权宏平均。P@10将标签≥2视为相关；不足10条时记录空位，不能仅对返回的少量高分项平均。无法判断样本另报比例，并提供排除后的评价及悲观下界。检索阶段的Recall@50只相对已标注关系池计算，写明“池化召回率”，不声称穷尽全市场真值。</w:t>
      </w:r>
    </w:p>
    <w:p>
      <w:r>
        <w:t>产品重复率、证据关系支持率、p50和p95延迟、显存峰值是辅助指标。持仓重合和收益相关系数可作分析，不作金标；使用同一规则评价排序所得的分数只能是规则符合度。对源基金级指标做配对bootstrap置信区间，训练至少三个随机种子，报告均值和方差。相关关系可能随真实持仓变化，排名稳定性不是越高越好。</w:t>
      </w:r>
    </w:p>
    <w:p>
      <w:pPr>
        <w:pStyle w:val="Heading2"/>
      </w:pPr>
      <w:r>
        <w:t>3.7 资源与完整论文可行性</w:t>
      </w:r>
    </w:p>
    <w:p>
      <w:r>
        <w:t>该题可采用冻结的BGE或Qwen嵌入加小型融合网络，CPU完成数据治理和Node2Vec，24GB GPU用于推理或小模型适配。全量训练大模型非必要。计划标注3600对主任务时，考虑双标、阅读证据及仲裁，约需80至150人时；加入查询辅助任务后增加40至80人时。数据清洗还需额外2至4周，不能只预算模型训练。</w:t>
      </w:r>
    </w:p>
    <w:p>
      <w:r>
        <w:t>论文结构可形成“问题与相关研究—公开资料及金标建设—缺失感知关系学习—鲁棒与时间测试—系统验证与总结”。数据难度较高、方法难度中等偏高、撰写难度中等偏高。最低可交付版本是权益基金主任务及两项关键机制的独立验证。若10月中旬连多期资料和标注一致性都无法建立，不建议仓促开题。</w:t>
      </w:r>
    </w:p>
    <w:p>
      <w:pPr>
        <w:pStyle w:val="Heading1"/>
        <w:pageBreakBefore/>
      </w:pPr>
      <w:r>
        <w:t>四 题目二 面向基金找品的多路证据一致性约束重排序方法研究</w:t>
      </w:r>
    </w:p>
    <w:p>
      <w:pPr>
        <w:pStyle w:val="Heading2"/>
      </w:pPr>
      <w:r>
        <w:t>4.1 选题来源与问题描述</w:t>
      </w:r>
    </w:p>
    <w:p>
      <w:r>
        <w:t>该题来自AI搜索中的联网与资讯两路召回、实体抽取、重排序和基金扩展。相同查询可能从策略说明中找到直接关系，也可能从一篇行业文章中得到多个共现实体。一个产品被提及很多次，可能只是同一稿件转载；出现在查询相关的文章中，也可能只是被比较或被否定，不能自动判为候选基金直接相关。</w:t>
      </w:r>
    </w:p>
    <w:p>
      <w:r>
        <w:t>论文聚焦最终基金候选，而不是同时研究股票、指数、板块和基金五类完整排序。股票或指数可作为基金关系的中间证据：查询主题→股票业务或指数定义→基金披露持仓或跟踪关系。每一步都需要证据。宏观事件到避险偏好再到任意基金的长链推断不纳入强相关标签。</w:t>
      </w:r>
    </w:p>
    <w:p>
      <w:pPr>
        <w:pStyle w:val="Heading2"/>
      </w:pPr>
      <w:r>
        <w:t>4.2 学术定义与价值</w:t>
      </w:r>
    </w:p>
    <w:p>
      <w:r>
        <w:t>这是面向实体的证据感知学习排序，而不是单纯文章重排序。输入为查询q、固定基金候选c，以及由结构化信息检索、基金文档检索、公开市场文本检索得到的证据集合。输出候选相关性分数、支持证据ID和必要的证据不足判定。Agent负责取得候选与证据，论文主贡献位于rerank模块。</w:t>
      </w:r>
    </w:p>
    <w:p>
      <w:r>
        <w:t>研究价值在于解决三类误排：把频繁共现当成直接关系、把多路重复信息当成独立支持、把真实但时间不一致或实体错误的片段当成候选依据。方法需在固定召回池上证明排序提升，再验证端到端系统收益；若候选缺失，重排序本身无法恢复。</w:t>
      </w:r>
    </w:p>
    <w:p>
      <w:pPr>
        <w:pStyle w:val="Heading2"/>
      </w:pPr>
      <w:r>
        <w:t>4.3 文献综述与创新边界</w:t>
      </w:r>
    </w:p>
    <w:p>
      <w:r/>
      <w:r>
        <w:rPr>
          <w:b/>
        </w:rPr>
        <w:t>大模型排序。</w:t>
      </w:r>
      <w:r>
        <w:t xml:space="preserve"> RankGPT[9]已提出以大模型进行列表重排序及排序能力蒸馏；PRP[10]研究成对提示排序；Qwen3 Embedding[5]包含专门的重排序模型。它们解决通用文本相关性或排序执行方式，提供本题必要的强基线。直接用大模型“给每个候选打分并写理由”，或者把pointwise改为listwise，均不足以成为本题独立创新。</w:t>
      </w:r>
    </w:p>
    <w:p>
      <w:r/>
      <w:r>
        <w:rPr>
          <w:b/>
        </w:rPr>
        <w:t>推理与多视角排序。</w:t>
      </w:r>
      <w:r>
        <w:t xml:space="preserve"> Rank-R1[11]通过强化学习增强排序推理；2026年的MERIT-Rank[12]已经研究多视角证据与推理轨迹整合。因而“增加推理”“融合多视角”也已有直接近邻。本题必须区别于多次生成推理后合并排名：研究对象是具有明确实体、关系、来源和披露时间的金融证据，重点控制转载重复、跨来源支持不一致与关系链有效性。</w:t>
      </w:r>
    </w:p>
    <w:p>
      <w:r/>
      <w:r>
        <w:rPr>
          <w:b/>
        </w:rPr>
        <w:t>中文检索与金融任务。</w:t>
      </w:r>
      <w:r>
        <w:t xml:space="preserve"> C-Pack[3]提供中文通用检索资源，CFLUE[13]覆盖中文金融理解任务；它们可以用于能力检查及辅助实验，但不直接给出基金找品的查询—产品相关性标签。刘澳迪等[14]综述RAG中的检索与生成优化；本题将其中一般的证据选择问题落实到基金实体排序，而不把已有RAG架构本身作为贡献。</w:t>
      </w:r>
    </w:p>
    <w:p>
      <w:r/>
      <w:r>
        <w:rPr>
          <w:b/>
        </w:rPr>
        <w:t>检索与下游效果。</w:t>
      </w:r>
      <w:r>
        <w:t xml:space="preserve"> eRAG[15]从下游生成结果评价检索质量，说明文档相关性与生成效用并非完全一致。EvidentialRAG[19]进一步研究多来源冲突与不确定性，已覆盖一般的证据置信融合。因此本题的收益需要归因到实体关系有效性和重复支持处理，并与通用置信融合对照，而不能声称所有多源冲突处理都是空白。</w:t>
      </w:r>
    </w:p>
    <w:p>
      <w:pPr>
        <w:pStyle w:val="Heading2"/>
      </w:pPr>
      <w:r>
        <w:t>4.4 方法设计与研究假设</w:t>
      </w:r>
    </w:p>
    <w:p>
      <w:r/>
      <w:r>
        <w:rPr>
          <w:b/>
        </w:rPr>
        <w:t>证据规范化。</w:t>
      </w:r>
      <w:r>
        <w:t xml:space="preserve"> 对每个候选保存三路证据：公开结构化字段匹配；策略、概要、定期报告的BM25及向量检索；公开网页或市场评论的冻结文本。所有输入转换为统一格式，保留实体代码、关系类型、原文片段、来源URL、发布日期、报告期、检索分数和内容指纹。聚类转载与近重复内容，对候选—关系—时点建立证据组。</w:t>
      </w:r>
    </w:p>
    <w:p>
      <w:r/>
      <w:r>
        <w:rPr>
          <w:b/>
        </w:rPr>
        <w:t>假设A：关系支持监督比来源标识更有效。</w:t>
      </w:r>
      <w:r>
        <w:t xml:space="preserve"> 用小型交叉编码器预测一段证据是否支持“查询主题与该基金的直接关联”，分别标注支持、反驳、无关和不足，而不是只学习“该来源通常好不好”。需要穿透持仓映射时，显式检验关系链每条边；基金名称相似、新闻共现和“曾持有”不自动升级为当前强关系。</w:t>
      </w:r>
    </w:p>
    <w:p>
      <w:r/>
      <w:r>
        <w:rPr>
          <w:b/>
        </w:rPr>
        <w:t>假设B：独立证据聚合与冲突约束可以改善难样本排序。</w:t>
      </w:r>
      <w:r>
        <w:t xml:space="preserve"> 对同一转载组只计一次支持；由候选文本匹配分、关系支持概率、可见独立证据数和同一实体同一时期的冲突概率构成学习特征，训练LambdaMART或小型排序网络。日期不同的信息先解释为状态变化，不直接当作互相矛盾。训练加入复制无关文章、复制支持文章、删除一路证据、替换实体代码等扰动，并约束复制行为不凭空抬高相关性。</w:t>
      </w:r>
    </w:p>
    <w:p>
      <w:r>
        <w:t>其关键并非手设“官方来源权重高”，而是对关系支持做独立监督，验证在去除来源名称后仍有收益。若只有来源先验有效，或全部提升由更多API调用产生，应视为假设不充分。理由生成只输出选定证据的短说明；若研究其生成算法，另选题目三。</w:t>
      </w:r>
    </w:p>
    <w:p>
      <w:pPr>
        <w:pStyle w:val="Heading2"/>
      </w:pPr>
      <w:r>
        <w:t>4.5 公共数据构建与资源获取</w:t>
      </w:r>
    </w:p>
    <w:p>
      <w:r>
        <w:t>共用300至500只基金的官方资料库，另为30至50个主题收集300至600篇有明确日期、来源和基金或股票提及的公开文本。优先使用交易所公告、基金公司公开解读和公开行业资料，市场评论只提供辅助证据。建立“官方长期策略、定期持仓、公开市场文本”三类真实来源；BM25、向量和结构化匹配只是检索链路，不能把同一资料的两种检索结果虚构成独立来源。</w:t>
      </w:r>
    </w:p>
    <w:p>
      <w:r>
        <w:t>主数据计划400条查询，按主题及意图族划分240条训练、80条验证、80条测试，每条固定20个基金候选，约8000个相关性判断。查询由公开资料衍生并经人工改写，包括主题简称与别名、同主题难区分、含份额或市场限制、复合主题、无支持产品等类别；至少25%直接由人工编写。全部查询是自建公开任务集，不能称为真实用户日志。文本日期、主题、查询模板及基金家族泄漏分别审计。</w:t>
      </w:r>
    </w:p>
    <w:p>
      <w:r>
        <w:t>固定候选池从BM25、嵌入、结构化匹配的联合结果取得，加入困难负例并标注所有20个候选；每种方法评估同一池。100条查询另标4至6个候选的关键证据支持标签，约1500至2500段，供证据判定器训练或验证。测试集候选相关性和支持标签全部双标，训练集抽取20%双标；总计预计120至200人时，若每项需要深入阅读则应进一步增加预算。开题前先用60条查询、每条10个候选完成最小样本。</w:t>
      </w:r>
    </w:p>
    <w:p>
      <w:r>
        <w:t>外部验证使用BRIGHT的economics子集[21]，其目标是推理检索，不是中国基金找品，结果单独报告。FinanceBench公开150例[23]可提供英文金融证据检索及下游问答对照；若将其证据片段转成检索标签，需要发布构造协议，不能称为原生基金排序金标。CFLUE只用于金融实体或关系能力检查。以上外部资源均不能替代自建中文主测试集。</w:t>
      </w:r>
    </w:p>
    <w:p>
      <w:pPr>
        <w:pStyle w:val="Heading2"/>
      </w:pPr>
      <w:r>
        <w:t>4.6 基线实验与严格验证</w:t>
      </w:r>
    </w:p>
    <w:p>
      <w:r>
        <w:t>必做基线为三路规则排序、RRF融合、Qwen3-Reranker-0.6B及一个更大可负担模型、基于相同特征的LambdaMART、DeepSeek API的pointwise或RankGPT式listwise排序。至少再加入“普通来源门控”“去重但无关系支持学习”“关系支持但无冲突约束”三个方法对照。Rank-R1和MERIT-Rank作为最新近邻，先查开源权重与运行条件；可获取时加入推理基线，不能用小GPU无法训练为理由跳过所有近期强基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5"/>
        <w:gridCol w:w="2891"/>
        <w:gridCol w:w="2313"/>
        <w:gridCol w:w="2699"/>
      </w:tblGrid>
      <w:tr>
        <w:trPr>
          <w:cantSplit/>
          <w:tblHeader/>
        </w:trPr>
        <w:tc>
          <w:tcPr>
            <w:tcW w:type="dxa" w:w="1735"/>
            <w:vAlign w:val="center"/>
            <w:tcMar>
              <w:top w:w="90" w:type="dxa"/>
              <w:left w:w="90" w:type="dxa"/>
              <w:bottom w:w="90" w:type="dxa"/>
              <w:right w:w="90" w:type="dxa"/>
            </w:tcMar>
            <w:shd w:fill="E8EDF2"/>
          </w:tcPr>
          <w:p>
            <w:pPr>
              <w:spacing w:after="40" w:before="40" w:line="264" w:lineRule="auto"/>
            </w:pPr>
            <w:r>
              <w:rPr>
                <w:b/>
                <w:sz w:val="18"/>
              </w:rPr>
              <w:t>实验</w:t>
            </w:r>
          </w:p>
        </w:tc>
        <w:tc>
          <w:tcPr>
            <w:tcW w:type="dxa" w:w="2891"/>
            <w:vAlign w:val="center"/>
            <w:tcMar>
              <w:top w:w="90" w:type="dxa"/>
              <w:left w:w="90" w:type="dxa"/>
              <w:bottom w:w="90" w:type="dxa"/>
              <w:right w:w="90" w:type="dxa"/>
            </w:tcMar>
            <w:shd w:fill="E8EDF2"/>
          </w:tcPr>
          <w:p>
            <w:pPr>
              <w:spacing w:after="40" w:before="40" w:line="264" w:lineRule="auto"/>
            </w:pPr>
            <w:r>
              <w:rPr>
                <w:b/>
                <w:sz w:val="18"/>
              </w:rPr>
              <w:t>具体设置</w:t>
            </w:r>
          </w:p>
        </w:tc>
        <w:tc>
          <w:tcPr>
            <w:tcW w:type="dxa" w:w="2313"/>
            <w:vAlign w:val="center"/>
            <w:tcMar>
              <w:top w:w="90" w:type="dxa"/>
              <w:left w:w="90" w:type="dxa"/>
              <w:bottom w:w="90" w:type="dxa"/>
              <w:right w:w="90" w:type="dxa"/>
            </w:tcMar>
            <w:shd w:fill="E8EDF2"/>
          </w:tcPr>
          <w:p>
            <w:pPr>
              <w:spacing w:after="40" w:before="40" w:line="264" w:lineRule="auto"/>
            </w:pPr>
            <w:r>
              <w:rPr>
                <w:b/>
                <w:sz w:val="18"/>
              </w:rPr>
              <w:t>指标</w:t>
            </w:r>
          </w:p>
        </w:tc>
        <w:tc>
          <w:tcPr>
            <w:tcW w:type="dxa" w:w="2699"/>
            <w:vAlign w:val="center"/>
            <w:tcMar>
              <w:top w:w="90" w:type="dxa"/>
              <w:left w:w="90" w:type="dxa"/>
              <w:bottom w:w="90" w:type="dxa"/>
              <w:right w:w="90" w:type="dxa"/>
            </w:tcMar>
            <w:shd w:fill="E8EDF2"/>
          </w:tcPr>
          <w:p>
            <w:pPr>
              <w:spacing w:after="40" w:before="40" w:line="264" w:lineRule="auto"/>
            </w:pPr>
            <w:r>
              <w:rPr>
                <w:b/>
                <w:sz w:val="18"/>
              </w:rPr>
              <w:t>解释范围</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固定候选池主实验</w:t>
            </w:r>
          </w:p>
        </w:tc>
        <w:tc>
          <w:tcPr>
            <w:tcW w:type="dxa" w:w="2891"/>
            <w:vAlign w:val="center"/>
            <w:tcMar>
              <w:top w:w="90" w:type="dxa"/>
              <w:left w:w="90" w:type="dxa"/>
              <w:bottom w:w="90" w:type="dxa"/>
              <w:right w:w="90" w:type="dxa"/>
            </w:tcMar>
            <w:shd w:fill="FFFFFF"/>
          </w:tcPr>
          <w:p>
            <w:pPr>
              <w:spacing w:after="40" w:before="40" w:line="264" w:lineRule="auto"/>
            </w:pPr>
            <w:r>
              <w:rPr>
                <w:sz w:val="18"/>
              </w:rPr>
              <w:t>同样20个候选、证据字数预算及基模型</w:t>
            </w:r>
          </w:p>
        </w:tc>
        <w:tc>
          <w:tcPr>
            <w:tcW w:type="dxa" w:w="2313"/>
            <w:vAlign w:val="center"/>
            <w:tcMar>
              <w:top w:w="90" w:type="dxa"/>
              <w:left w:w="90" w:type="dxa"/>
              <w:bottom w:w="90" w:type="dxa"/>
              <w:right w:w="90" w:type="dxa"/>
            </w:tcMar>
            <w:shd w:fill="FFFFFF"/>
          </w:tcPr>
          <w:p>
            <w:pPr>
              <w:spacing w:after="40" w:before="40" w:line="264" w:lineRule="auto"/>
            </w:pPr>
            <w:r>
              <w:rPr>
                <w:sz w:val="18"/>
              </w:rPr>
              <w:t>nDCG@5及@10，P@5及@10</w:t>
            </w:r>
          </w:p>
        </w:tc>
        <w:tc>
          <w:tcPr>
            <w:tcW w:type="dxa" w:w="2699"/>
            <w:vAlign w:val="center"/>
            <w:tcMar>
              <w:top w:w="90" w:type="dxa"/>
              <w:left w:w="90" w:type="dxa"/>
              <w:bottom w:w="90" w:type="dxa"/>
              <w:right w:w="90" w:type="dxa"/>
            </w:tcMar>
            <w:shd w:fill="FFFFFF"/>
          </w:tcPr>
          <w:p>
            <w:pPr>
              <w:spacing w:after="40" w:before="40" w:line="264" w:lineRule="auto"/>
            </w:pPr>
            <w:r>
              <w:rPr>
                <w:sz w:val="18"/>
              </w:rPr>
              <w:t>重排序模块贡献</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跨主题与跨来源测试</w:t>
            </w:r>
          </w:p>
        </w:tc>
        <w:tc>
          <w:tcPr>
            <w:tcW w:type="dxa" w:w="2891"/>
            <w:vAlign w:val="center"/>
            <w:tcMar>
              <w:top w:w="90" w:type="dxa"/>
              <w:left w:w="90" w:type="dxa"/>
              <w:bottom w:w="90" w:type="dxa"/>
              <w:right w:w="90" w:type="dxa"/>
            </w:tcMar>
            <w:shd w:fill="F7F8FA"/>
          </w:tcPr>
          <w:p>
            <w:pPr>
              <w:spacing w:after="40" w:before="40" w:line="264" w:lineRule="auto"/>
            </w:pPr>
            <w:r>
              <w:rPr>
                <w:sz w:val="18"/>
              </w:rPr>
              <w:t>主题族隔离；隐藏来源名称或留出一类文本</w:t>
            </w:r>
          </w:p>
        </w:tc>
        <w:tc>
          <w:tcPr>
            <w:tcW w:type="dxa" w:w="2313"/>
            <w:vAlign w:val="center"/>
            <w:tcMar>
              <w:top w:w="90" w:type="dxa"/>
              <w:left w:w="90" w:type="dxa"/>
              <w:bottom w:w="90" w:type="dxa"/>
              <w:right w:w="90" w:type="dxa"/>
            </w:tcMar>
            <w:shd w:fill="F7F8FA"/>
          </w:tcPr>
          <w:p>
            <w:pPr>
              <w:spacing w:after="40" w:before="40" w:line="264" w:lineRule="auto"/>
            </w:pPr>
            <w:r>
              <w:rPr>
                <w:sz w:val="18"/>
              </w:rPr>
              <w:t>分组nDCG@10及Macro-F1</w:t>
            </w:r>
          </w:p>
        </w:tc>
        <w:tc>
          <w:tcPr>
            <w:tcW w:type="dxa" w:w="2699"/>
            <w:vAlign w:val="center"/>
            <w:tcMar>
              <w:top w:w="90" w:type="dxa"/>
              <w:left w:w="90" w:type="dxa"/>
              <w:bottom w:w="90" w:type="dxa"/>
              <w:right w:w="90" w:type="dxa"/>
            </w:tcMar>
            <w:shd w:fill="F7F8FA"/>
          </w:tcPr>
          <w:p>
            <w:pPr>
              <w:spacing w:after="40" w:before="40" w:line="264" w:lineRule="auto"/>
            </w:pPr>
            <w:r>
              <w:rPr>
                <w:sz w:val="18"/>
              </w:rPr>
              <w:t>是否依赖来源或主题记忆</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重复与噪声测试</w:t>
            </w:r>
          </w:p>
        </w:tc>
        <w:tc>
          <w:tcPr>
            <w:tcW w:type="dxa" w:w="2891"/>
            <w:vAlign w:val="center"/>
            <w:tcMar>
              <w:top w:w="90" w:type="dxa"/>
              <w:left w:w="90" w:type="dxa"/>
              <w:bottom w:w="90" w:type="dxa"/>
              <w:right w:w="90" w:type="dxa"/>
            </w:tcMar>
            <w:shd w:fill="FFFFFF"/>
          </w:tcPr>
          <w:p>
            <w:pPr>
              <w:spacing w:after="40" w:before="40" w:line="264" w:lineRule="auto"/>
            </w:pPr>
            <w:r>
              <w:rPr>
                <w:sz w:val="18"/>
              </w:rPr>
              <w:t>复制1、3、5份相同证据；混入10%、30%、50%无关片段</w:t>
            </w:r>
          </w:p>
        </w:tc>
        <w:tc>
          <w:tcPr>
            <w:tcW w:type="dxa" w:w="2313"/>
            <w:vAlign w:val="center"/>
            <w:tcMar>
              <w:top w:w="90" w:type="dxa"/>
              <w:left w:w="90" w:type="dxa"/>
              <w:bottom w:w="90" w:type="dxa"/>
              <w:right w:w="90" w:type="dxa"/>
            </w:tcMar>
            <w:shd w:fill="FFFFFF"/>
          </w:tcPr>
          <w:p>
            <w:pPr>
              <w:spacing w:after="40" w:before="40" w:line="264" w:lineRule="auto"/>
            </w:pPr>
            <w:r>
              <w:rPr>
                <w:sz w:val="18"/>
              </w:rPr>
              <w:t>nDCG变化，排名移动幅度</w:t>
            </w:r>
          </w:p>
        </w:tc>
        <w:tc>
          <w:tcPr>
            <w:tcW w:type="dxa" w:w="2699"/>
            <w:vAlign w:val="center"/>
            <w:tcMar>
              <w:top w:w="90" w:type="dxa"/>
              <w:left w:w="90" w:type="dxa"/>
              <w:bottom w:w="90" w:type="dxa"/>
              <w:right w:w="90" w:type="dxa"/>
            </w:tcMar>
            <w:shd w:fill="FFFFFF"/>
          </w:tcPr>
          <w:p>
            <w:pPr>
              <w:spacing w:after="40" w:before="40" w:line="264" w:lineRule="auto"/>
            </w:pPr>
            <w:r>
              <w:rPr>
                <w:sz w:val="18"/>
              </w:rPr>
              <w:t>去重和支持约束作用</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冲突与实体错误测试</w:t>
            </w:r>
          </w:p>
        </w:tc>
        <w:tc>
          <w:tcPr>
            <w:tcW w:type="dxa" w:w="2891"/>
            <w:vAlign w:val="center"/>
            <w:tcMar>
              <w:top w:w="90" w:type="dxa"/>
              <w:left w:w="90" w:type="dxa"/>
              <w:bottom w:w="90" w:type="dxa"/>
              <w:right w:w="90" w:type="dxa"/>
            </w:tcMar>
            <w:shd w:fill="F7F8FA"/>
          </w:tcPr>
          <w:p>
            <w:pPr>
              <w:spacing w:after="40" w:before="40" w:line="264" w:lineRule="auto"/>
            </w:pPr>
            <w:r>
              <w:rPr>
                <w:sz w:val="18"/>
              </w:rPr>
              <w:t>同期反驳、旧期资料、错代码分别建组</w:t>
            </w:r>
          </w:p>
        </w:tc>
        <w:tc>
          <w:tcPr>
            <w:tcW w:type="dxa" w:w="2313"/>
            <w:vAlign w:val="center"/>
            <w:tcMar>
              <w:top w:w="90" w:type="dxa"/>
              <w:left w:w="90" w:type="dxa"/>
              <w:bottom w:w="90" w:type="dxa"/>
              <w:right w:w="90" w:type="dxa"/>
            </w:tcMar>
            <w:shd w:fill="F7F8FA"/>
          </w:tcPr>
          <w:p>
            <w:pPr>
              <w:spacing w:after="40" w:before="40" w:line="264" w:lineRule="auto"/>
            </w:pPr>
            <w:r>
              <w:rPr>
                <w:sz w:val="18"/>
              </w:rPr>
              <w:t>误推率及证据判定Macro-F1</w:t>
            </w:r>
          </w:p>
        </w:tc>
        <w:tc>
          <w:tcPr>
            <w:tcW w:type="dxa" w:w="2699"/>
            <w:vAlign w:val="center"/>
            <w:tcMar>
              <w:top w:w="90" w:type="dxa"/>
              <w:left w:w="90" w:type="dxa"/>
              <w:bottom w:w="90" w:type="dxa"/>
              <w:right w:w="90" w:type="dxa"/>
            </w:tcMar>
            <w:shd w:fill="F7F8FA"/>
          </w:tcPr>
          <w:p>
            <w:pPr>
              <w:spacing w:after="40" w:before="40" w:line="264" w:lineRule="auto"/>
            </w:pPr>
            <w:r>
              <w:rPr>
                <w:sz w:val="18"/>
              </w:rPr>
              <w:t>能否区分冲突与时间变化</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预算及规模测试</w:t>
            </w:r>
          </w:p>
        </w:tc>
        <w:tc>
          <w:tcPr>
            <w:tcW w:type="dxa" w:w="2891"/>
            <w:vAlign w:val="center"/>
            <w:tcMar>
              <w:top w:w="90" w:type="dxa"/>
              <w:left w:w="90" w:type="dxa"/>
              <w:bottom w:w="90" w:type="dxa"/>
              <w:right w:w="90" w:type="dxa"/>
            </w:tcMar>
            <w:shd w:fill="FFFFFF"/>
          </w:tcPr>
          <w:p>
            <w:pPr>
              <w:spacing w:after="40" w:before="40" w:line="264" w:lineRule="auto"/>
            </w:pPr>
            <w:r>
              <w:rPr>
                <w:sz w:val="18"/>
              </w:rPr>
              <w:t>20、50、100候选；512、1024、2048证据token</w:t>
            </w:r>
          </w:p>
        </w:tc>
        <w:tc>
          <w:tcPr>
            <w:tcW w:type="dxa" w:w="2313"/>
            <w:vAlign w:val="center"/>
            <w:tcMar>
              <w:top w:w="90" w:type="dxa"/>
              <w:left w:w="90" w:type="dxa"/>
              <w:bottom w:w="90" w:type="dxa"/>
              <w:right w:w="90" w:type="dxa"/>
            </w:tcMar>
            <w:shd w:fill="FFFFFF"/>
          </w:tcPr>
          <w:p>
            <w:pPr>
              <w:spacing w:after="40" w:before="40" w:line="264" w:lineRule="auto"/>
            </w:pPr>
            <w:r>
              <w:rPr>
                <w:sz w:val="18"/>
              </w:rPr>
              <w:t>nDCG，p95延迟，token及费用</w:t>
            </w:r>
          </w:p>
        </w:tc>
        <w:tc>
          <w:tcPr>
            <w:tcW w:type="dxa" w:w="2699"/>
            <w:vAlign w:val="center"/>
            <w:tcMar>
              <w:top w:w="90" w:type="dxa"/>
              <w:left w:w="90" w:type="dxa"/>
              <w:bottom w:w="90" w:type="dxa"/>
              <w:right w:w="90" w:type="dxa"/>
            </w:tcMar>
            <w:shd w:fill="FFFFFF"/>
          </w:tcPr>
          <w:p>
            <w:pPr>
              <w:spacing w:after="40" w:before="40" w:line="264" w:lineRule="auto"/>
            </w:pPr>
            <w:r>
              <w:rPr>
                <w:sz w:val="18"/>
              </w:rPr>
              <w:t>质量与成本关系</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端到端实验</w:t>
            </w:r>
          </w:p>
        </w:tc>
        <w:tc>
          <w:tcPr>
            <w:tcW w:type="dxa" w:w="2891"/>
            <w:vAlign w:val="center"/>
            <w:tcMar>
              <w:top w:w="90" w:type="dxa"/>
              <w:left w:w="90" w:type="dxa"/>
              <w:bottom w:w="90" w:type="dxa"/>
              <w:right w:w="90" w:type="dxa"/>
            </w:tcMar>
            <w:shd w:fill="F7F8FA"/>
          </w:tcPr>
          <w:p>
            <w:pPr>
              <w:spacing w:after="40" w:before="40" w:line="264" w:lineRule="auto"/>
            </w:pPr>
            <w:r>
              <w:rPr>
                <w:sz w:val="18"/>
              </w:rPr>
              <w:t>固定查询改写和生成器，替换rerank模块</w:t>
            </w:r>
          </w:p>
        </w:tc>
        <w:tc>
          <w:tcPr>
            <w:tcW w:type="dxa" w:w="2313"/>
            <w:vAlign w:val="center"/>
            <w:tcMar>
              <w:top w:w="90" w:type="dxa"/>
              <w:left w:w="90" w:type="dxa"/>
              <w:bottom w:w="90" w:type="dxa"/>
              <w:right w:w="90" w:type="dxa"/>
            </w:tcMar>
            <w:shd w:fill="F7F8FA"/>
          </w:tcPr>
          <w:p>
            <w:pPr>
              <w:spacing w:after="40" w:before="40" w:line="264" w:lineRule="auto"/>
            </w:pPr>
            <w:r>
              <w:rPr>
                <w:sz w:val="18"/>
              </w:rPr>
              <w:t>池化Recall@50，下游答案正确率</w:t>
            </w:r>
          </w:p>
        </w:tc>
        <w:tc>
          <w:tcPr>
            <w:tcW w:type="dxa" w:w="2699"/>
            <w:vAlign w:val="center"/>
            <w:tcMar>
              <w:top w:w="90" w:type="dxa"/>
              <w:left w:w="90" w:type="dxa"/>
              <w:bottom w:w="90" w:type="dxa"/>
              <w:right w:w="90" w:type="dxa"/>
            </w:tcMar>
            <w:shd w:fill="F7F8FA"/>
          </w:tcPr>
          <w:p>
            <w:pPr>
              <w:spacing w:after="40" w:before="40" w:line="264" w:lineRule="auto"/>
            </w:pPr>
            <w:r>
              <w:rPr>
                <w:sz w:val="18"/>
              </w:rPr>
              <w:t>能否转化为系统收益</w:t>
            </w:r>
          </w:p>
        </w:tc>
      </w:tr>
    </w:tbl>
    <w:p>
      <w:pPr>
        <w:spacing w:after="40" w:before="0" w:line="120" w:lineRule="auto"/>
      </w:pPr>
      <w:r>
        <w:rPr>
          <w:sz w:val="4"/>
        </w:rPr>
      </w:r>
    </w:p>
    <w:p>
      <w:r>
        <w:t>相关性主标签仍采用0至3级、≥2为直接相关；无证据样本区分“已知不相关”与“无法判断”。nDCG按查询宏平均，MRR只用于有明确单一目标产品的精确查询子集，不用于所有多相关产品查询。对无法匹配实体或约束违规候选另报比例。</w:t>
      </w:r>
    </w:p>
    <w:p>
      <w:r>
        <w:t>证据判定器报告支持、反驳、无关、不足四类Macro-F1；若输出可校准概率，使用ECE和Brier分数[24]，仅在验证集拟合温度及阈值。全系统拒绝输出时报告coverage与已输出结果的错误率曲线，不允许靠全拒答获得虚假的高精度。类型覆盖只对金标中存在相关产品的类型评估，不强迫每类凑数。</w:t>
      </w:r>
    </w:p>
    <w:p>
      <w:r>
        <w:t>消融依次删除关系监督、转载归并、冲突特征及日期字段；增加仅手工规则与一般门控的对照。三个训练种子、查询级配对bootstrap及固定输入缓存用于验证。API版本、采样参数、时间和完整响应留存；无logprob的API不把自述置信分直接当作概率。全部实际结果产生后再写改进幅度。</w:t>
      </w:r>
    </w:p>
    <w:p>
      <w:pPr>
        <w:pStyle w:val="Heading2"/>
      </w:pPr>
      <w:r>
        <w:t>4.7 资源与撰写可行性</w:t>
      </w:r>
    </w:p>
    <w:p>
      <w:r>
        <w:t>最小路线为冻结嵌入与0.6B重排序模型、小型证据判定适配及LambdaMART；AutoDL的24GB单卡较适合这一范围。4B或7B模型长上下文适配不预先保证能在24GB完成，先以短上下文QLoRA做显存试跑，不足再租48GB。API用于少量强基线和训练候选标签建议，人工金标独立保留。</w:t>
      </w:r>
    </w:p>
    <w:p>
      <w:r>
        <w:t>论文可以形成“实体证据排序任务及数据集—关系支持学习—独立证据与冲突聚合—主实验及扰动消融—固定Agent链路验证”。数据难度中等偏高、方法难度中等、撰写难度中等。它最适合目前一个月开题、六个月完成的节奏，但前提是按期建立公开查询及双标测试集。没有真实联网历史时，应采用冻结公共文本回放，不宣称验证了线上实时用户效果。</w:t>
      </w:r>
    </w:p>
    <w:p>
      <w:pPr>
        <w:pStyle w:val="Heading1"/>
        <w:pageBreakBefore/>
      </w:pPr>
      <w:r>
        <w:t>五 题目三 面向基金搜索的时点一致性约束可验证理由生成方法研究</w:t>
      </w:r>
    </w:p>
    <w:p>
      <w:pPr>
        <w:pStyle w:val="Heading2"/>
      </w:pPr>
      <w:r>
        <w:t>5.1 实习基础与问题来源</w:t>
      </w:r>
    </w:p>
    <w:p>
      <w:r>
        <w:t>该题来自AI搜索中“判定相关并写短理由”以及最后生成总结的流程。项目中的候选可能携带标题、短摘录和来源频次，生成阶段对上下文有截断。工程评测记录也呈现一种典型现象：候选选择符合规则，但理由中出现输入未支持的关系。这只能作为提出问题的线索，不能把旧工程分数当作论文实验结论。</w:t>
      </w:r>
    </w:p>
    <w:p>
      <w:r>
        <w:t>金融理由中的错误常发生在关系而非句子流畅性：“文章提及某基金”被扩写为“重仓某行业”，“同主题基金”被扩写为“追踪同一指数”，上一期持仓被表述为当前持仓。只校验代码合法或JSON格式，无法证明这些关系真实。另一方面，完全使用模板可能准确但信息不足，论文必须与这种便宜且强的基线比较。</w:t>
      </w:r>
    </w:p>
    <w:p>
      <w:pPr>
        <w:pStyle w:val="Heading2"/>
      </w:pPr>
      <w:r>
        <w:t>5.2 学术定义与价值</w:t>
      </w:r>
    </w:p>
    <w:p>
      <w:r>
        <w:t>在固定候选及固定排名下，研究带证据归因的受约束数据到文本生成。输入查询、已选基金及带日期证据，输出每条20至60字相关理由和150至250字总结，并为每个可验证声明关联证据ID。声明是“主体实体、关系、客体、限定条件、适用时间”的组合。可验证性指声明能被输入资料支持，不等同于解释忠实反映排序模型内部决策；如果要研究后者，必须另有决策归因实验。</w:t>
      </w:r>
    </w:p>
    <w:p>
      <w:r>
        <w:t>价值在于把理由和总结从“像一个合理答案”提升到“实体、关系与时间范围都有可查依据”。本题的“时点一致性”指截至查询时点已公开且语义适用的证据，不是把旧文件一律判错；投资合同的长期策略和单期持仓的有效范围不同，摘要必须保留这种区别。</w:t>
      </w:r>
    </w:p>
    <w:p>
      <w:pPr>
        <w:pStyle w:val="Heading2"/>
      </w:pPr>
      <w:r>
        <w:t>5.3 文献综述与创新边界</w:t>
      </w:r>
    </w:p>
    <w:p>
      <w:r/>
      <w:r>
        <w:rPr>
          <w:b/>
        </w:rPr>
        <w:t>引用生成。</w:t>
      </w:r>
      <w:r>
        <w:t xml:space="preserve"> ALCE[16]研究带引用生成及引用质量评价，已经覆盖一般的可追溯回答。本题不能以“给总结加来源”作为创新，应评价一条基金关系声明的主体、客体、关系和日期是否同时得到引用支持。</w:t>
      </w:r>
    </w:p>
    <w:p>
      <w:r/>
      <w:r>
        <w:rPr>
          <w:b/>
        </w:rPr>
        <w:t>事实评价。</w:t>
      </w:r>
      <w:r>
        <w:t xml:space="preserve"> FActScore[17]将文本拆成原子事实并检查支持程度，适合借鉴为生成评价；但事实支持率本身不保证重要关系完整，也不能把一个自动评审模型当作绝对金标。刘泽垣等[18]系统梳理幻觉检测、评估和缓解，说明幻觉控制是成熟方向。本题需建立金融关系错误类型、必要信息覆盖以及拒答效用的联合评价。</w:t>
      </w:r>
    </w:p>
    <w:p>
      <w:r/>
      <w:r>
        <w:rPr>
          <w:b/>
        </w:rPr>
        <w:t>检索修正与冲突处理。</w:t>
      </w:r>
      <w:r>
        <w:t xml:space="preserve"> Self-RAG[20]使模型学习检索与自我评议；Corrective RAG[25]引入检索质量评估及修正；EvidentialRAG[19]研究多源冲突与不确定性。上述工作已经涉及生成前判定、生成后批评和拒答。仅组合“检索—生成—自查”不足以成为新方法。本题重点是金融关系与披露时点的联合支持判定，以及利用针对这两类错误构造的偏好样本改善生成。</w:t>
      </w:r>
    </w:p>
    <w:p>
      <w:r/>
      <w:r>
        <w:rPr>
          <w:b/>
        </w:rPr>
        <w:t>金融公开评价。</w:t>
      </w:r>
      <w:r>
        <w:t xml:space="preserve"> FinanceBench[23]含公开的证据问答样本；FinQA[26]主要研究财报数值推理，可检查数值和单位一致性；FinRetrieval[27]提供金融值检索问题和工具轨迹，可作外部补充。它们不是基金理由数据集，需要明确任务迁移边界。刘澳迪等[14]的中文RAG综述可用于组织检索与生成优化脉络。</w:t>
      </w:r>
    </w:p>
    <w:p>
      <w:pPr>
        <w:pStyle w:val="Heading2"/>
      </w:pPr>
      <w:r>
        <w:t>5.4 技术路线与创新假设</w:t>
      </w:r>
    </w:p>
    <w:p>
      <w:r>
        <w:t>建立一个关系声明规划器，先选择有限的可支持声明：追踪某指数、投资范围包含某主题、在某披露期持有某资产、与源基金共享某投资暴露等。规划器输出对应的实体代码、证据片段、报告期和发布日期；实体及数值首先通过本地程序核对，再由关系支持判定器判断原文是否蕴含声明。若只存在旧持仓，选择“截至某期披露”的表述，不生成“当前重仓”。</w:t>
      </w:r>
    </w:p>
    <w:p>
      <w:r/>
      <w:r>
        <w:rPr>
          <w:b/>
        </w:rPr>
        <w:t>假设A：声明规划与时间适用性联合约束能减少关系幻觉。</w:t>
      </w:r>
      <w:r>
        <w:t xml:space="preserve"> 生成器只能使用规划器批准的关系及限定语。给定不同查询时点，优先使用截至该时点已披露的可用证据；语义不完整时生成有限说明或证据不足，而不是填充未经支持的优势。与简单模板、普通引用RAG、只有日期提示和只有实体校验分别比较。</w:t>
      </w:r>
    </w:p>
    <w:p>
      <w:r/>
      <w:r>
        <w:rPr>
          <w:b/>
        </w:rPr>
        <w:t>假设B：针对实体关系和时点的困难偏好训练比通用自查更有效。</w:t>
      </w:r>
      <w:r>
        <w:t xml:space="preserve"> 在训练集构造同指数与同主题互换、ETF与联接对象混淆、旧持仓改成当前持仓、主客体错位等困难负例，并标明为合成扰动。以正确证据支持文本为偏好正例，以局部关系或时间错误为负例，采用小模型SFT后可选DPO[28]。该训练机制本身已有基础，贡献需来自金融错误构造、联合支持目标及自然错误上的泛化证据。</w:t>
      </w:r>
    </w:p>
    <w:p>
      <w:r>
        <w:t>不在六个月主线中训练大规模RL模型。若SFT加受约束规划已经充分有效，可将DPO作为扩展；若完整方法只相当于规则模板改写而无覆盖、正确性或成本优势，则选题需要重新定位。</w:t>
      </w:r>
    </w:p>
    <w:p>
      <w:pPr>
        <w:pStyle w:val="Heading2"/>
      </w:pPr>
      <w:r>
        <w:t>5.5 数据与实验集建设</w:t>
      </w:r>
    </w:p>
    <w:p>
      <w:r>
        <w:t>主数据共用公开基金资料库，计划300组查询及固定候选，每组3只基金，形成900条短理由任务和300条总结任务。按主题族划分180、60、60组训练、验证、测试；所有改写、扰动、同基金份额及相同源文档按原始组绑定，避免跨集合重复。对每组整理1至3个必要声明及其证据，记录“资料支持”“资料反驳”“资料未给出”和“时点不成立”标签。</w:t>
      </w:r>
    </w:p>
    <w:p>
      <w:r>
        <w:t>以2024至2026年已公开的历史报告做回放，不依赖未来数据。为相同产品取相邻披露期，挑选有自然持仓变化或策略说明差异的例子；某报告在查询时点之后公布时，禁止使用其内容。自然变化组和人工扰动组分别报告，不用人为植入明显错误代替真实泛化验证。</w:t>
      </w:r>
    </w:p>
    <w:p>
      <w:r>
        <w:t>短理由及总结的主测试集全部双标；自动分句或事实拆分后的声明需人工校正。预计关系支持、必要声明和日期标注约120至220人时。若时间变化样本不足，收窄为“关系一致性约束可验证理由生成”，不要在标题保留无法验证的时点创新。FinanceBench全部150例可用于外部测试；FinQA只取其公开测试集中的小规模数值任务作补充，避免扩大成另一篇财报问答论文。</w:t>
      </w:r>
    </w:p>
    <w:p>
      <w:pPr>
        <w:pStyle w:val="Heading2"/>
      </w:pPr>
      <w:r>
        <w:t>5.6 评价指标与实验安排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3566"/>
        <w:gridCol w:w="3855"/>
      </w:tblGrid>
      <w:tr>
        <w:trPr>
          <w:cantSplit/>
          <w:tblHeader/>
        </w:trPr>
        <w:tc>
          <w:tcPr>
            <w:tcW w:type="dxa" w:w="2217"/>
            <w:vAlign w:val="center"/>
            <w:tcMar>
              <w:top w:w="90" w:type="dxa"/>
              <w:left w:w="90" w:type="dxa"/>
              <w:bottom w:w="90" w:type="dxa"/>
              <w:right w:w="90" w:type="dxa"/>
            </w:tcMar>
            <w:shd w:fill="E8EDF2"/>
          </w:tcPr>
          <w:p>
            <w:pPr>
              <w:spacing w:after="40" w:before="40" w:line="264" w:lineRule="auto"/>
            </w:pPr>
            <w:r>
              <w:rPr>
                <w:b/>
                <w:sz w:val="18"/>
              </w:rPr>
              <w:t>指标</w:t>
            </w:r>
          </w:p>
        </w:tc>
        <w:tc>
          <w:tcPr>
            <w:tcW w:type="dxa" w:w="3566"/>
            <w:vAlign w:val="center"/>
            <w:tcMar>
              <w:top w:w="90" w:type="dxa"/>
              <w:left w:w="90" w:type="dxa"/>
              <w:bottom w:w="90" w:type="dxa"/>
              <w:right w:w="90" w:type="dxa"/>
            </w:tcMar>
            <w:shd w:fill="E8EDF2"/>
          </w:tcPr>
          <w:p>
            <w:pPr>
              <w:spacing w:after="40" w:before="40" w:line="264" w:lineRule="auto"/>
            </w:pPr>
            <w:r>
              <w:rPr>
                <w:b/>
                <w:sz w:val="18"/>
              </w:rPr>
              <w:t>可执行定义</w:t>
            </w:r>
          </w:p>
        </w:tc>
        <w:tc>
          <w:tcPr>
            <w:tcW w:type="dxa" w:w="3855"/>
            <w:vAlign w:val="center"/>
            <w:tcMar>
              <w:top w:w="90" w:type="dxa"/>
              <w:left w:w="90" w:type="dxa"/>
              <w:bottom w:w="90" w:type="dxa"/>
              <w:right w:w="90" w:type="dxa"/>
            </w:tcMar>
            <w:shd w:fill="E8EDF2"/>
          </w:tcPr>
          <w:p>
            <w:pPr>
              <w:spacing w:after="40" w:before="40" w:line="264" w:lineRule="auto"/>
            </w:pPr>
            <w:r>
              <w:rPr>
                <w:b/>
                <w:sz w:val="18"/>
              </w:rPr>
              <w:t>需要防止的误判</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人工事实支持率</w:t>
            </w:r>
          </w:p>
        </w:tc>
        <w:tc>
          <w:tcPr>
            <w:tcW w:type="dxa" w:w="3566"/>
            <w:vAlign w:val="center"/>
            <w:tcMar>
              <w:top w:w="90" w:type="dxa"/>
              <w:left w:w="90" w:type="dxa"/>
              <w:bottom w:w="90" w:type="dxa"/>
              <w:right w:w="90" w:type="dxa"/>
            </w:tcMar>
            <w:shd w:fill="FFFFFF"/>
          </w:tcPr>
          <w:p>
            <w:pPr>
              <w:spacing w:after="40" w:before="40" w:line="264" w:lineRule="auto"/>
            </w:pPr>
            <w:r>
              <w:rPr>
                <w:sz w:val="18"/>
              </w:rPr>
              <w:t>被给定可见证据完整支持的声明数／已生成可验证声明数</w:t>
            </w:r>
          </w:p>
        </w:tc>
        <w:tc>
          <w:tcPr>
            <w:tcW w:type="dxa" w:w="3855"/>
            <w:vAlign w:val="center"/>
            <w:tcMar>
              <w:top w:w="90" w:type="dxa"/>
              <w:left w:w="90" w:type="dxa"/>
              <w:bottom w:w="90" w:type="dxa"/>
              <w:right w:w="90" w:type="dxa"/>
            </w:tcMar>
            <w:shd w:fill="FFFFFF"/>
          </w:tcPr>
          <w:p>
            <w:pPr>
              <w:spacing w:after="40" w:before="40" w:line="264" w:lineRule="auto"/>
            </w:pPr>
            <w:r>
              <w:rPr>
                <w:sz w:val="18"/>
              </w:rPr>
              <w:t>只看事实数、不看必要信息缺失</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必要声明覆盖率</w:t>
            </w:r>
          </w:p>
        </w:tc>
        <w:tc>
          <w:tcPr>
            <w:tcW w:type="dxa" w:w="3566"/>
            <w:vAlign w:val="center"/>
            <w:tcMar>
              <w:top w:w="90" w:type="dxa"/>
              <w:left w:w="90" w:type="dxa"/>
              <w:bottom w:w="90" w:type="dxa"/>
              <w:right w:w="90" w:type="dxa"/>
            </w:tcMar>
            <w:shd w:fill="F7F8FA"/>
          </w:tcPr>
          <w:p>
            <w:pPr>
              <w:spacing w:after="40" w:before="40" w:line="264" w:lineRule="auto"/>
            </w:pPr>
            <w:r>
              <w:rPr>
                <w:sz w:val="18"/>
              </w:rPr>
              <w:t>正确表达的必要声明数／人工标注必要声明数</w:t>
            </w:r>
          </w:p>
        </w:tc>
        <w:tc>
          <w:tcPr>
            <w:tcW w:type="dxa" w:w="3855"/>
            <w:vAlign w:val="center"/>
            <w:tcMar>
              <w:top w:w="90" w:type="dxa"/>
              <w:left w:w="90" w:type="dxa"/>
              <w:bottom w:w="90" w:type="dxa"/>
              <w:right w:w="90" w:type="dxa"/>
            </w:tcMar>
            <w:shd w:fill="F7F8FA"/>
          </w:tcPr>
          <w:p>
            <w:pPr>
              <w:spacing w:after="40" w:before="40" w:line="264" w:lineRule="auto"/>
            </w:pPr>
            <w:r>
              <w:rPr>
                <w:sz w:val="18"/>
              </w:rPr>
              <w:t>用空泛短句取得高支持率</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引用准确率</w:t>
            </w:r>
          </w:p>
        </w:tc>
        <w:tc>
          <w:tcPr>
            <w:tcW w:type="dxa" w:w="3566"/>
            <w:vAlign w:val="center"/>
            <w:tcMar>
              <w:top w:w="90" w:type="dxa"/>
              <w:left w:w="90" w:type="dxa"/>
              <w:bottom w:w="90" w:type="dxa"/>
              <w:right w:w="90" w:type="dxa"/>
            </w:tcMar>
            <w:shd w:fill="FFFFFF"/>
          </w:tcPr>
          <w:p>
            <w:pPr>
              <w:spacing w:after="40" w:before="40" w:line="264" w:lineRule="auto"/>
            </w:pPr>
            <w:r>
              <w:rPr>
                <w:sz w:val="18"/>
              </w:rPr>
              <w:t>引用确实支持对应声明的关联数／全部引用关联数</w:t>
            </w:r>
          </w:p>
        </w:tc>
        <w:tc>
          <w:tcPr>
            <w:tcW w:type="dxa" w:w="3855"/>
            <w:vAlign w:val="center"/>
            <w:tcMar>
              <w:top w:w="90" w:type="dxa"/>
              <w:left w:w="90" w:type="dxa"/>
              <w:bottom w:w="90" w:type="dxa"/>
              <w:right w:w="90" w:type="dxa"/>
            </w:tcMar>
            <w:shd w:fill="FFFFFF"/>
          </w:tcPr>
          <w:p>
            <w:pPr>
              <w:spacing w:after="40" w:before="40" w:line="264" w:lineRule="auto"/>
            </w:pPr>
            <w:r>
              <w:rPr>
                <w:sz w:val="18"/>
              </w:rPr>
              <w:t>仅引用真实URL就算正确</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引用覆盖率</w:t>
            </w:r>
          </w:p>
        </w:tc>
        <w:tc>
          <w:tcPr>
            <w:tcW w:type="dxa" w:w="3566"/>
            <w:vAlign w:val="center"/>
            <w:tcMar>
              <w:top w:w="90" w:type="dxa"/>
              <w:left w:w="90" w:type="dxa"/>
              <w:bottom w:w="90" w:type="dxa"/>
              <w:right w:w="90" w:type="dxa"/>
            </w:tcMar>
            <w:shd w:fill="F7F8FA"/>
          </w:tcPr>
          <w:p>
            <w:pPr>
              <w:spacing w:after="40" w:before="40" w:line="264" w:lineRule="auto"/>
            </w:pPr>
            <w:r>
              <w:rPr>
                <w:sz w:val="18"/>
              </w:rPr>
              <w:t>至少有完整支持引用的声明数／需要引用的声明数</w:t>
            </w:r>
          </w:p>
        </w:tc>
        <w:tc>
          <w:tcPr>
            <w:tcW w:type="dxa" w:w="3855"/>
            <w:vAlign w:val="center"/>
            <w:tcMar>
              <w:top w:w="90" w:type="dxa"/>
              <w:left w:w="90" w:type="dxa"/>
              <w:bottom w:w="90" w:type="dxa"/>
              <w:right w:w="90" w:type="dxa"/>
            </w:tcMar>
            <w:shd w:fill="F7F8FA"/>
          </w:tcPr>
          <w:p>
            <w:pPr>
              <w:spacing w:after="40" w:before="40" w:line="264" w:lineRule="auto"/>
            </w:pPr>
            <w:r>
              <w:rPr>
                <w:sz w:val="18"/>
              </w:rPr>
              <w:t>重要句子没有引用</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实体关系错误率</w:t>
            </w:r>
          </w:p>
        </w:tc>
        <w:tc>
          <w:tcPr>
            <w:tcW w:type="dxa" w:w="3566"/>
            <w:vAlign w:val="center"/>
            <w:tcMar>
              <w:top w:w="90" w:type="dxa"/>
              <w:left w:w="90" w:type="dxa"/>
              <w:bottom w:w="90" w:type="dxa"/>
              <w:right w:w="90" w:type="dxa"/>
            </w:tcMar>
            <w:shd w:fill="FFFFFF"/>
          </w:tcPr>
          <w:p>
            <w:pPr>
              <w:spacing w:after="40" w:before="40" w:line="264" w:lineRule="auto"/>
            </w:pPr>
            <w:r>
              <w:rPr>
                <w:sz w:val="18"/>
              </w:rPr>
              <w:t>主体、客体、代码或关系至少一项错误的声明比例</w:t>
            </w:r>
          </w:p>
        </w:tc>
        <w:tc>
          <w:tcPr>
            <w:tcW w:type="dxa" w:w="3855"/>
            <w:vAlign w:val="center"/>
            <w:tcMar>
              <w:top w:w="90" w:type="dxa"/>
              <w:left w:w="90" w:type="dxa"/>
              <w:bottom w:w="90" w:type="dxa"/>
              <w:right w:w="90" w:type="dxa"/>
            </w:tcMar>
            <w:shd w:fill="FFFFFF"/>
          </w:tcPr>
          <w:p>
            <w:pPr>
              <w:spacing w:after="40" w:before="40" w:line="264" w:lineRule="auto"/>
            </w:pPr>
            <w:r>
              <w:rPr>
                <w:sz w:val="18"/>
              </w:rPr>
              <w:t>名称代码都合法但关系错误</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时点不成立率</w:t>
            </w:r>
          </w:p>
        </w:tc>
        <w:tc>
          <w:tcPr>
            <w:tcW w:type="dxa" w:w="3566"/>
            <w:vAlign w:val="center"/>
            <w:tcMar>
              <w:top w:w="90" w:type="dxa"/>
              <w:left w:w="90" w:type="dxa"/>
              <w:bottom w:w="90" w:type="dxa"/>
              <w:right w:w="90" w:type="dxa"/>
            </w:tcMar>
            <w:shd w:fill="F7F8FA"/>
          </w:tcPr>
          <w:p>
            <w:pPr>
              <w:spacing w:after="40" w:before="40" w:line="264" w:lineRule="auto"/>
            </w:pPr>
            <w:r>
              <w:rPr>
                <w:sz w:val="18"/>
              </w:rPr>
              <w:t>不满足发布日期或时间适用性的声明比例</w:t>
            </w:r>
          </w:p>
        </w:tc>
        <w:tc>
          <w:tcPr>
            <w:tcW w:type="dxa" w:w="3855"/>
            <w:vAlign w:val="center"/>
            <w:tcMar>
              <w:top w:w="90" w:type="dxa"/>
              <w:left w:w="90" w:type="dxa"/>
              <w:bottom w:w="90" w:type="dxa"/>
              <w:right w:w="90" w:type="dxa"/>
            </w:tcMar>
            <w:shd w:fill="F7F8FA"/>
          </w:tcPr>
          <w:p>
            <w:pPr>
              <w:spacing w:after="40" w:before="40" w:line="264" w:lineRule="auto"/>
            </w:pPr>
            <w:r>
              <w:rPr>
                <w:sz w:val="18"/>
              </w:rPr>
              <w:t>旧期信息被无日期地表述为当前</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覆盖与风险</w:t>
            </w:r>
          </w:p>
        </w:tc>
        <w:tc>
          <w:tcPr>
            <w:tcW w:type="dxa" w:w="3566"/>
            <w:vAlign w:val="center"/>
            <w:tcMar>
              <w:top w:w="90" w:type="dxa"/>
              <w:left w:w="90" w:type="dxa"/>
              <w:bottom w:w="90" w:type="dxa"/>
              <w:right w:w="90" w:type="dxa"/>
            </w:tcMar>
            <w:shd w:fill="FFFFFF"/>
          </w:tcPr>
          <w:p>
            <w:pPr>
              <w:spacing w:after="40" w:before="40" w:line="264" w:lineRule="auto"/>
            </w:pPr>
            <w:r>
              <w:rPr>
                <w:sz w:val="18"/>
              </w:rPr>
              <w:t>非拒答比例和对应的不支持声明率，绘制曲线</w:t>
            </w:r>
          </w:p>
        </w:tc>
        <w:tc>
          <w:tcPr>
            <w:tcW w:type="dxa" w:w="3855"/>
            <w:vAlign w:val="center"/>
            <w:tcMar>
              <w:top w:w="90" w:type="dxa"/>
              <w:left w:w="90" w:type="dxa"/>
              <w:bottom w:w="90" w:type="dxa"/>
              <w:right w:w="90" w:type="dxa"/>
            </w:tcMar>
            <w:shd w:fill="FFFFFF"/>
          </w:tcPr>
          <w:p>
            <w:pPr>
              <w:spacing w:after="40" w:before="40" w:line="264" w:lineRule="auto"/>
            </w:pPr>
            <w:r>
              <w:rPr>
                <w:sz w:val="18"/>
              </w:rPr>
              <w:t>靠大量拒答虚增准确率</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人工可用性</w:t>
            </w:r>
          </w:p>
        </w:tc>
        <w:tc>
          <w:tcPr>
            <w:tcW w:type="dxa" w:w="3566"/>
            <w:vAlign w:val="center"/>
            <w:tcMar>
              <w:top w:w="90" w:type="dxa"/>
              <w:left w:w="90" w:type="dxa"/>
              <w:bottom w:w="90" w:type="dxa"/>
              <w:right w:w="90" w:type="dxa"/>
            </w:tcMar>
            <w:shd w:fill="F7F8FA"/>
          </w:tcPr>
          <w:p>
            <w:pPr>
              <w:spacing w:after="40" w:before="40" w:line="264" w:lineRule="auto"/>
            </w:pPr>
            <w:r>
              <w:rPr>
                <w:sz w:val="18"/>
              </w:rPr>
              <w:t>隐藏方法名，评价直接回答、完整及易查证程度</w:t>
            </w:r>
          </w:p>
        </w:tc>
        <w:tc>
          <w:tcPr>
            <w:tcW w:type="dxa" w:w="3855"/>
            <w:vAlign w:val="center"/>
            <w:tcMar>
              <w:top w:w="90" w:type="dxa"/>
              <w:left w:w="90" w:type="dxa"/>
              <w:bottom w:w="90" w:type="dxa"/>
              <w:right w:w="90" w:type="dxa"/>
            </w:tcMar>
            <w:shd w:fill="F7F8FA"/>
          </w:tcPr>
          <w:p>
            <w:pPr>
              <w:spacing w:after="40" w:before="40" w:line="264" w:lineRule="auto"/>
            </w:pPr>
            <w:r>
              <w:rPr>
                <w:sz w:val="18"/>
              </w:rPr>
              <w:t>流畅度掩盖事实错误</w:t>
            </w:r>
          </w:p>
        </w:tc>
      </w:tr>
    </w:tbl>
    <w:p>
      <w:pPr>
        <w:spacing w:after="40" w:before="0" w:line="120" w:lineRule="auto"/>
      </w:pPr>
      <w:r>
        <w:rPr>
          <w:sz w:val="4"/>
        </w:rPr>
      </w:r>
    </w:p>
    <w:p>
      <w:r>
        <w:t>空输出不定义为100%事实支持；单列拒答并在必要声明覆盖中计为未覆盖。对无证据任务报告恰当拒答率，对有充分证据任务报告错误拒答率。ROUGE-L或BERTScore仅为语言相似辅助指标，不能作为金融正确性的主指标。对数值声明另核对原文、单位、时期和计算方式。</w:t>
      </w:r>
    </w:p>
    <w:p>
      <w:r>
        <w:t>核心对照包括模板理由、直接生成、普通RAG、ALCE式带引用生成、生成后支持检查与修正、Self-RAG或CRAG式流程、关系约束但无时间约束、完整规划约束，以及有条件实施的SFT与SFT加DPO。所有方法使用相同候选排名、证据及基模型，修正流程调用次数与token预算公开；超预算时同时报告同预算比较和各方法原生预算比较。</w:t>
      </w:r>
    </w:p>
    <w:p>
      <w:r>
        <w:t>实验分为自然错误集、同期冲突集、历史时点回放、实体关系扰动集和长度压力集。生成器保持不变，分别去掉声明规划、日期限定、关系验证和困难偏好训练，验证各模块贡献。按查询组进行bootstrap；人工评分报告一致性。LLM评审使用与生成器不同的模型或配置，在人工测试集上校准，并公布与人工判断的混淆情况。</w:t>
      </w:r>
    </w:p>
    <w:p>
      <w:pPr>
        <w:pStyle w:val="Heading2"/>
      </w:pPr>
      <w:r>
        <w:t>5.7 可行性与论文组织</w:t>
      </w:r>
    </w:p>
    <w:p>
      <w:r>
        <w:t>最小版本仅用API完成声明规划及生成，本地程序做实体日期校验，并训练小型关系支持判定器。要体现学习方法贡献时，采用0.6B至4B模型的受监督适配，短上下文QLoRA先做显存测量；DPO要求另行验证显存及训练稳定性。全量8B长文档偏好训练不作为开题承诺。</w:t>
      </w:r>
    </w:p>
    <w:p>
      <w:r>
        <w:t>论文可形成“金融理由任务与错误类型—时点和关系支持数据集—声明规划及约束学习—生成与拒答联合评价—系统验证”。数据难度高、方法难度中等偏高、撰写难度高。该方向容易出现“方法很复杂但模板同样正确”的结果，必须用必要声明覆盖、多源复杂关系和真实时间变化检验额外价值。</w:t>
      </w:r>
    </w:p>
    <w:p>
      <w:pPr>
        <w:pStyle w:val="Heading1"/>
      </w:pPr>
      <w:r>
        <w:t>六 公共资源的核验与统一实验协议</w:t>
      </w:r>
    </w:p>
    <w:p>
      <w:pPr>
        <w:pStyle w:val="Heading2"/>
      </w:pPr>
      <w:r>
        <w:t>6.1 已核验的资料入口</w:t>
      </w:r>
    </w:p>
    <w:p>
      <w:r>
        <w:t>2026年10月6日对三份公开资源进行了实际下载及解析。FinanceBench的公开JSONL包含150条记录，每条含证据字段；不能把论文描述的10231条题库规模写成已免费取得的训练数据。上交所公布的一份基金季度报告有12页，可提取基金代码、投资目标、业绩比较基准、持仓与配置等字段；另一份招募说明书有128页，可提取策略与标的指数相关文本，但并非所有文件都有同一字段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5"/>
        <w:gridCol w:w="2891"/>
        <w:gridCol w:w="2313"/>
        <w:gridCol w:w="2699"/>
      </w:tblGrid>
      <w:tr>
        <w:trPr>
          <w:cantSplit/>
          <w:tblHeader/>
        </w:trPr>
        <w:tc>
          <w:tcPr>
            <w:tcW w:type="dxa" w:w="1735"/>
            <w:vAlign w:val="center"/>
            <w:tcMar>
              <w:top w:w="90" w:type="dxa"/>
              <w:left w:w="90" w:type="dxa"/>
              <w:bottom w:w="90" w:type="dxa"/>
              <w:right w:w="90" w:type="dxa"/>
            </w:tcMar>
            <w:shd w:fill="E8EDF2"/>
          </w:tcPr>
          <w:p>
            <w:pPr>
              <w:spacing w:after="40" w:before="40" w:line="264" w:lineRule="auto"/>
            </w:pPr>
            <w:r>
              <w:rPr>
                <w:b/>
                <w:sz w:val="18"/>
              </w:rPr>
              <w:t>资源</w:t>
            </w:r>
          </w:p>
        </w:tc>
        <w:tc>
          <w:tcPr>
            <w:tcW w:type="dxa" w:w="2891"/>
            <w:vAlign w:val="center"/>
            <w:tcMar>
              <w:top w:w="90" w:type="dxa"/>
              <w:left w:w="90" w:type="dxa"/>
              <w:bottom w:w="90" w:type="dxa"/>
              <w:right w:w="90" w:type="dxa"/>
            </w:tcMar>
            <w:shd w:fill="E8EDF2"/>
          </w:tcPr>
          <w:p>
            <w:pPr>
              <w:spacing w:after="40" w:before="40" w:line="264" w:lineRule="auto"/>
            </w:pPr>
            <w:r>
              <w:rPr>
                <w:b/>
                <w:sz w:val="18"/>
              </w:rPr>
              <w:t>核验结果</w:t>
            </w:r>
          </w:p>
        </w:tc>
        <w:tc>
          <w:tcPr>
            <w:tcW w:type="dxa" w:w="2313"/>
            <w:vAlign w:val="center"/>
            <w:tcMar>
              <w:top w:w="90" w:type="dxa"/>
              <w:left w:w="90" w:type="dxa"/>
              <w:bottom w:w="90" w:type="dxa"/>
              <w:right w:w="90" w:type="dxa"/>
            </w:tcMar>
            <w:shd w:fill="E8EDF2"/>
          </w:tcPr>
          <w:p>
            <w:pPr>
              <w:spacing w:after="40" w:before="40" w:line="264" w:lineRule="auto"/>
            </w:pPr>
            <w:r>
              <w:rPr>
                <w:b/>
                <w:sz w:val="18"/>
              </w:rPr>
              <w:t>对论文的用途</w:t>
            </w:r>
          </w:p>
        </w:tc>
        <w:tc>
          <w:tcPr>
            <w:tcW w:type="dxa" w:w="2699"/>
            <w:vAlign w:val="center"/>
            <w:tcMar>
              <w:top w:w="90" w:type="dxa"/>
              <w:left w:w="90" w:type="dxa"/>
              <w:bottom w:w="90" w:type="dxa"/>
              <w:right w:w="90" w:type="dxa"/>
            </w:tcMar>
            <w:shd w:fill="E8EDF2"/>
          </w:tcPr>
          <w:p>
            <w:pPr>
              <w:spacing w:after="40" w:before="40" w:line="264" w:lineRule="auto"/>
            </w:pPr>
            <w:r>
              <w:rPr>
                <w:b/>
                <w:sz w:val="18"/>
              </w:rPr>
              <w:t>尚需完成的检查</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官方基金季度报告[29]</w:t>
            </w:r>
          </w:p>
        </w:tc>
        <w:tc>
          <w:tcPr>
            <w:tcW w:type="dxa" w:w="2891"/>
            <w:vAlign w:val="center"/>
            <w:tcMar>
              <w:top w:w="90" w:type="dxa"/>
              <w:left w:w="90" w:type="dxa"/>
              <w:bottom w:w="90" w:type="dxa"/>
              <w:right w:w="90" w:type="dxa"/>
            </w:tcMar>
            <w:shd w:fill="FFFFFF"/>
          </w:tcPr>
          <w:p>
            <w:pPr>
              <w:spacing w:after="40" w:before="40" w:line="264" w:lineRule="auto"/>
            </w:pPr>
            <w:r>
              <w:rPr>
                <w:sz w:val="18"/>
              </w:rPr>
              <w:t>HTTP成功，12页，文本可解析</w:t>
            </w:r>
          </w:p>
        </w:tc>
        <w:tc>
          <w:tcPr>
            <w:tcW w:type="dxa" w:w="2313"/>
            <w:vAlign w:val="center"/>
            <w:tcMar>
              <w:top w:w="90" w:type="dxa"/>
              <w:left w:w="90" w:type="dxa"/>
              <w:bottom w:w="90" w:type="dxa"/>
              <w:right w:w="90" w:type="dxa"/>
            </w:tcMar>
            <w:shd w:fill="FFFFFF"/>
          </w:tcPr>
          <w:p>
            <w:pPr>
              <w:spacing w:after="40" w:before="40" w:line="264" w:lineRule="auto"/>
            </w:pPr>
            <w:r>
              <w:rPr>
                <w:sz w:val="18"/>
              </w:rPr>
              <w:t>定期持仓及关系证据样例</w:t>
            </w:r>
          </w:p>
        </w:tc>
        <w:tc>
          <w:tcPr>
            <w:tcW w:type="dxa" w:w="2699"/>
            <w:vAlign w:val="center"/>
            <w:tcMar>
              <w:top w:w="90" w:type="dxa"/>
              <w:left w:w="90" w:type="dxa"/>
              <w:bottom w:w="90" w:type="dxa"/>
              <w:right w:w="90" w:type="dxa"/>
            </w:tcMar>
            <w:shd w:fill="FFFFFF"/>
          </w:tcPr>
          <w:p>
            <w:pPr>
              <w:spacing w:after="40" w:before="40" w:line="264" w:lineRule="auto"/>
            </w:pPr>
            <w:r>
              <w:rPr>
                <w:sz w:val="18"/>
              </w:rPr>
              <w:t>多产品、多期可用率与表格精度</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官方基金招募说明书[30]</w:t>
            </w:r>
          </w:p>
        </w:tc>
        <w:tc>
          <w:tcPr>
            <w:tcW w:type="dxa" w:w="2891"/>
            <w:vAlign w:val="center"/>
            <w:tcMar>
              <w:top w:w="90" w:type="dxa"/>
              <w:left w:w="90" w:type="dxa"/>
              <w:bottom w:w="90" w:type="dxa"/>
              <w:right w:w="90" w:type="dxa"/>
            </w:tcMar>
            <w:shd w:fill="F7F8FA"/>
          </w:tcPr>
          <w:p>
            <w:pPr>
              <w:spacing w:after="40" w:before="40" w:line="264" w:lineRule="auto"/>
            </w:pPr>
            <w:r>
              <w:rPr>
                <w:sz w:val="18"/>
              </w:rPr>
              <w:t>HTTP成功，128页，文本可解析</w:t>
            </w:r>
          </w:p>
        </w:tc>
        <w:tc>
          <w:tcPr>
            <w:tcW w:type="dxa" w:w="2313"/>
            <w:vAlign w:val="center"/>
            <w:tcMar>
              <w:top w:w="90" w:type="dxa"/>
              <w:left w:w="90" w:type="dxa"/>
              <w:bottom w:w="90" w:type="dxa"/>
              <w:right w:w="90" w:type="dxa"/>
            </w:tcMar>
            <w:shd w:fill="F7F8FA"/>
          </w:tcPr>
          <w:p>
            <w:pPr>
              <w:spacing w:after="40" w:before="40" w:line="264" w:lineRule="auto"/>
            </w:pPr>
            <w:r>
              <w:rPr>
                <w:sz w:val="18"/>
              </w:rPr>
              <w:t>长期策略及标的指数证据</w:t>
            </w:r>
          </w:p>
        </w:tc>
        <w:tc>
          <w:tcPr>
            <w:tcW w:type="dxa" w:w="2699"/>
            <w:vAlign w:val="center"/>
            <w:tcMar>
              <w:top w:w="90" w:type="dxa"/>
              <w:left w:w="90" w:type="dxa"/>
              <w:bottom w:w="90" w:type="dxa"/>
              <w:right w:w="90" w:type="dxa"/>
            </w:tcMar>
            <w:shd w:fill="F7F8FA"/>
          </w:tcPr>
          <w:p>
            <w:pPr>
              <w:spacing w:after="40" w:before="40" w:line="264" w:lineRule="auto"/>
            </w:pPr>
            <w:r>
              <w:rPr>
                <w:sz w:val="18"/>
              </w:rPr>
              <w:t>字段提取和实体映射抽样审计</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FinanceBench公开样本[23]</w:t>
            </w:r>
          </w:p>
        </w:tc>
        <w:tc>
          <w:tcPr>
            <w:tcW w:type="dxa" w:w="2891"/>
            <w:vAlign w:val="center"/>
            <w:tcMar>
              <w:top w:w="90" w:type="dxa"/>
              <w:left w:w="90" w:type="dxa"/>
              <w:bottom w:w="90" w:type="dxa"/>
              <w:right w:w="90" w:type="dxa"/>
            </w:tcMar>
            <w:shd w:fill="FFFFFF"/>
          </w:tcPr>
          <w:p>
            <w:pPr>
              <w:spacing w:after="40" w:before="40" w:line="264" w:lineRule="auto"/>
            </w:pPr>
            <w:r>
              <w:rPr>
                <w:sz w:val="18"/>
              </w:rPr>
              <w:t>HTTP成功，150条，均有evidence</w:t>
            </w:r>
          </w:p>
        </w:tc>
        <w:tc>
          <w:tcPr>
            <w:tcW w:type="dxa" w:w="2313"/>
            <w:vAlign w:val="center"/>
            <w:tcMar>
              <w:top w:w="90" w:type="dxa"/>
              <w:left w:w="90" w:type="dxa"/>
              <w:bottom w:w="90" w:type="dxa"/>
              <w:right w:w="90" w:type="dxa"/>
            </w:tcMar>
            <w:shd w:fill="FFFFFF"/>
          </w:tcPr>
          <w:p>
            <w:pPr>
              <w:spacing w:after="40" w:before="40" w:line="264" w:lineRule="auto"/>
            </w:pPr>
            <w:r>
              <w:rPr>
                <w:sz w:val="18"/>
              </w:rPr>
              <w:t>英文金融证据外部验证</w:t>
            </w:r>
          </w:p>
        </w:tc>
        <w:tc>
          <w:tcPr>
            <w:tcW w:type="dxa" w:w="2699"/>
            <w:vAlign w:val="center"/>
            <w:tcMar>
              <w:top w:w="90" w:type="dxa"/>
              <w:left w:w="90" w:type="dxa"/>
              <w:bottom w:w="90" w:type="dxa"/>
              <w:right w:w="90" w:type="dxa"/>
            </w:tcMar>
            <w:shd w:fill="FFFFFF"/>
          </w:tcPr>
          <w:p>
            <w:pPr>
              <w:spacing w:after="40" w:before="40" w:line="264" w:lineRule="auto"/>
            </w:pPr>
            <w:r>
              <w:rPr>
                <w:sz w:val="18"/>
              </w:rPr>
              <w:t>源文档链接与标签质量抽检</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AKShare基金接口[22]</w:t>
            </w:r>
          </w:p>
        </w:tc>
        <w:tc>
          <w:tcPr>
            <w:tcW w:type="dxa" w:w="2891"/>
            <w:vAlign w:val="center"/>
            <w:tcMar>
              <w:top w:w="90" w:type="dxa"/>
              <w:left w:w="90" w:type="dxa"/>
              <w:bottom w:w="90" w:type="dxa"/>
              <w:right w:w="90" w:type="dxa"/>
            </w:tcMar>
            <w:shd w:fill="F7F8FA"/>
          </w:tcPr>
          <w:p>
            <w:pPr>
              <w:spacing w:after="40" w:before="40" w:line="264" w:lineRule="auto"/>
            </w:pPr>
            <w:r>
              <w:rPr>
                <w:sz w:val="18"/>
              </w:rPr>
              <w:t>官方文档确认所需接口</w:t>
            </w:r>
          </w:p>
        </w:tc>
        <w:tc>
          <w:tcPr>
            <w:tcW w:type="dxa" w:w="2313"/>
            <w:vAlign w:val="center"/>
            <w:tcMar>
              <w:top w:w="90" w:type="dxa"/>
              <w:left w:w="90" w:type="dxa"/>
              <w:bottom w:w="90" w:type="dxa"/>
              <w:right w:w="90" w:type="dxa"/>
            </w:tcMar>
            <w:shd w:fill="F7F8FA"/>
          </w:tcPr>
          <w:p>
            <w:pPr>
              <w:spacing w:after="40" w:before="40" w:line="264" w:lineRule="auto"/>
            </w:pPr>
            <w:r>
              <w:rPr>
                <w:sz w:val="18"/>
              </w:rPr>
              <w:t>辅助采集及交叉核对</w:t>
            </w:r>
          </w:p>
        </w:tc>
        <w:tc>
          <w:tcPr>
            <w:tcW w:type="dxa" w:w="2699"/>
            <w:vAlign w:val="center"/>
            <w:tcMar>
              <w:top w:w="90" w:type="dxa"/>
              <w:left w:w="90" w:type="dxa"/>
              <w:bottom w:w="90" w:type="dxa"/>
              <w:right w:w="90" w:type="dxa"/>
            </w:tcMar>
            <w:shd w:fill="F7F8FA"/>
          </w:tcPr>
          <w:p>
            <w:pPr>
              <w:spacing w:after="40" w:before="40" w:line="264" w:lineRule="auto"/>
            </w:pPr>
            <w:r>
              <w:rPr>
                <w:sz w:val="18"/>
              </w:rPr>
              <w:t>未实测批量接口，需预实验</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BRIGHT及CFLUE[21][13]</w:t>
            </w:r>
          </w:p>
        </w:tc>
        <w:tc>
          <w:tcPr>
            <w:tcW w:type="dxa" w:w="2891"/>
            <w:vAlign w:val="center"/>
            <w:tcMar>
              <w:top w:w="90" w:type="dxa"/>
              <w:left w:w="90" w:type="dxa"/>
              <w:bottom w:w="90" w:type="dxa"/>
              <w:right w:w="90" w:type="dxa"/>
            </w:tcMar>
            <w:shd w:fill="FFFFFF"/>
          </w:tcPr>
          <w:p>
            <w:pPr>
              <w:spacing w:after="40" w:before="40" w:line="264" w:lineRule="auto"/>
            </w:pPr>
            <w:r>
              <w:rPr>
                <w:sz w:val="18"/>
              </w:rPr>
              <w:t>原论文及作者资源可查</w:t>
            </w:r>
          </w:p>
        </w:tc>
        <w:tc>
          <w:tcPr>
            <w:tcW w:type="dxa" w:w="2313"/>
            <w:vAlign w:val="center"/>
            <w:tcMar>
              <w:top w:w="90" w:type="dxa"/>
              <w:left w:w="90" w:type="dxa"/>
              <w:bottom w:w="90" w:type="dxa"/>
              <w:right w:w="90" w:type="dxa"/>
            </w:tcMar>
            <w:shd w:fill="FFFFFF"/>
          </w:tcPr>
          <w:p>
            <w:pPr>
              <w:spacing w:after="40" w:before="40" w:line="264" w:lineRule="auto"/>
            </w:pPr>
            <w:r>
              <w:rPr>
                <w:sz w:val="18"/>
              </w:rPr>
              <w:t>通用推理及中文金融能力补充</w:t>
            </w:r>
          </w:p>
        </w:tc>
        <w:tc>
          <w:tcPr>
            <w:tcW w:type="dxa" w:w="2699"/>
            <w:vAlign w:val="center"/>
            <w:tcMar>
              <w:top w:w="90" w:type="dxa"/>
              <w:left w:w="90" w:type="dxa"/>
              <w:bottom w:w="90" w:type="dxa"/>
              <w:right w:w="90" w:type="dxa"/>
            </w:tcMar>
            <w:shd w:fill="FFFFFF"/>
          </w:tcPr>
          <w:p>
            <w:pPr>
              <w:spacing w:after="40" w:before="40" w:line="264" w:lineRule="auto"/>
            </w:pPr>
            <w:r>
              <w:rPr>
                <w:sz w:val="18"/>
              </w:rPr>
              <w:t>实际下载、版本和许可核对</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FinRetrieval[27]</w:t>
            </w:r>
          </w:p>
        </w:tc>
        <w:tc>
          <w:tcPr>
            <w:tcW w:type="dxa" w:w="2891"/>
            <w:vAlign w:val="center"/>
            <w:tcMar>
              <w:top w:w="90" w:type="dxa"/>
              <w:left w:w="90" w:type="dxa"/>
              <w:bottom w:w="90" w:type="dxa"/>
              <w:right w:w="90" w:type="dxa"/>
            </w:tcMar>
            <w:shd w:fill="F7F8FA"/>
          </w:tcPr>
          <w:p>
            <w:pPr>
              <w:spacing w:after="40" w:before="40" w:line="264" w:lineRule="auto"/>
            </w:pPr>
            <w:r>
              <w:rPr>
                <w:sz w:val="18"/>
              </w:rPr>
              <w:t>作者数据卡及论文确认500问与工具轨迹</w:t>
            </w:r>
          </w:p>
        </w:tc>
        <w:tc>
          <w:tcPr>
            <w:tcW w:type="dxa" w:w="2313"/>
            <w:vAlign w:val="center"/>
            <w:tcMar>
              <w:top w:w="90" w:type="dxa"/>
              <w:left w:w="90" w:type="dxa"/>
              <w:bottom w:w="90" w:type="dxa"/>
              <w:right w:w="90" w:type="dxa"/>
            </w:tcMar>
            <w:shd w:fill="F7F8FA"/>
          </w:tcPr>
          <w:p>
            <w:pPr>
              <w:spacing w:after="40" w:before="40" w:line="264" w:lineRule="auto"/>
            </w:pPr>
            <w:r>
              <w:rPr>
                <w:sz w:val="18"/>
              </w:rPr>
              <w:t>可选金融检索外部分析</w:t>
            </w:r>
          </w:p>
        </w:tc>
        <w:tc>
          <w:tcPr>
            <w:tcW w:type="dxa" w:w="2699"/>
            <w:vAlign w:val="center"/>
            <w:tcMar>
              <w:top w:w="90" w:type="dxa"/>
              <w:left w:w="90" w:type="dxa"/>
              <w:bottom w:w="90" w:type="dxa"/>
              <w:right w:w="90" w:type="dxa"/>
            </w:tcMar>
            <w:shd w:fill="F7F8FA"/>
          </w:tcPr>
          <w:p>
            <w:pPr>
              <w:spacing w:after="40" w:before="40" w:line="264" w:lineRule="auto"/>
            </w:pPr>
            <w:r>
              <w:rPr>
                <w:sz w:val="18"/>
              </w:rPr>
              <w:t>部分工具依赖服务，非主线资源</w:t>
            </w:r>
          </w:p>
        </w:tc>
      </w:tr>
    </w:tbl>
    <w:p>
      <w:pPr>
        <w:spacing w:after="40" w:before="0" w:line="120" w:lineRule="auto"/>
      </w:pPr>
      <w:r>
        <w:rPr>
          <w:sz w:val="4"/>
        </w:rPr>
      </w:r>
    </w:p>
    <w:p>
      <w:r>
        <w:t>该核验确认了小样本入口，不等于证明300至500只基金和全部历史期均可获得。需在开题前形成50只基金的获取成功率、字段缺失率、解析准确率及文档来源清单。提取器先用PDF文本和规则，失败页再OCR，无法可靠解析的表格人工复核；保留原文定位，不让模型生成的数据替代公开事实。</w:t>
      </w:r>
    </w:p>
    <w:p>
      <w:pPr>
        <w:pStyle w:val="Heading2"/>
      </w:pPr>
      <w:r>
        <w:t>6.2 数据可复现与评测独立性</w:t>
      </w:r>
    </w:p>
    <w:p>
      <w:r>
        <w:t>每个资料记录source_url、fetch_time、publish_time、report_period、fund_code、share_group、文件哈希、片段页码及提取器版本。以公告发布日期作为信息可获得时点，报告期末只描述内容适用期；历史净值计算使用截至查询时点可见的复权或累计净值口径，并注明具体来源。没有历史可售状态时，仅研究信息相关性，不报告可购买性判断。</w:t>
      </w:r>
    </w:p>
    <w:p>
      <w:r>
        <w:t>公共网页可访问不自动等于允许整库转载。论文仓库优先发布采集代码、URL清单、许可明确的数据及自建标签；原始PDF和大规模网页缓存本地保存，分发前核对许可。实习代码、公司数据、内部接口、调用凭证和完整内部记录不作为论文复现依赖。方法可重新实现，不要求搬运实习工程。</w:t>
      </w:r>
    </w:p>
    <w:p>
      <w:r>
        <w:t>人工指南先写后标，标签不可由待评方法的分数直接生成。训练可使用规则或大模型弱标签，但测试集要由独立人工依据证据判断。评测时隐藏方法与原始排名；必要时更换匿名候选ID来检验知名产品偏好。所有阈值与超参数只在验证集选择，测试集冻结后不得反复用于挑选Prompt。</w:t>
      </w:r>
    </w:p>
    <w:p>
      <w:r>
        <w:t>三题的任务切分不同：题目一强调基金家族隔离，题目二强调查询主题与来源分布，题目三强调同一证据与扰动组隔离。基金与来源能否在跨主题任务重复，应按实验设定公开；完全冷启动及跨基金测试另做子集，不能含糊地声称所有维度都已同时隔离。</w:t>
      </w:r>
    </w:p>
    <w:p>
      <w:pPr>
        <w:pStyle w:val="Heading2"/>
      </w:pPr>
      <w:r>
        <w:t>6.3 算力与费用估算方式</w:t>
      </w:r>
    </w:p>
    <w:p>
      <w:r>
        <w:t>先进行10至20条样本试跑，测量每条输入输出token、延迟和显存，再根据实际租赁单价及API账单估算。GPU费用等于租赁小时数乘实时单价；API费用等于输入和输出token量分别乘实时价格，加缓存及重试费用。不将本报告中的预算当作厂商报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5"/>
        <w:gridCol w:w="2891"/>
        <w:gridCol w:w="2313"/>
        <w:gridCol w:w="2699"/>
      </w:tblGrid>
      <w:tr>
        <w:trPr>
          <w:cantSplit/>
          <w:tblHeader/>
        </w:trPr>
        <w:tc>
          <w:tcPr>
            <w:tcW w:type="dxa" w:w="1735"/>
            <w:vAlign w:val="center"/>
            <w:tcMar>
              <w:top w:w="90" w:type="dxa"/>
              <w:left w:w="90" w:type="dxa"/>
              <w:bottom w:w="90" w:type="dxa"/>
              <w:right w:w="90" w:type="dxa"/>
            </w:tcMar>
            <w:shd w:fill="E8EDF2"/>
          </w:tcPr>
          <w:p>
            <w:pPr>
              <w:spacing w:after="40" w:before="40" w:line="264" w:lineRule="auto"/>
            </w:pPr>
            <w:r>
              <w:rPr>
                <w:b/>
                <w:sz w:val="18"/>
              </w:rPr>
              <w:t>路线</w:t>
            </w:r>
          </w:p>
        </w:tc>
        <w:tc>
          <w:tcPr>
            <w:tcW w:type="dxa" w:w="2891"/>
            <w:vAlign w:val="center"/>
            <w:tcMar>
              <w:top w:w="90" w:type="dxa"/>
              <w:left w:w="90" w:type="dxa"/>
              <w:bottom w:w="90" w:type="dxa"/>
              <w:right w:w="90" w:type="dxa"/>
            </w:tcMar>
            <w:shd w:fill="E8EDF2"/>
          </w:tcPr>
          <w:p>
            <w:pPr>
              <w:spacing w:after="40" w:before="40" w:line="264" w:lineRule="auto"/>
            </w:pPr>
            <w:r>
              <w:rPr>
                <w:b/>
                <w:sz w:val="18"/>
              </w:rPr>
              <w:t>GPU机时规划范围</w:t>
            </w:r>
          </w:p>
        </w:tc>
        <w:tc>
          <w:tcPr>
            <w:tcW w:type="dxa" w:w="2313"/>
            <w:vAlign w:val="center"/>
            <w:tcMar>
              <w:top w:w="90" w:type="dxa"/>
              <w:left w:w="90" w:type="dxa"/>
              <w:bottom w:w="90" w:type="dxa"/>
              <w:right w:w="90" w:type="dxa"/>
            </w:tcMar>
            <w:shd w:fill="E8EDF2"/>
          </w:tcPr>
          <w:p>
            <w:pPr>
              <w:spacing w:after="40" w:before="40" w:line="264" w:lineRule="auto"/>
            </w:pPr>
            <w:r>
              <w:rPr>
                <w:b/>
                <w:sz w:val="18"/>
              </w:rPr>
              <w:t>API输入及输出规划量</w:t>
            </w:r>
          </w:p>
        </w:tc>
        <w:tc>
          <w:tcPr>
            <w:tcW w:type="dxa" w:w="2699"/>
            <w:vAlign w:val="center"/>
            <w:tcMar>
              <w:top w:w="90" w:type="dxa"/>
              <w:left w:w="90" w:type="dxa"/>
              <w:bottom w:w="90" w:type="dxa"/>
              <w:right w:w="90" w:type="dxa"/>
            </w:tcMar>
            <w:shd w:fill="E8EDF2"/>
          </w:tcPr>
          <w:p>
            <w:pPr>
              <w:spacing w:after="40" w:before="40" w:line="264" w:lineRule="auto"/>
            </w:pPr>
            <w:r>
              <w:rPr>
                <w:b/>
                <w:sz w:val="18"/>
              </w:rPr>
              <w:t>预算控制方式</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题目一 冻结编码与小型融合</w:t>
            </w:r>
          </w:p>
        </w:tc>
        <w:tc>
          <w:tcPr>
            <w:tcW w:type="dxa" w:w="2891"/>
            <w:vAlign w:val="center"/>
            <w:tcMar>
              <w:top w:w="90" w:type="dxa"/>
              <w:left w:w="90" w:type="dxa"/>
              <w:bottom w:w="90" w:type="dxa"/>
              <w:right w:w="90" w:type="dxa"/>
            </w:tcMar>
            <w:shd w:fill="FFFFFF"/>
          </w:tcPr>
          <w:p>
            <w:pPr>
              <w:spacing w:after="40" w:before="40" w:line="264" w:lineRule="auto"/>
            </w:pPr>
            <w:r>
              <w:rPr>
                <w:sz w:val="18"/>
              </w:rPr>
              <w:t>30至80小时</w:t>
            </w:r>
          </w:p>
        </w:tc>
        <w:tc>
          <w:tcPr>
            <w:tcW w:type="dxa" w:w="2313"/>
            <w:vAlign w:val="center"/>
            <w:tcMar>
              <w:top w:w="90" w:type="dxa"/>
              <w:left w:w="90" w:type="dxa"/>
              <w:bottom w:w="90" w:type="dxa"/>
              <w:right w:w="90" w:type="dxa"/>
            </w:tcMar>
            <w:shd w:fill="FFFFFF"/>
          </w:tcPr>
          <w:p>
            <w:pPr>
              <w:spacing w:after="40" w:before="40" w:line="264" w:lineRule="auto"/>
            </w:pPr>
            <w:r>
              <w:rPr>
                <w:sz w:val="18"/>
              </w:rPr>
              <w:t>输入200万至600万，输出50万至150万token</w:t>
            </w:r>
          </w:p>
        </w:tc>
        <w:tc>
          <w:tcPr>
            <w:tcW w:type="dxa" w:w="2699"/>
            <w:vAlign w:val="center"/>
            <w:tcMar>
              <w:top w:w="90" w:type="dxa"/>
              <w:left w:w="90" w:type="dxa"/>
              <w:bottom w:w="90" w:type="dxa"/>
              <w:right w:w="90" w:type="dxa"/>
            </w:tcMar>
            <w:shd w:fill="FFFFFF"/>
          </w:tcPr>
          <w:p>
            <w:pPr>
              <w:spacing w:after="40" w:before="40" w:line="264" w:lineRule="auto"/>
            </w:pPr>
            <w:r>
              <w:rPr>
                <w:sz w:val="18"/>
              </w:rPr>
              <w:t>标注建议和少量强基线，主训练轻量化</w:t>
            </w:r>
          </w:p>
        </w:tc>
      </w:tr>
      <w:tr>
        <w:trPr>
          <w:cantSplit/>
        </w:trPr>
        <w:tc>
          <w:tcPr>
            <w:tcW w:type="dxa" w:w="1735"/>
            <w:vAlign w:val="center"/>
            <w:tcMar>
              <w:top w:w="90" w:type="dxa"/>
              <w:left w:w="90" w:type="dxa"/>
              <w:bottom w:w="90" w:type="dxa"/>
              <w:right w:w="90" w:type="dxa"/>
            </w:tcMar>
            <w:shd w:fill="F7F8FA"/>
          </w:tcPr>
          <w:p>
            <w:pPr>
              <w:spacing w:after="40" w:before="40" w:line="264" w:lineRule="auto"/>
            </w:pPr>
            <w:r>
              <w:rPr>
                <w:sz w:val="18"/>
              </w:rPr>
              <w:t>题目二 证据判定与重排序</w:t>
            </w:r>
          </w:p>
        </w:tc>
        <w:tc>
          <w:tcPr>
            <w:tcW w:type="dxa" w:w="2891"/>
            <w:vAlign w:val="center"/>
            <w:tcMar>
              <w:top w:w="90" w:type="dxa"/>
              <w:left w:w="90" w:type="dxa"/>
              <w:bottom w:w="90" w:type="dxa"/>
              <w:right w:w="90" w:type="dxa"/>
            </w:tcMar>
            <w:shd w:fill="F7F8FA"/>
          </w:tcPr>
          <w:p>
            <w:pPr>
              <w:spacing w:after="40" w:before="40" w:line="264" w:lineRule="auto"/>
            </w:pPr>
            <w:r>
              <w:rPr>
                <w:sz w:val="18"/>
              </w:rPr>
              <w:t>50至120小时</w:t>
            </w:r>
          </w:p>
        </w:tc>
        <w:tc>
          <w:tcPr>
            <w:tcW w:type="dxa" w:w="2313"/>
            <w:vAlign w:val="center"/>
            <w:tcMar>
              <w:top w:w="90" w:type="dxa"/>
              <w:left w:w="90" w:type="dxa"/>
              <w:bottom w:w="90" w:type="dxa"/>
              <w:right w:w="90" w:type="dxa"/>
            </w:tcMar>
            <w:shd w:fill="F7F8FA"/>
          </w:tcPr>
          <w:p>
            <w:pPr>
              <w:spacing w:after="40" w:before="40" w:line="264" w:lineRule="auto"/>
            </w:pPr>
            <w:r>
              <w:rPr>
                <w:sz w:val="18"/>
              </w:rPr>
              <w:t>输入500万至1500万，输出100万至300万token</w:t>
            </w:r>
          </w:p>
        </w:tc>
        <w:tc>
          <w:tcPr>
            <w:tcW w:type="dxa" w:w="2699"/>
            <w:vAlign w:val="center"/>
            <w:tcMar>
              <w:top w:w="90" w:type="dxa"/>
              <w:left w:w="90" w:type="dxa"/>
              <w:bottom w:w="90" w:type="dxa"/>
              <w:right w:w="90" w:type="dxa"/>
            </w:tcMar>
            <w:shd w:fill="F7F8FA"/>
          </w:tcPr>
          <w:p>
            <w:pPr>
              <w:spacing w:after="40" w:before="40" w:line="264" w:lineRule="auto"/>
            </w:pPr>
            <w:r>
              <w:rPr>
                <w:sz w:val="18"/>
              </w:rPr>
              <w:t>缓存候选，API只跑固定比较集</w:t>
            </w:r>
          </w:p>
        </w:tc>
      </w:tr>
      <w:tr>
        <w:trPr>
          <w:cantSplit/>
        </w:trPr>
        <w:tc>
          <w:tcPr>
            <w:tcW w:type="dxa" w:w="1735"/>
            <w:vAlign w:val="center"/>
            <w:tcMar>
              <w:top w:w="90" w:type="dxa"/>
              <w:left w:w="90" w:type="dxa"/>
              <w:bottom w:w="90" w:type="dxa"/>
              <w:right w:w="90" w:type="dxa"/>
            </w:tcMar>
            <w:shd w:fill="FFFFFF"/>
          </w:tcPr>
          <w:p>
            <w:pPr>
              <w:spacing w:after="40" w:before="40" w:line="264" w:lineRule="auto"/>
            </w:pPr>
            <w:r>
              <w:rPr>
                <w:sz w:val="18"/>
              </w:rPr>
              <w:t>题目三 规划生成及可选适配</w:t>
            </w:r>
          </w:p>
        </w:tc>
        <w:tc>
          <w:tcPr>
            <w:tcW w:type="dxa" w:w="2891"/>
            <w:vAlign w:val="center"/>
            <w:tcMar>
              <w:top w:w="90" w:type="dxa"/>
              <w:left w:w="90" w:type="dxa"/>
              <w:bottom w:w="90" w:type="dxa"/>
              <w:right w:w="90" w:type="dxa"/>
            </w:tcMar>
            <w:shd w:fill="FFFFFF"/>
          </w:tcPr>
          <w:p>
            <w:pPr>
              <w:spacing w:after="40" w:before="40" w:line="264" w:lineRule="auto"/>
            </w:pPr>
            <w:r>
              <w:rPr>
                <w:sz w:val="18"/>
              </w:rPr>
              <w:t>40至120小时</w:t>
            </w:r>
          </w:p>
        </w:tc>
        <w:tc>
          <w:tcPr>
            <w:tcW w:type="dxa" w:w="2313"/>
            <w:vAlign w:val="center"/>
            <w:tcMar>
              <w:top w:w="90" w:type="dxa"/>
              <w:left w:w="90" w:type="dxa"/>
              <w:bottom w:w="90" w:type="dxa"/>
              <w:right w:w="90" w:type="dxa"/>
            </w:tcMar>
            <w:shd w:fill="FFFFFF"/>
          </w:tcPr>
          <w:p>
            <w:pPr>
              <w:spacing w:after="40" w:before="40" w:line="264" w:lineRule="auto"/>
            </w:pPr>
            <w:r>
              <w:rPr>
                <w:sz w:val="18"/>
              </w:rPr>
              <w:t>输入500万至2000万，输出200万至600万token</w:t>
            </w:r>
          </w:p>
        </w:tc>
        <w:tc>
          <w:tcPr>
            <w:tcW w:type="dxa" w:w="2699"/>
            <w:vAlign w:val="center"/>
            <w:tcMar>
              <w:top w:w="90" w:type="dxa"/>
              <w:left w:w="90" w:type="dxa"/>
              <w:bottom w:w="90" w:type="dxa"/>
              <w:right w:w="90" w:type="dxa"/>
            </w:tcMar>
            <w:shd w:fill="FFFFFF"/>
          </w:tcPr>
          <w:p>
            <w:pPr>
              <w:spacing w:after="40" w:before="40" w:line="264" w:lineRule="auto"/>
            </w:pPr>
            <w:r>
              <w:rPr>
                <w:sz w:val="18"/>
              </w:rPr>
              <w:t>限制修正轮次，先做SFT再决定DPO</w:t>
            </w:r>
          </w:p>
        </w:tc>
      </w:tr>
    </w:tbl>
    <w:p>
      <w:pPr>
        <w:spacing w:after="40" w:before="0" w:line="120" w:lineRule="auto"/>
      </w:pPr>
      <w:r>
        <w:rPr>
          <w:sz w:val="4"/>
        </w:rPr>
      </w:r>
    </w:p>
    <w:p>
      <w:r>
        <w:t>上述为工程规划区间，尚未实测，不承诺准确耗时。人工标注预计比纯GPU费用更可能成为瓶颈。若先按GPU每小时2至5元、API综合折算每百万token约5至30元作自定预算情景，可预留算力与API合计约1000至3000元，再按实际厂商计价调整；该情景不包含标注人员报酬，长推理输出及频繁评审可能显著增加成本。</w:t>
      </w:r>
    </w:p>
    <w:p>
      <w:pPr>
        <w:pStyle w:val="Heading1"/>
      </w:pPr>
      <w:r>
        <w:t>七 开题准备与六个月研究计划</w:t>
      </w:r>
    </w:p>
    <w:p>
      <w:pPr>
        <w:pStyle w:val="Heading2"/>
      </w:pPr>
      <w:r>
        <w:t>7.1 2026年10月底前的准备</w:t>
      </w:r>
    </w:p>
    <w:p>
      <w:r>
        <w:t>建议先用题目二组织开题材料，并用题目一和三展示备选逻辑。10月7日至13日完成核心论文精读、50只基金公开资料样本和标注指南；10月14日至20日完成60条查询、约600对候选的小规模标注，至少200对双标，并跑通BM25、规则及通用reranker基线；10月21日至26日完成一种关系支持或去重约束的预实验和错误归因；10月27日至31日完成导师确认、开题正文与展示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3566"/>
        <w:gridCol w:w="3855"/>
      </w:tblGrid>
      <w:tr>
        <w:trPr>
          <w:cantSplit/>
          <w:tblHeader/>
        </w:trPr>
        <w:tc>
          <w:tcPr>
            <w:tcW w:type="dxa" w:w="2217"/>
            <w:vAlign w:val="center"/>
            <w:tcMar>
              <w:top w:w="90" w:type="dxa"/>
              <w:left w:w="90" w:type="dxa"/>
              <w:bottom w:w="90" w:type="dxa"/>
              <w:right w:w="90" w:type="dxa"/>
            </w:tcMar>
            <w:shd w:fill="E8EDF2"/>
          </w:tcPr>
          <w:p>
            <w:pPr>
              <w:spacing w:after="40" w:before="40" w:line="264" w:lineRule="auto"/>
            </w:pPr>
            <w:r>
              <w:rPr>
                <w:b/>
                <w:sz w:val="18"/>
              </w:rPr>
              <w:t>开题前检查项</w:t>
            </w:r>
          </w:p>
        </w:tc>
        <w:tc>
          <w:tcPr>
            <w:tcW w:type="dxa" w:w="3566"/>
            <w:vAlign w:val="center"/>
            <w:tcMar>
              <w:top w:w="90" w:type="dxa"/>
              <w:left w:w="90" w:type="dxa"/>
              <w:bottom w:w="90" w:type="dxa"/>
              <w:right w:w="90" w:type="dxa"/>
            </w:tcMar>
            <w:shd w:fill="E8EDF2"/>
          </w:tcPr>
          <w:p>
            <w:pPr>
              <w:spacing w:after="40" w:before="40" w:line="264" w:lineRule="auto"/>
            </w:pPr>
            <w:r>
              <w:rPr>
                <w:b/>
                <w:sz w:val="18"/>
              </w:rPr>
              <w:t>继续该题的条件</w:t>
            </w:r>
          </w:p>
        </w:tc>
        <w:tc>
          <w:tcPr>
            <w:tcW w:type="dxa" w:w="3855"/>
            <w:vAlign w:val="center"/>
            <w:tcMar>
              <w:top w:w="90" w:type="dxa"/>
              <w:left w:w="90" w:type="dxa"/>
              <w:bottom w:w="90" w:type="dxa"/>
              <w:right w:w="90" w:type="dxa"/>
            </w:tcMar>
            <w:shd w:fill="E8EDF2"/>
          </w:tcPr>
          <w:p>
            <w:pPr>
              <w:spacing w:after="40" w:before="40" w:line="264" w:lineRule="auto"/>
            </w:pPr>
            <w:r>
              <w:rPr>
                <w:b/>
                <w:sz w:val="18"/>
              </w:rPr>
              <w:t>未达到时的处理</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公共资料获取</w:t>
            </w:r>
          </w:p>
        </w:tc>
        <w:tc>
          <w:tcPr>
            <w:tcW w:type="dxa" w:w="3566"/>
            <w:vAlign w:val="center"/>
            <w:tcMar>
              <w:top w:w="90" w:type="dxa"/>
              <w:left w:w="90" w:type="dxa"/>
              <w:bottom w:w="90" w:type="dxa"/>
              <w:right w:w="90" w:type="dxa"/>
            </w:tcMar>
            <w:shd w:fill="FFFFFF"/>
          </w:tcPr>
          <w:p>
            <w:pPr>
              <w:spacing w:after="40" w:before="40" w:line="264" w:lineRule="auto"/>
            </w:pPr>
            <w:r>
              <w:rPr>
                <w:sz w:val="18"/>
              </w:rPr>
              <w:t>50只试采集，大部分关键资料可下载并定位原文</w:t>
            </w:r>
          </w:p>
        </w:tc>
        <w:tc>
          <w:tcPr>
            <w:tcW w:type="dxa" w:w="3855"/>
            <w:vAlign w:val="center"/>
            <w:tcMar>
              <w:top w:w="90" w:type="dxa"/>
              <w:left w:w="90" w:type="dxa"/>
              <w:bottom w:w="90" w:type="dxa"/>
              <w:right w:w="90" w:type="dxa"/>
            </w:tcMar>
            <w:shd w:fill="FFFFFF"/>
          </w:tcPr>
          <w:p>
            <w:pPr>
              <w:spacing w:after="40" w:before="40" w:line="264" w:lineRule="auto"/>
            </w:pPr>
            <w:r>
              <w:rPr>
                <w:sz w:val="18"/>
              </w:rPr>
              <w:t>收窄基金范围，改为固定公开资料集</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标签可定义</w:t>
            </w:r>
          </w:p>
        </w:tc>
        <w:tc>
          <w:tcPr>
            <w:tcW w:type="dxa" w:w="3566"/>
            <w:vAlign w:val="center"/>
            <w:tcMar>
              <w:top w:w="90" w:type="dxa"/>
              <w:left w:w="90" w:type="dxa"/>
              <w:bottom w:w="90" w:type="dxa"/>
              <w:right w:w="90" w:type="dxa"/>
            </w:tcMar>
            <w:shd w:fill="F7F8FA"/>
          </w:tcPr>
          <w:p>
            <w:pPr>
              <w:spacing w:after="40" w:before="40" w:line="264" w:lineRule="auto"/>
            </w:pPr>
            <w:r>
              <w:rPr>
                <w:sz w:val="18"/>
              </w:rPr>
              <w:t>双标后加权κ争取≥0.60，并分析分歧</w:t>
            </w:r>
          </w:p>
        </w:tc>
        <w:tc>
          <w:tcPr>
            <w:tcW w:type="dxa" w:w="3855"/>
            <w:vAlign w:val="center"/>
            <w:tcMar>
              <w:top w:w="90" w:type="dxa"/>
              <w:left w:w="90" w:type="dxa"/>
              <w:bottom w:w="90" w:type="dxa"/>
              <w:right w:w="90" w:type="dxa"/>
            </w:tcMar>
            <w:shd w:fill="F7F8FA"/>
          </w:tcPr>
          <w:p>
            <w:pPr>
              <w:spacing w:after="40" w:before="40" w:line="264" w:lineRule="auto"/>
            </w:pPr>
            <w:r>
              <w:rPr>
                <w:sz w:val="18"/>
              </w:rPr>
              <w:t>修订指南与相关性定义，不直接扩大标注</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方法价值</w:t>
            </w:r>
          </w:p>
        </w:tc>
        <w:tc>
          <w:tcPr>
            <w:tcW w:type="dxa" w:w="3566"/>
            <w:vAlign w:val="center"/>
            <w:tcMar>
              <w:top w:w="90" w:type="dxa"/>
              <w:left w:w="90" w:type="dxa"/>
              <w:bottom w:w="90" w:type="dxa"/>
              <w:right w:w="90" w:type="dxa"/>
            </w:tcMar>
            <w:shd w:fill="FFFFFF"/>
          </w:tcPr>
          <w:p>
            <w:pPr>
              <w:spacing w:after="40" w:before="40" w:line="264" w:lineRule="auto"/>
            </w:pPr>
            <w:r>
              <w:rPr>
                <w:sz w:val="18"/>
              </w:rPr>
              <w:t>预实验有具体错误类型可改善，最强基线未解决全部问题</w:t>
            </w:r>
          </w:p>
        </w:tc>
        <w:tc>
          <w:tcPr>
            <w:tcW w:type="dxa" w:w="3855"/>
            <w:vAlign w:val="center"/>
            <w:tcMar>
              <w:top w:w="90" w:type="dxa"/>
              <w:left w:w="90" w:type="dxa"/>
              <w:bottom w:w="90" w:type="dxa"/>
              <w:right w:w="90" w:type="dxa"/>
            </w:tcMar>
            <w:shd w:fill="FFFFFF"/>
          </w:tcPr>
          <w:p>
            <w:pPr>
              <w:spacing w:after="40" w:before="40" w:line="264" w:lineRule="auto"/>
            </w:pPr>
            <w:r>
              <w:rPr>
                <w:sz w:val="18"/>
              </w:rPr>
              <w:t>改机制或转备选题，不包装微小均分差</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计算资源</w:t>
            </w:r>
          </w:p>
        </w:tc>
        <w:tc>
          <w:tcPr>
            <w:tcW w:type="dxa" w:w="3566"/>
            <w:vAlign w:val="center"/>
            <w:tcMar>
              <w:top w:w="90" w:type="dxa"/>
              <w:left w:w="90" w:type="dxa"/>
              <w:bottom w:w="90" w:type="dxa"/>
              <w:right w:w="90" w:type="dxa"/>
            </w:tcMar>
            <w:shd w:fill="F7F8FA"/>
          </w:tcPr>
          <w:p>
            <w:pPr>
              <w:spacing w:after="40" w:before="40" w:line="264" w:lineRule="auto"/>
            </w:pPr>
            <w:r>
              <w:rPr>
                <w:sz w:val="18"/>
              </w:rPr>
              <w:t>24GB下最小基线与一种适配能运行，费用可控</w:t>
            </w:r>
          </w:p>
        </w:tc>
        <w:tc>
          <w:tcPr>
            <w:tcW w:type="dxa" w:w="3855"/>
            <w:vAlign w:val="center"/>
            <w:tcMar>
              <w:top w:w="90" w:type="dxa"/>
              <w:left w:w="90" w:type="dxa"/>
              <w:bottom w:w="90" w:type="dxa"/>
              <w:right w:w="90" w:type="dxa"/>
            </w:tcMar>
            <w:shd w:fill="F7F8FA"/>
          </w:tcPr>
          <w:p>
            <w:pPr>
              <w:spacing w:after="40" w:before="40" w:line="264" w:lineRule="auto"/>
            </w:pPr>
            <w:r>
              <w:rPr>
                <w:sz w:val="18"/>
              </w:rPr>
              <w:t>冻结大模型，训练小模块或扩大显存</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创新近邻</w:t>
            </w:r>
          </w:p>
        </w:tc>
        <w:tc>
          <w:tcPr>
            <w:tcW w:type="dxa" w:w="3566"/>
            <w:vAlign w:val="center"/>
            <w:tcMar>
              <w:top w:w="90" w:type="dxa"/>
              <w:left w:w="90" w:type="dxa"/>
              <w:bottom w:w="90" w:type="dxa"/>
              <w:right w:w="90" w:type="dxa"/>
            </w:tcMar>
            <w:shd w:fill="FFFFFF"/>
          </w:tcPr>
          <w:p>
            <w:pPr>
              <w:spacing w:after="40" w:before="40" w:line="264" w:lineRule="auto"/>
            </w:pPr>
            <w:r>
              <w:rPr>
                <w:sz w:val="18"/>
              </w:rPr>
              <w:t>与Fund2Vec、Rank-R1、MERIT-Rank、ALCE、EvidentialRAG的差异可说明</w:t>
            </w:r>
          </w:p>
        </w:tc>
        <w:tc>
          <w:tcPr>
            <w:tcW w:type="dxa" w:w="3855"/>
            <w:vAlign w:val="center"/>
            <w:tcMar>
              <w:top w:w="90" w:type="dxa"/>
              <w:left w:w="90" w:type="dxa"/>
              <w:bottom w:w="90" w:type="dxa"/>
              <w:right w:w="90" w:type="dxa"/>
            </w:tcMar>
            <w:shd w:fill="FFFFFF"/>
          </w:tcPr>
          <w:p>
            <w:pPr>
              <w:spacing w:after="40" w:before="40" w:line="264" w:lineRule="auto"/>
            </w:pPr>
            <w:r>
              <w:rPr>
                <w:sz w:val="18"/>
              </w:rPr>
              <w:t>重做最近文献对比，避免笼统空白声明</w:t>
            </w:r>
          </w:p>
        </w:tc>
      </w:tr>
    </w:tbl>
    <w:p>
      <w:pPr>
        <w:spacing w:after="40" w:before="0" w:line="120" w:lineRule="auto"/>
      </w:pPr>
      <w:r>
        <w:rPr>
          <w:sz w:val="4"/>
        </w:rPr>
      </w:r>
    </w:p>
    <w:p>
      <w:r>
        <w:t>κ≥0.60是项目继续的参考门槛，不是学位或学术界统一合格标准。预实验不要求显著结果，更不能为了开题人为筛选赢的样本；其目的在于证明问题和标签有研究价值。</w:t>
      </w:r>
    </w:p>
    <w:p>
      <w:pPr>
        <w:pStyle w:val="Heading2"/>
      </w:pPr>
      <w:r>
        <w:t>7.2 2026年11月至2027年4月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7"/>
        <w:gridCol w:w="3566"/>
        <w:gridCol w:w="3855"/>
      </w:tblGrid>
      <w:tr>
        <w:trPr>
          <w:cantSplit/>
          <w:tblHeader/>
        </w:trPr>
        <w:tc>
          <w:tcPr>
            <w:tcW w:type="dxa" w:w="2217"/>
            <w:vAlign w:val="center"/>
            <w:tcMar>
              <w:top w:w="90" w:type="dxa"/>
              <w:left w:w="90" w:type="dxa"/>
              <w:bottom w:w="90" w:type="dxa"/>
              <w:right w:w="90" w:type="dxa"/>
            </w:tcMar>
            <w:shd w:fill="E8EDF2"/>
          </w:tcPr>
          <w:p>
            <w:pPr>
              <w:spacing w:after="40" w:before="40" w:line="264" w:lineRule="auto"/>
            </w:pPr>
            <w:r>
              <w:rPr>
                <w:b/>
                <w:sz w:val="18"/>
              </w:rPr>
              <w:t>时间</w:t>
            </w:r>
          </w:p>
        </w:tc>
        <w:tc>
          <w:tcPr>
            <w:tcW w:type="dxa" w:w="3566"/>
            <w:vAlign w:val="center"/>
            <w:tcMar>
              <w:top w:w="90" w:type="dxa"/>
              <w:left w:w="90" w:type="dxa"/>
              <w:bottom w:w="90" w:type="dxa"/>
              <w:right w:w="90" w:type="dxa"/>
            </w:tcMar>
            <w:shd w:fill="E8EDF2"/>
          </w:tcPr>
          <w:p>
            <w:pPr>
              <w:spacing w:after="40" w:before="40" w:line="264" w:lineRule="auto"/>
            </w:pPr>
            <w:r>
              <w:rPr>
                <w:b/>
                <w:sz w:val="18"/>
              </w:rPr>
              <w:t>主要任务</w:t>
            </w:r>
          </w:p>
        </w:tc>
        <w:tc>
          <w:tcPr>
            <w:tcW w:type="dxa" w:w="3855"/>
            <w:vAlign w:val="center"/>
            <w:tcMar>
              <w:top w:w="90" w:type="dxa"/>
              <w:left w:w="90" w:type="dxa"/>
              <w:bottom w:w="90" w:type="dxa"/>
              <w:right w:w="90" w:type="dxa"/>
            </w:tcMar>
            <w:shd w:fill="E8EDF2"/>
          </w:tcPr>
          <w:p>
            <w:pPr>
              <w:spacing w:after="40" w:before="40" w:line="264" w:lineRule="auto"/>
            </w:pPr>
            <w:r>
              <w:rPr>
                <w:b/>
                <w:sz w:val="18"/>
              </w:rPr>
              <w:t>可审阅产物</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2026年11月</w:t>
            </w:r>
          </w:p>
        </w:tc>
        <w:tc>
          <w:tcPr>
            <w:tcW w:type="dxa" w:w="3566"/>
            <w:vAlign w:val="center"/>
            <w:tcMar>
              <w:top w:w="90" w:type="dxa"/>
              <w:left w:w="90" w:type="dxa"/>
              <w:bottom w:w="90" w:type="dxa"/>
              <w:right w:w="90" w:type="dxa"/>
            </w:tcMar>
            <w:shd w:fill="FFFFFF"/>
          </w:tcPr>
          <w:p>
            <w:pPr>
              <w:spacing w:after="40" w:before="40" w:line="264" w:lineRule="auto"/>
            </w:pPr>
            <w:r>
              <w:rPr>
                <w:sz w:val="18"/>
              </w:rPr>
              <w:t>完成公开资料、数据清洗与主标注</w:t>
            </w:r>
          </w:p>
        </w:tc>
        <w:tc>
          <w:tcPr>
            <w:tcW w:type="dxa" w:w="3855"/>
            <w:vAlign w:val="center"/>
            <w:tcMar>
              <w:top w:w="90" w:type="dxa"/>
              <w:left w:w="90" w:type="dxa"/>
              <w:bottom w:w="90" w:type="dxa"/>
              <w:right w:w="90" w:type="dxa"/>
            </w:tcMar>
            <w:shd w:fill="FFFFFF"/>
          </w:tcPr>
          <w:p>
            <w:pPr>
              <w:spacing w:after="40" w:before="40" w:line="264" w:lineRule="auto"/>
            </w:pPr>
            <w:r>
              <w:rPr>
                <w:sz w:val="18"/>
              </w:rPr>
              <w:t>数据说明、标注指南、冻结切分</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2026年12月</w:t>
            </w:r>
          </w:p>
        </w:tc>
        <w:tc>
          <w:tcPr>
            <w:tcW w:type="dxa" w:w="3566"/>
            <w:vAlign w:val="center"/>
            <w:tcMar>
              <w:top w:w="90" w:type="dxa"/>
              <w:left w:w="90" w:type="dxa"/>
              <w:bottom w:w="90" w:type="dxa"/>
              <w:right w:w="90" w:type="dxa"/>
            </w:tcMar>
            <w:shd w:fill="F7F8FA"/>
          </w:tcPr>
          <w:p>
            <w:pPr>
              <w:spacing w:after="40" w:before="40" w:line="264" w:lineRule="auto"/>
            </w:pPr>
            <w:r>
              <w:rPr>
                <w:sz w:val="18"/>
              </w:rPr>
              <w:t>完成可复现强基线和第一项方法</w:t>
            </w:r>
          </w:p>
        </w:tc>
        <w:tc>
          <w:tcPr>
            <w:tcW w:type="dxa" w:w="3855"/>
            <w:vAlign w:val="center"/>
            <w:tcMar>
              <w:top w:w="90" w:type="dxa"/>
              <w:left w:w="90" w:type="dxa"/>
              <w:bottom w:w="90" w:type="dxa"/>
              <w:right w:w="90" w:type="dxa"/>
            </w:tcMar>
            <w:shd w:fill="F7F8FA"/>
          </w:tcPr>
          <w:p>
            <w:pPr>
              <w:spacing w:after="40" w:before="40" w:line="264" w:lineRule="auto"/>
            </w:pPr>
            <w:r>
              <w:rPr>
                <w:sz w:val="18"/>
              </w:rPr>
              <w:t>基线报告、方法设计与训练日志</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2027年1月</w:t>
            </w:r>
          </w:p>
        </w:tc>
        <w:tc>
          <w:tcPr>
            <w:tcW w:type="dxa" w:w="3566"/>
            <w:vAlign w:val="center"/>
            <w:tcMar>
              <w:top w:w="90" w:type="dxa"/>
              <w:left w:w="90" w:type="dxa"/>
              <w:bottom w:w="90" w:type="dxa"/>
              <w:right w:w="90" w:type="dxa"/>
            </w:tcMar>
            <w:shd w:fill="FFFFFF"/>
          </w:tcPr>
          <w:p>
            <w:pPr>
              <w:spacing w:after="40" w:before="40" w:line="264" w:lineRule="auto"/>
            </w:pPr>
            <w:r>
              <w:rPr>
                <w:sz w:val="18"/>
              </w:rPr>
              <w:t>完成第二项机制及关键消融</w:t>
            </w:r>
          </w:p>
        </w:tc>
        <w:tc>
          <w:tcPr>
            <w:tcW w:type="dxa" w:w="3855"/>
            <w:vAlign w:val="center"/>
            <w:tcMar>
              <w:top w:w="90" w:type="dxa"/>
              <w:left w:w="90" w:type="dxa"/>
              <w:bottom w:w="90" w:type="dxa"/>
              <w:right w:w="90" w:type="dxa"/>
            </w:tcMar>
            <w:shd w:fill="FFFFFF"/>
          </w:tcPr>
          <w:p>
            <w:pPr>
              <w:spacing w:after="40" w:before="40" w:line="264" w:lineRule="auto"/>
            </w:pPr>
            <w:r>
              <w:rPr>
                <w:sz w:val="18"/>
              </w:rPr>
              <w:t>主实验和机制证据</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2027年2月</w:t>
            </w:r>
          </w:p>
        </w:tc>
        <w:tc>
          <w:tcPr>
            <w:tcW w:type="dxa" w:w="3566"/>
            <w:vAlign w:val="center"/>
            <w:tcMar>
              <w:top w:w="90" w:type="dxa"/>
              <w:left w:w="90" w:type="dxa"/>
              <w:bottom w:w="90" w:type="dxa"/>
              <w:right w:w="90" w:type="dxa"/>
            </w:tcMar>
            <w:shd w:fill="F7F8FA"/>
          </w:tcPr>
          <w:p>
            <w:pPr>
              <w:spacing w:after="40" w:before="40" w:line="264" w:lineRule="auto"/>
            </w:pPr>
            <w:r>
              <w:rPr>
                <w:sz w:val="18"/>
              </w:rPr>
              <w:t>鲁棒、时间或跨来源测试，外部验证</w:t>
            </w:r>
          </w:p>
        </w:tc>
        <w:tc>
          <w:tcPr>
            <w:tcW w:type="dxa" w:w="3855"/>
            <w:vAlign w:val="center"/>
            <w:tcMar>
              <w:top w:w="90" w:type="dxa"/>
              <w:left w:w="90" w:type="dxa"/>
              <w:bottom w:w="90" w:type="dxa"/>
              <w:right w:w="90" w:type="dxa"/>
            </w:tcMar>
            <w:shd w:fill="F7F8FA"/>
          </w:tcPr>
          <w:p>
            <w:pPr>
              <w:spacing w:after="40" w:before="40" w:line="264" w:lineRule="auto"/>
            </w:pPr>
            <w:r>
              <w:rPr>
                <w:sz w:val="18"/>
              </w:rPr>
              <w:t>独立测试、误差分析、统计区间</w:t>
            </w:r>
          </w:p>
        </w:tc>
      </w:tr>
      <w:tr>
        <w:trPr>
          <w:cantSplit/>
        </w:trPr>
        <w:tc>
          <w:tcPr>
            <w:tcW w:type="dxa" w:w="2217"/>
            <w:vAlign w:val="center"/>
            <w:tcMar>
              <w:top w:w="90" w:type="dxa"/>
              <w:left w:w="90" w:type="dxa"/>
              <w:bottom w:w="90" w:type="dxa"/>
              <w:right w:w="90" w:type="dxa"/>
            </w:tcMar>
            <w:shd w:fill="FFFFFF"/>
          </w:tcPr>
          <w:p>
            <w:pPr>
              <w:spacing w:after="40" w:before="40" w:line="264" w:lineRule="auto"/>
            </w:pPr>
            <w:r>
              <w:rPr>
                <w:sz w:val="18"/>
              </w:rPr>
              <w:t>2027年3月</w:t>
            </w:r>
          </w:p>
        </w:tc>
        <w:tc>
          <w:tcPr>
            <w:tcW w:type="dxa" w:w="3566"/>
            <w:vAlign w:val="center"/>
            <w:tcMar>
              <w:top w:w="90" w:type="dxa"/>
              <w:left w:w="90" w:type="dxa"/>
              <w:bottom w:w="90" w:type="dxa"/>
              <w:right w:w="90" w:type="dxa"/>
            </w:tcMar>
            <w:shd w:fill="FFFFFF"/>
          </w:tcPr>
          <w:p>
            <w:pPr>
              <w:spacing w:after="40" w:before="40" w:line="264" w:lineRule="auto"/>
            </w:pPr>
            <w:r>
              <w:rPr>
                <w:sz w:val="18"/>
              </w:rPr>
              <w:t>完整论文初稿、系统验证及导师修改</w:t>
            </w:r>
          </w:p>
        </w:tc>
        <w:tc>
          <w:tcPr>
            <w:tcW w:type="dxa" w:w="3855"/>
            <w:vAlign w:val="center"/>
            <w:tcMar>
              <w:top w:w="90" w:type="dxa"/>
              <w:left w:w="90" w:type="dxa"/>
              <w:bottom w:w="90" w:type="dxa"/>
              <w:right w:w="90" w:type="dxa"/>
            </w:tcMar>
            <w:shd w:fill="FFFFFF"/>
          </w:tcPr>
          <w:p>
            <w:pPr>
              <w:spacing w:after="40" w:before="40" w:line="264" w:lineRule="auto"/>
            </w:pPr>
            <w:r>
              <w:rPr>
                <w:sz w:val="18"/>
              </w:rPr>
              <w:t>初稿、实验表、复现说明</w:t>
            </w:r>
          </w:p>
        </w:tc>
      </w:tr>
      <w:tr>
        <w:trPr>
          <w:cantSplit/>
        </w:trPr>
        <w:tc>
          <w:tcPr>
            <w:tcW w:type="dxa" w:w="2217"/>
            <w:vAlign w:val="center"/>
            <w:tcMar>
              <w:top w:w="90" w:type="dxa"/>
              <w:left w:w="90" w:type="dxa"/>
              <w:bottom w:w="90" w:type="dxa"/>
              <w:right w:w="90" w:type="dxa"/>
            </w:tcMar>
            <w:shd w:fill="F7F8FA"/>
          </w:tcPr>
          <w:p>
            <w:pPr>
              <w:spacing w:after="40" w:before="40" w:line="264" w:lineRule="auto"/>
            </w:pPr>
            <w:r>
              <w:rPr>
                <w:sz w:val="18"/>
              </w:rPr>
              <w:t>2027年4月</w:t>
            </w:r>
          </w:p>
        </w:tc>
        <w:tc>
          <w:tcPr>
            <w:tcW w:type="dxa" w:w="3566"/>
            <w:vAlign w:val="center"/>
            <w:tcMar>
              <w:top w:w="90" w:type="dxa"/>
              <w:left w:w="90" w:type="dxa"/>
              <w:bottom w:w="90" w:type="dxa"/>
              <w:right w:w="90" w:type="dxa"/>
            </w:tcMar>
            <w:shd w:fill="F7F8FA"/>
          </w:tcPr>
          <w:p>
            <w:pPr>
              <w:spacing w:after="40" w:before="40" w:line="264" w:lineRule="auto"/>
            </w:pPr>
            <w:r>
              <w:rPr>
                <w:sz w:val="18"/>
              </w:rPr>
              <w:t>补必要实验、统一图表与引文、答辩准备</w:t>
            </w:r>
          </w:p>
        </w:tc>
        <w:tc>
          <w:tcPr>
            <w:tcW w:type="dxa" w:w="3855"/>
            <w:vAlign w:val="center"/>
            <w:tcMar>
              <w:top w:w="90" w:type="dxa"/>
              <w:left w:w="90" w:type="dxa"/>
              <w:bottom w:w="90" w:type="dxa"/>
              <w:right w:w="90" w:type="dxa"/>
            </w:tcMar>
            <w:shd w:fill="F7F8FA"/>
          </w:tcPr>
          <w:p>
            <w:pPr>
              <w:spacing w:after="40" w:before="40" w:line="264" w:lineRule="auto"/>
            </w:pPr>
            <w:r>
              <w:rPr>
                <w:sz w:val="18"/>
              </w:rPr>
              <w:t>定稿与答辩材料</w:t>
            </w:r>
          </w:p>
        </w:tc>
      </w:tr>
    </w:tbl>
    <w:p>
      <w:pPr>
        <w:spacing w:after="40" w:before="0" w:line="120" w:lineRule="auto"/>
      </w:pPr>
      <w:r>
        <w:rPr>
          <w:sz w:val="4"/>
        </w:rPr>
      </w:r>
    </w:p>
    <w:p>
      <w:r>
        <w:t>若学校提交时间更早，应优先缩减辅助任务、大模型对比和外部数据扩展的数量，保留主金标、关键基线及核心消融。每个题目的最低完整论文都需要一个明确可验证的方法贡献、一套独立评价和足够的误差分析；仅展示系统界面不能替代算法实验。</w:t>
      </w:r>
    </w:p>
    <w:p>
      <w:pPr>
        <w:pStyle w:val="Heading1"/>
      </w:pPr>
      <w:r>
        <w:t>八 导师讨论建议</w:t>
      </w:r>
    </w:p>
    <w:p>
      <w:r>
        <w:t>建议首先确认三个问题：是否认可将实习问题转化为公开基金信息检索任务；学院对专业硕士论文的方法创新和系统实现分别有何要求；是否能够安排一位有金融背景的共同标注或审核者。后者直接影响主评价可靠性，应在确定题目前落实。</w:t>
      </w:r>
    </w:p>
    <w:p>
      <w:r>
        <w:t>推荐题目二的原因是任务可被清楚隔离、数据范围可收缩、消融能够直接验证研究机制。题目一更体现基金金融结构，但持仓覆盖和关系金标是主要风险。题目三有可信生成价值，但与近期RAG工作重叠多、评价重，应在自然时间变化及关系错误样本足够时选择。</w:t>
      </w:r>
    </w:p>
    <w:p>
      <w:r>
        <w:t>开题报告中的贡献建议写成“拟提出”“拟验证”，最终论文再根据真实实验收敛。如果需要更窄的正式标题，题目二可收窄为“面向公募基金主题搜索的关系证据约束重排序方法研究”；题目一可收窄为“部分持仓披露条件下的权益基金相关性学习方法研究”。标题中的每一个限定都应对应实际数据和实验。</w:t>
      </w:r>
    </w:p>
    <w:p>
      <w:pPr>
        <w:pStyle w:val="Heading1"/>
      </w:pPr>
      <w:r>
        <w:t>九 参考文献与公开资源</w:t>
      </w:r>
    </w:p>
    <w:p>
      <w:r>
        <w:t>下列文献区分中文论文、英文研究及数据资源；英文写作的中国金融任务论文仍列为英文研究。所有网络资源访问日期为2026年10月6日。预印本单独标识，引用时以官方期刊、会议及作者发布信息为准。</w:t>
      </w:r>
    </w:p>
    <w:p>
      <w:pPr>
        <w:spacing w:after="120"/>
      </w:pPr>
      <w:r>
        <w:rPr>
          <w:sz w:val="18"/>
        </w:rPr>
        <w:t xml:space="preserve">[1] SATONE V, DESAI D, MEHTA D. Fund2Vec Mutual Funds Similarity using Graph Learning. arXiv preprint, 2021, arXiv:2106.12987. </w:t>
      </w:r>
      <w:hyperlink r:id="rId10">
        <w:r>
          <w:rPr>
            <w:color w:val="174A73"/>
          </w:rPr>
          <w:t>https://arxiv.org/abs/2106.12987</w:t>
        </w:r>
      </w:hyperlink>
      <w:r>
        <w:rPr>
          <w:sz w:val="18"/>
        </w:rPr>
      </w:r>
    </w:p>
    <w:p>
      <w:pPr>
        <w:spacing w:after="120"/>
      </w:pPr>
      <w:r>
        <w:rPr>
          <w:sz w:val="18"/>
        </w:rPr>
        <w:t xml:space="preserve">[2] REIMERS N, GUREVYCH I. Sentence-BERT Sentence Embeddings using Siamese BERT-Networks. EMNLP-IJCNLP, 2019. </w:t>
      </w:r>
      <w:hyperlink r:id="rId11">
        <w:r>
          <w:rPr>
            <w:color w:val="174A73"/>
          </w:rPr>
          <w:t>https://aclanthology.org/D19-1410/</w:t>
        </w:r>
      </w:hyperlink>
      <w:r>
        <w:rPr>
          <w:sz w:val="18"/>
        </w:rPr>
      </w:r>
    </w:p>
    <w:p>
      <w:pPr>
        <w:spacing w:after="120"/>
      </w:pPr>
      <w:r>
        <w:rPr>
          <w:sz w:val="18"/>
        </w:rPr>
        <w:t xml:space="preserve">[3] XIAO S, LIU Z, ZHANG P, et al. C-Pack Packed Resources For General Chinese Embeddings. SIGIR, 2024; arXiv:2309.07597. </w:t>
      </w:r>
      <w:hyperlink r:id="rId12">
        <w:r>
          <w:rPr>
            <w:color w:val="174A73"/>
          </w:rPr>
          <w:t>https://arxiv.org/abs/2309.07597</w:t>
        </w:r>
      </w:hyperlink>
      <w:r>
        <w:rPr>
          <w:sz w:val="18"/>
        </w:rPr>
      </w:r>
    </w:p>
    <w:p>
      <w:pPr>
        <w:spacing w:after="120"/>
      </w:pPr>
      <w:r>
        <w:rPr>
          <w:sz w:val="18"/>
        </w:rPr>
        <w:t xml:space="preserve">[4] CHEN J, XIAO S, ZHANG P, et al. BGE M3-Embedding Multi-Lingual Multi-Functionality Multi-Granularity Text Embeddings Through Self-Knowledge Distillation. arXiv preprint, 2024, arXiv:2402.03216. </w:t>
      </w:r>
      <w:hyperlink r:id="rId13">
        <w:r>
          <w:rPr>
            <w:color w:val="174A73"/>
          </w:rPr>
          <w:t>https://arxiv.org/abs/2402.03216</w:t>
        </w:r>
      </w:hyperlink>
      <w:r>
        <w:rPr>
          <w:sz w:val="18"/>
        </w:rPr>
      </w:r>
    </w:p>
    <w:p>
      <w:pPr>
        <w:spacing w:after="120"/>
      </w:pPr>
      <w:r>
        <w:rPr>
          <w:sz w:val="18"/>
        </w:rPr>
        <w:t xml:space="preserve">[5] ZHANG Y, LI M, LONG D, et al. Qwen3 Embedding Advancing Text Embedding and Reranking Through Foundation Models. arXiv preprint, 2025, arXiv:2506.05176. </w:t>
      </w:r>
      <w:hyperlink r:id="rId14">
        <w:r>
          <w:rPr>
            <w:color w:val="174A73"/>
          </w:rPr>
          <w:t>https://arxiv.org/abs/2506.05176</w:t>
        </w:r>
      </w:hyperlink>
      <w:r>
        <w:rPr>
          <w:sz w:val="18"/>
        </w:rPr>
      </w:r>
    </w:p>
    <w:p>
      <w:pPr>
        <w:spacing w:after="120"/>
      </w:pPr>
      <w:r>
        <w:rPr>
          <w:sz w:val="18"/>
        </w:rPr>
        <w:t xml:space="preserve">[6] 刘晓琳, 白亮, 赵兴旺, 梁吉业. 基于多阶近邻融合的不完整多视图聚类算法. 软件学报, 2022, 33(4):1354-1372. DOI:10.13328/j.cnki.jos.006471. </w:t>
      </w:r>
      <w:hyperlink r:id="rId15">
        <w:r>
          <w:rPr>
            <w:color w:val="174A73"/>
          </w:rPr>
          <w:t>https://www.jos.org.cn/jos/article/abstract/6471</w:t>
        </w:r>
      </w:hyperlink>
      <w:r>
        <w:rPr>
          <w:sz w:val="18"/>
        </w:rPr>
      </w:r>
    </w:p>
    <w:p>
      <w:pPr>
        <w:spacing w:after="120"/>
      </w:pPr>
      <w:r>
        <w:rPr>
          <w:sz w:val="18"/>
        </w:rPr>
        <w:t xml:space="preserve">[7] 饶子昀, 张毅, 刘俊涛, 曹万华. 应用知识图谱的推荐方法与系统. 自动化学报, 2021, 47(9):2061-2077. DOI:10.16383/j.aas.c200128. </w:t>
      </w:r>
      <w:hyperlink r:id="rId16">
        <w:r>
          <w:rPr>
            <w:color w:val="174A73"/>
          </w:rPr>
          <w:t>https://www.aas.net.cn/cn/article/doi/10.16383/j.aas.c200128</w:t>
        </w:r>
      </w:hyperlink>
      <w:r>
        <w:rPr>
          <w:sz w:val="18"/>
        </w:rPr>
      </w:r>
    </w:p>
    <w:p>
      <w:pPr>
        <w:spacing w:after="120"/>
      </w:pPr>
      <w:r>
        <w:rPr>
          <w:sz w:val="18"/>
        </w:rPr>
        <w:t xml:space="preserve">[8] WANG X, HE X, CAO Y, et al. KGAT Knowledge Graph Attention Network for Recommendation. KDD, 2019. </w:t>
      </w:r>
      <w:hyperlink r:id="rId17">
        <w:r>
          <w:rPr>
            <w:color w:val="174A73"/>
          </w:rPr>
          <w:t>https://arxiv.org/abs/1905.07854</w:t>
        </w:r>
      </w:hyperlink>
      <w:r>
        <w:rPr>
          <w:sz w:val="18"/>
        </w:rPr>
      </w:r>
    </w:p>
    <w:p>
      <w:pPr>
        <w:spacing w:after="120"/>
      </w:pPr>
      <w:r>
        <w:rPr>
          <w:sz w:val="18"/>
        </w:rPr>
        <w:t xml:space="preserve">[9] SUN W, YAN L, MA X, et al. Is ChatGPT Good at Search Investigating Large Language Models as Re-Ranking Agents. EMNLP, 2023:14918-14937. </w:t>
      </w:r>
      <w:hyperlink r:id="rId18">
        <w:r>
          <w:rPr>
            <w:color w:val="174A73"/>
          </w:rPr>
          <w:t>https://aclanthology.org/2023.emnlp-main.923/</w:t>
        </w:r>
      </w:hyperlink>
      <w:r>
        <w:rPr>
          <w:sz w:val="18"/>
        </w:rPr>
      </w:r>
    </w:p>
    <w:p>
      <w:pPr>
        <w:spacing w:after="120"/>
      </w:pPr>
      <w:r>
        <w:rPr>
          <w:sz w:val="18"/>
        </w:rPr>
        <w:t xml:space="preserve">[10] QIN Z, JAGERMAN R, HUI K, et al. Large Language Models are Effective Text Rankers with Pairwise Ranking Prompting. Findings of NAACL, 2024:1504-1518. </w:t>
      </w:r>
      <w:hyperlink r:id="rId19">
        <w:r>
          <w:rPr>
            <w:color w:val="174A73"/>
          </w:rPr>
          <w:t>https://aclanthology.org/2024.findings-naacl.97/</w:t>
        </w:r>
      </w:hyperlink>
      <w:r>
        <w:rPr>
          <w:sz w:val="18"/>
        </w:rPr>
      </w:r>
    </w:p>
    <w:p>
      <w:pPr>
        <w:spacing w:after="120"/>
      </w:pPr>
      <w:r>
        <w:rPr>
          <w:sz w:val="18"/>
        </w:rPr>
        <w:t xml:space="preserve">[11] ZHUANG S, MA X, KOOPMAN B, et al. Rank-R1 Enhancing Reasoning in LLM-based Document Rerankers via Reinforcement Learning. arXiv preprint, 2025, arXiv:2503.06034. </w:t>
      </w:r>
      <w:hyperlink r:id="rId20">
        <w:r>
          <w:rPr>
            <w:color w:val="174A73"/>
          </w:rPr>
          <w:t>https://arxiv.org/abs/2503.06034</w:t>
        </w:r>
      </w:hyperlink>
      <w:r>
        <w:rPr>
          <w:sz w:val="18"/>
        </w:rPr>
      </w:r>
    </w:p>
    <w:p>
      <w:pPr>
        <w:spacing w:after="120"/>
      </w:pPr>
      <w:r>
        <w:rPr>
          <w:sz w:val="18"/>
        </w:rPr>
        <w:t xml:space="preserve">[12] LIU L, CHEN Z, LI W, et al. Think Thrice Before Reranking Multi-perspective Evidence and Reasoning Integration for Text Reranking. arXiv preprint, 2026, arXiv:2609.20131. </w:t>
      </w:r>
      <w:hyperlink r:id="rId21">
        <w:r>
          <w:rPr>
            <w:color w:val="174A73"/>
          </w:rPr>
          <w:t>https://arxiv.org/abs/2609.20131</w:t>
        </w:r>
      </w:hyperlink>
      <w:r>
        <w:rPr>
          <w:sz w:val="18"/>
        </w:rPr>
      </w:r>
    </w:p>
    <w:p>
      <w:pPr>
        <w:spacing w:after="120"/>
      </w:pPr>
      <w:r>
        <w:rPr>
          <w:sz w:val="18"/>
        </w:rPr>
        <w:t xml:space="preserve">[13] ZHU J, LI J, WEN Y, GUO L. Benchmarking Large Language Models on CFLUE A Chinese Financial Language Understanding Evaluation Dataset. Findings of ACL, 2024. </w:t>
      </w:r>
      <w:hyperlink r:id="rId22">
        <w:r>
          <w:rPr>
            <w:color w:val="174A73"/>
          </w:rPr>
          <w:t>https://aclanthology.org/2024.findings-acl.337/</w:t>
        </w:r>
      </w:hyperlink>
      <w:r>
        <w:rPr>
          <w:sz w:val="18"/>
        </w:rPr>
        <w:t xml:space="preserve"> 作者资源 </w:t>
      </w:r>
      <w:hyperlink r:id="rId23">
        <w:r>
          <w:rPr>
            <w:color w:val="174A73"/>
          </w:rPr>
          <w:t>https://github.com/aliyun/cflue</w:t>
        </w:r>
      </w:hyperlink>
      <w:r>
        <w:rPr>
          <w:sz w:val="18"/>
        </w:rPr>
      </w:r>
    </w:p>
    <w:p>
      <w:pPr>
        <w:spacing w:after="120"/>
      </w:pPr>
      <w:r>
        <w:rPr>
          <w:sz w:val="18"/>
        </w:rPr>
        <w:t xml:space="preserve">[14] 刘澳迪, 奚雪峰, 周国栋. 面向大语言模型生成能力提升的检索增强生成研究进展. 软件学报, 2026, 网络优先出版:1-30. DOI:10.13328/j.cnki.jos.007684. </w:t>
      </w:r>
      <w:hyperlink r:id="rId24">
        <w:r>
          <w:rPr>
            <w:color w:val="174A73"/>
          </w:rPr>
          <w:t>https://www.jos.org.cn/jos/article/abstract/7684</w:t>
        </w:r>
      </w:hyperlink>
      <w:r>
        <w:rPr>
          <w:sz w:val="18"/>
        </w:rPr>
      </w:r>
    </w:p>
    <w:p>
      <w:pPr>
        <w:spacing w:after="120"/>
      </w:pPr>
      <w:r>
        <w:rPr>
          <w:sz w:val="18"/>
        </w:rPr>
        <w:t xml:space="preserve">[15] SALEMI A, ZAMANI H. Evaluating Retrieval Quality in Retrieval-Augmented Generation. SIGIR, 2024. </w:t>
      </w:r>
      <w:hyperlink r:id="rId25">
        <w:r>
          <w:rPr>
            <w:color w:val="174A73"/>
          </w:rPr>
          <w:t>https://arxiv.org/abs/2404.13781</w:t>
        </w:r>
      </w:hyperlink>
      <w:r>
        <w:rPr>
          <w:sz w:val="18"/>
        </w:rPr>
      </w:r>
    </w:p>
    <w:p>
      <w:pPr>
        <w:spacing w:after="120"/>
      </w:pPr>
      <w:r>
        <w:rPr>
          <w:sz w:val="18"/>
        </w:rPr>
        <w:t xml:space="preserve">[16] GAO T, YEN H, YU J, CHEN D. Enabling Large Language Models to Generate Text with Citations. EMNLP, 2023:6465-6488. </w:t>
      </w:r>
      <w:hyperlink r:id="rId26">
        <w:r>
          <w:rPr>
            <w:color w:val="174A73"/>
          </w:rPr>
          <w:t>https://aclanthology.org/2023.emnlp-main.398/</w:t>
        </w:r>
      </w:hyperlink>
      <w:r>
        <w:rPr>
          <w:sz w:val="18"/>
        </w:rPr>
      </w:r>
    </w:p>
    <w:p>
      <w:pPr>
        <w:spacing w:after="120"/>
      </w:pPr>
      <w:r>
        <w:rPr>
          <w:sz w:val="18"/>
        </w:rPr>
        <w:t xml:space="preserve">[17] MIN S, KRISHNA K, LYU X, et al. FActScore Fine-grained Atomic Evaluation of Factual Precision in Long Form Text Generation. EMNLP, 2023:12076-12100. </w:t>
      </w:r>
      <w:hyperlink r:id="rId27">
        <w:r>
          <w:rPr>
            <w:color w:val="174A73"/>
          </w:rPr>
          <w:t>https://aclanthology.org/2023.emnlp-main.741/</w:t>
        </w:r>
      </w:hyperlink>
      <w:r>
        <w:rPr>
          <w:sz w:val="18"/>
        </w:rPr>
      </w:r>
    </w:p>
    <w:p>
      <w:pPr>
        <w:spacing w:after="120"/>
      </w:pPr>
      <w:r>
        <w:rPr>
          <w:sz w:val="18"/>
        </w:rPr>
        <w:t xml:space="preserve">[18] 刘泽垣, 王鹏江, 宋晓斌, 张欣, 江奔奔. 大语言模型的幻觉问题研究综述. 软件学报, 2025, 36(3):1152-1185. DOI:10.13328/j.cnki.jos.007242. </w:t>
      </w:r>
      <w:hyperlink r:id="rId28">
        <w:r>
          <w:rPr>
            <w:color w:val="174A73"/>
          </w:rPr>
          <w:t>https://www.jos.org.cn/jos/article/abstract/7242</w:t>
        </w:r>
      </w:hyperlink>
      <w:r>
        <w:rPr>
          <w:sz w:val="18"/>
        </w:rPr>
      </w:r>
    </w:p>
    <w:p>
      <w:pPr>
        <w:spacing w:after="120"/>
      </w:pPr>
      <w:r>
        <w:rPr>
          <w:sz w:val="18"/>
        </w:rPr>
        <w:t xml:space="preserve">[19] HOSSAIN S M A, SHAYONI R K, MRIDHA M F. EvidentialRAG Quantifying and Mitigating Information Conflict in Multi-Source Retrieval-Augmented Generation via Evidential Deep Learning. arXiv preprint, 2026, arXiv:2607.10491. </w:t>
      </w:r>
      <w:hyperlink r:id="rId29">
        <w:r>
          <w:rPr>
            <w:color w:val="174A73"/>
          </w:rPr>
          <w:t>https://arxiv.org/abs/2607.10491</w:t>
        </w:r>
      </w:hyperlink>
      <w:r>
        <w:rPr>
          <w:sz w:val="18"/>
        </w:rPr>
      </w:r>
    </w:p>
    <w:p>
      <w:pPr>
        <w:spacing w:after="120"/>
      </w:pPr>
      <w:r>
        <w:rPr>
          <w:sz w:val="18"/>
        </w:rPr>
        <w:t xml:space="preserve">[20] ASAI A, WU Z, WANG Y, et al. Self-RAG Learning to Retrieve Generate and Critique through Self-Reflection. ICLR, 2024. </w:t>
      </w:r>
      <w:hyperlink r:id="rId30">
        <w:r>
          <w:rPr>
            <w:color w:val="174A73"/>
          </w:rPr>
          <w:t>https://arxiv.org/abs/2310.11511</w:t>
        </w:r>
      </w:hyperlink>
      <w:r>
        <w:rPr>
          <w:sz w:val="18"/>
        </w:rPr>
      </w:r>
    </w:p>
    <w:p>
      <w:pPr>
        <w:spacing w:after="120"/>
      </w:pPr>
      <w:r>
        <w:rPr>
          <w:sz w:val="18"/>
        </w:rPr>
        <w:t xml:space="preserve">[21] SU H, YEN H, XIA M, et al. BRIGHT A Realistic and Challenging Benchmark for Reasoning-Intensive Retrieval. arXiv:2407.12883, 2024; ICLR, 2025. </w:t>
      </w:r>
      <w:hyperlink r:id="rId31">
        <w:r>
          <w:rPr>
            <w:color w:val="174A73"/>
          </w:rPr>
          <w:t>https://arxiv.org/abs/2407.12883</w:t>
        </w:r>
      </w:hyperlink>
      <w:r>
        <w:rPr>
          <w:sz w:val="18"/>
        </w:rPr>
      </w:r>
    </w:p>
    <w:p>
      <w:pPr>
        <w:spacing w:after="120"/>
      </w:pPr>
      <w:r>
        <w:rPr>
          <w:sz w:val="18"/>
        </w:rPr>
        <w:t xml:space="preserve">[22] AKShare项目. 公募基金数据接口文档. 在线资源. </w:t>
      </w:r>
      <w:hyperlink r:id="rId32">
        <w:r>
          <w:rPr>
            <w:color w:val="174A73"/>
          </w:rPr>
          <w:t>https://github.com/akfamily/akshare/blob/main/docs/data/fund/fund_public.md</w:t>
        </w:r>
      </w:hyperlink>
      <w:r>
        <w:rPr>
          <w:sz w:val="18"/>
        </w:rPr>
      </w:r>
    </w:p>
    <w:p>
      <w:pPr>
        <w:spacing w:after="120"/>
      </w:pPr>
      <w:r>
        <w:rPr>
          <w:sz w:val="18"/>
        </w:rPr>
        <w:t xml:space="preserve">[23] ISLAM P, KANNAPPAN A, KIELA D, et al. FinanceBench A New Benchmark for Financial Question Answering. arXiv preprint, 2023, arXiv:2311.11944. </w:t>
      </w:r>
      <w:hyperlink r:id="rId33">
        <w:r>
          <w:rPr>
            <w:color w:val="174A73"/>
          </w:rPr>
          <w:t>https://arxiv.org/abs/2311.11944</w:t>
        </w:r>
      </w:hyperlink>
      <w:r>
        <w:rPr>
          <w:sz w:val="18"/>
        </w:rPr>
        <w:t xml:space="preserve"> 公开样本 </w:t>
      </w:r>
      <w:hyperlink r:id="rId34">
        <w:r>
          <w:rPr>
            <w:color w:val="174A73"/>
          </w:rPr>
          <w:t>https://github.com/patronus-ai/financebench</w:t>
        </w:r>
      </w:hyperlink>
      <w:r>
        <w:rPr>
          <w:sz w:val="18"/>
        </w:rPr>
      </w:r>
    </w:p>
    <w:p>
      <w:pPr>
        <w:spacing w:after="120"/>
      </w:pPr>
      <w:r>
        <w:rPr>
          <w:sz w:val="18"/>
        </w:rPr>
        <w:t xml:space="preserve">[24] GUO C, PLEISS G, SUN Y, WEINBERGER K Q. On Calibration of Modern Neural Networks. ICML, 2017, PMLR 70:1321-1330. </w:t>
      </w:r>
      <w:hyperlink r:id="rId35">
        <w:r>
          <w:rPr>
            <w:color w:val="174A73"/>
          </w:rPr>
          <w:t>https://proceedings.mlr.press/v70/guo17a.html</w:t>
        </w:r>
      </w:hyperlink>
      <w:r>
        <w:rPr>
          <w:sz w:val="18"/>
        </w:rPr>
      </w:r>
    </w:p>
    <w:p>
      <w:pPr>
        <w:spacing w:after="120"/>
      </w:pPr>
      <w:r>
        <w:rPr>
          <w:sz w:val="18"/>
        </w:rPr>
        <w:t xml:space="preserve">[25] YAN S Q, GU J C, ZHU Y, LING Z H. Corrective Retrieval Augmented Generation. arXiv preprint, 2024, arXiv:2401.15884. </w:t>
      </w:r>
      <w:hyperlink r:id="rId36">
        <w:r>
          <w:rPr>
            <w:color w:val="174A73"/>
          </w:rPr>
          <w:t>https://arxiv.org/abs/2401.15884</w:t>
        </w:r>
      </w:hyperlink>
      <w:r>
        <w:rPr>
          <w:sz w:val="18"/>
        </w:rPr>
      </w:r>
    </w:p>
    <w:p>
      <w:pPr>
        <w:spacing w:after="120"/>
      </w:pPr>
      <w:r>
        <w:rPr>
          <w:sz w:val="18"/>
        </w:rPr>
        <w:t xml:space="preserve">[26] CHEN Z, CHEN W, SMILEY C, et al. FinQA A Dataset of Numerical Reasoning over Financial Data. EMNLP, 2021:3697-3711. </w:t>
      </w:r>
      <w:hyperlink r:id="rId37">
        <w:r>
          <w:rPr>
            <w:color w:val="174A73"/>
          </w:rPr>
          <w:t>https://aclanthology.org/2021.emnlp-main.300/</w:t>
        </w:r>
      </w:hyperlink>
      <w:r>
        <w:rPr>
          <w:sz w:val="18"/>
        </w:rPr>
        <w:t xml:space="preserve"> 数据及代码 </w:t>
      </w:r>
      <w:hyperlink r:id="rId38">
        <w:r>
          <w:rPr>
            <w:color w:val="174A73"/>
          </w:rPr>
          <w:t>https://github.com/czyssrs/FinQA</w:t>
        </w:r>
      </w:hyperlink>
      <w:r>
        <w:rPr>
          <w:sz w:val="18"/>
        </w:rPr>
      </w:r>
    </w:p>
    <w:p>
      <w:pPr>
        <w:spacing w:after="120"/>
      </w:pPr>
      <w:r>
        <w:rPr>
          <w:sz w:val="18"/>
        </w:rPr>
        <w:t xml:space="preserve">[27] KIM E Y, HUANG J. FinRetrieval A Benchmark for Financial Data Retrieval by AI Agents. arXiv preprint, 2026, arXiv:2603.04403. </w:t>
      </w:r>
      <w:hyperlink r:id="rId39">
        <w:r>
          <w:rPr>
            <w:color w:val="174A73"/>
          </w:rPr>
          <w:t>https://arxiv.org/abs/2603.04403</w:t>
        </w:r>
      </w:hyperlink>
      <w:r>
        <w:rPr>
          <w:sz w:val="18"/>
        </w:rPr>
        <w:t xml:space="preserve"> 数据 </w:t>
      </w:r>
      <w:hyperlink r:id="rId40">
        <w:r>
          <w:rPr>
            <w:color w:val="174A73"/>
          </w:rPr>
          <w:t>https://huggingface.co/datasets/daloopa/finretrieval</w:t>
        </w:r>
      </w:hyperlink>
      <w:r>
        <w:rPr>
          <w:sz w:val="18"/>
        </w:rPr>
      </w:r>
    </w:p>
    <w:p>
      <w:pPr>
        <w:spacing w:after="120"/>
      </w:pPr>
      <w:r>
        <w:rPr>
          <w:sz w:val="18"/>
        </w:rPr>
        <w:t xml:space="preserve">[28] RAFAILOV R, SHARMA A, MITCHELL E, et al. Direct Preference Optimization Your Language Model is Secretly a Reward Model. NeurIPS, 2023. </w:t>
      </w:r>
      <w:hyperlink r:id="rId41">
        <w:r>
          <w:rPr>
            <w:color w:val="174A73"/>
          </w:rPr>
          <w:t>https://arxiv.org/abs/2305.18290</w:t>
        </w:r>
      </w:hyperlink>
      <w:r>
        <w:rPr>
          <w:sz w:val="18"/>
        </w:rPr>
      </w:r>
    </w:p>
    <w:p>
      <w:pPr>
        <w:spacing w:after="120"/>
      </w:pPr>
      <w:r>
        <w:rPr>
          <w:sz w:val="18"/>
        </w:rPr>
        <w:t xml:space="preserve">[29] 华夏基金管理有限公司. 华夏中证半导体材料设备主题交易型开放式指数证券投资基金2026年第1季度报告. 2026-04-22. 上交所披露 </w:t>
      </w:r>
      <w:hyperlink r:id="rId42">
        <w:r>
          <w:rPr>
            <w:color w:val="174A73"/>
          </w:rPr>
          <w:t>https://www.sse.com.cn/disclosure/fund/announcement/c/new/2026-04-22/562590_20260422_R75K.pdf</w:t>
        </w:r>
      </w:hyperlink>
      <w:r>
        <w:rPr>
          <w:sz w:val="18"/>
        </w:rPr>
      </w:r>
    </w:p>
    <w:p>
      <w:pPr>
        <w:spacing w:after="120"/>
      </w:pPr>
      <w:r>
        <w:rPr>
          <w:sz w:val="18"/>
        </w:rPr>
        <w:t xml:space="preserve">[30] 嘉实基金管理有限公司. 嘉实中证全指集成电路交易型开放式指数证券投资基金更新招募说明书. 2026-01-23. 上交所披露 </w:t>
      </w:r>
      <w:hyperlink r:id="rId43">
        <w:r>
          <w:rPr>
            <w:color w:val="174A73"/>
          </w:rPr>
          <w:t>https://www.sse.com.cn/disclosure/fund/announcement/c/new/2026-01-23/562820_20260123_W2AC.pdf</w:t>
        </w:r>
      </w:hyperlink>
      <w:r>
        <w:rPr>
          <w:sz w:val="18"/>
        </w:rPr>
      </w:r>
    </w:p>
    <w:sectPr w:rsidR="00FC693F" w:rsidRPr="0006063C" w:rsidSect="00034616">
      <w:footerReference w:type="default" r:id="rId9"/>
      <w:pgSz w:w="11906" w:h="16838"/>
      <w:pgMar w:top="1134"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Calibri" w:hAnsi="Calibri"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Calibri" w:hAnsi="Calibri"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Calibri" w:hAnsi="Calibri"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Calibri" w:hAnsi="Calibri"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Calibri" w:hAnsi="Calibri" w:eastAsia="Songti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Songti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106.12987" TargetMode="External"/><Relationship Id="rId11" Type="http://schemas.openxmlformats.org/officeDocument/2006/relationships/hyperlink" Target="https://aclanthology.org/D19-1410/" TargetMode="External"/><Relationship Id="rId12" Type="http://schemas.openxmlformats.org/officeDocument/2006/relationships/hyperlink" Target="https://arxiv.org/abs/2309.07597" TargetMode="External"/><Relationship Id="rId13" Type="http://schemas.openxmlformats.org/officeDocument/2006/relationships/hyperlink" Target="https://arxiv.org/abs/2402.03216" TargetMode="External"/><Relationship Id="rId14" Type="http://schemas.openxmlformats.org/officeDocument/2006/relationships/hyperlink" Target="https://arxiv.org/abs/2506.05176" TargetMode="External"/><Relationship Id="rId15" Type="http://schemas.openxmlformats.org/officeDocument/2006/relationships/hyperlink" Target="https://www.jos.org.cn/jos/article/abstract/6471" TargetMode="External"/><Relationship Id="rId16" Type="http://schemas.openxmlformats.org/officeDocument/2006/relationships/hyperlink" Target="https://www.aas.net.cn/cn/article/doi/10.16383/j.aas.c200128" TargetMode="External"/><Relationship Id="rId17" Type="http://schemas.openxmlformats.org/officeDocument/2006/relationships/hyperlink" Target="https://arxiv.org/abs/1905.07854" TargetMode="External"/><Relationship Id="rId18" Type="http://schemas.openxmlformats.org/officeDocument/2006/relationships/hyperlink" Target="https://aclanthology.org/2023.emnlp-main.923/" TargetMode="External"/><Relationship Id="rId19" Type="http://schemas.openxmlformats.org/officeDocument/2006/relationships/hyperlink" Target="https://aclanthology.org/2024.findings-naacl.97/" TargetMode="External"/><Relationship Id="rId20" Type="http://schemas.openxmlformats.org/officeDocument/2006/relationships/hyperlink" Target="https://arxiv.org/abs/2503.06034" TargetMode="External"/><Relationship Id="rId21" Type="http://schemas.openxmlformats.org/officeDocument/2006/relationships/hyperlink" Target="https://arxiv.org/abs/2609.20131" TargetMode="External"/><Relationship Id="rId22" Type="http://schemas.openxmlformats.org/officeDocument/2006/relationships/hyperlink" Target="https://aclanthology.org/2024.findings-acl.337/" TargetMode="External"/><Relationship Id="rId23" Type="http://schemas.openxmlformats.org/officeDocument/2006/relationships/hyperlink" Target="https://github.com/aliyun/cflue" TargetMode="External"/><Relationship Id="rId24" Type="http://schemas.openxmlformats.org/officeDocument/2006/relationships/hyperlink" Target="https://www.jos.org.cn/jos/article/abstract/7684" TargetMode="External"/><Relationship Id="rId25" Type="http://schemas.openxmlformats.org/officeDocument/2006/relationships/hyperlink" Target="https://arxiv.org/abs/2404.13781" TargetMode="External"/><Relationship Id="rId26" Type="http://schemas.openxmlformats.org/officeDocument/2006/relationships/hyperlink" Target="https://aclanthology.org/2023.emnlp-main.398/" TargetMode="External"/><Relationship Id="rId27" Type="http://schemas.openxmlformats.org/officeDocument/2006/relationships/hyperlink" Target="https://aclanthology.org/2023.emnlp-main.741/" TargetMode="External"/><Relationship Id="rId28" Type="http://schemas.openxmlformats.org/officeDocument/2006/relationships/hyperlink" Target="https://www.jos.org.cn/jos/article/abstract/7242" TargetMode="External"/><Relationship Id="rId29" Type="http://schemas.openxmlformats.org/officeDocument/2006/relationships/hyperlink" Target="https://arxiv.org/abs/2607.10491" TargetMode="External"/><Relationship Id="rId30" Type="http://schemas.openxmlformats.org/officeDocument/2006/relationships/hyperlink" Target="https://arxiv.org/abs/2310.11511" TargetMode="External"/><Relationship Id="rId31" Type="http://schemas.openxmlformats.org/officeDocument/2006/relationships/hyperlink" Target="https://arxiv.org/abs/2407.12883" TargetMode="External"/><Relationship Id="rId32" Type="http://schemas.openxmlformats.org/officeDocument/2006/relationships/hyperlink" Target="https://github.com/akfamily/akshare/blob/main/docs/data/fund/fund_public.md" TargetMode="External"/><Relationship Id="rId33" Type="http://schemas.openxmlformats.org/officeDocument/2006/relationships/hyperlink" Target="https://arxiv.org/abs/2311.11944" TargetMode="External"/><Relationship Id="rId34" Type="http://schemas.openxmlformats.org/officeDocument/2006/relationships/hyperlink" Target="https://github.com/patronus-ai/financebench" TargetMode="External"/><Relationship Id="rId35" Type="http://schemas.openxmlformats.org/officeDocument/2006/relationships/hyperlink" Target="https://proceedings.mlr.press/v70/guo17a.html" TargetMode="External"/><Relationship Id="rId36" Type="http://schemas.openxmlformats.org/officeDocument/2006/relationships/hyperlink" Target="https://arxiv.org/abs/2401.15884" TargetMode="External"/><Relationship Id="rId37" Type="http://schemas.openxmlformats.org/officeDocument/2006/relationships/hyperlink" Target="https://aclanthology.org/2021.emnlp-main.300/" TargetMode="External"/><Relationship Id="rId38" Type="http://schemas.openxmlformats.org/officeDocument/2006/relationships/hyperlink" Target="https://github.com/czyssrs/FinQA" TargetMode="External"/><Relationship Id="rId39" Type="http://schemas.openxmlformats.org/officeDocument/2006/relationships/hyperlink" Target="https://arxiv.org/abs/2603.04403" TargetMode="External"/><Relationship Id="rId40" Type="http://schemas.openxmlformats.org/officeDocument/2006/relationships/hyperlink" Target="https://huggingface.co/datasets/daloopa/finretrieval" TargetMode="External"/><Relationship Id="rId41" Type="http://schemas.openxmlformats.org/officeDocument/2006/relationships/hyperlink" Target="https://arxiv.org/abs/2305.18290" TargetMode="External"/><Relationship Id="rId42" Type="http://schemas.openxmlformats.org/officeDocument/2006/relationships/hyperlink" Target="https://www.sse.com.cn/disclosure/fund/announcement/c/new/2026-04-22/562590_20260422_R75K.pdf" TargetMode="External"/><Relationship Id="rId43" Type="http://schemas.openxmlformats.org/officeDocument/2006/relationships/hyperlink" Target="https://www.sse.com.cn/disclosure/fund/announcement/c/new/2026-01-23/562820_20260123_W2A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计算机技术与金融信息检索硕士论文选题报告</dc:title>
  <dc:subject>三个实习衍生选题的研究问题 文献 实验与可行性</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