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依變項：反應時間(RT, 毫秒)、正確率(ACC, 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獨變項：登錄時間(encoding, 毫秒)、維持時間(memorizing, 毫秒)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全部受試者平均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2"/>
        <w:gridCol w:w="1744"/>
        <w:gridCol w:w="1744"/>
        <w:gridCol w:w="1742"/>
        <w:gridCol w:w="1744"/>
        <w:gridCol w:w="1740"/>
        <w:tblGridChange w:id="0">
          <w:tblGrid>
            <w:gridCol w:w="1742"/>
            <w:gridCol w:w="1744"/>
            <w:gridCol w:w="1744"/>
            <w:gridCol w:w="1742"/>
            <w:gridCol w:w="1744"/>
            <w:gridCol w:w="1740"/>
          </w:tblGrid>
        </w:tblGridChange>
      </w:tblGrid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ACC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100ms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memorizing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0.67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0.71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0.72</w:t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1500ms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0.63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0.69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0.66</w:t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0.65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0.73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50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tabs>
          <w:tab w:val="left" w:pos="5040"/>
        </w:tabs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3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04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2"/>
        <w:gridCol w:w="1744"/>
        <w:gridCol w:w="1744"/>
        <w:gridCol w:w="1742"/>
        <w:gridCol w:w="1744"/>
        <w:gridCol w:w="1740"/>
        <w:tblGridChange w:id="0">
          <w:tblGrid>
            <w:gridCol w:w="1742"/>
            <w:gridCol w:w="1744"/>
            <w:gridCol w:w="1744"/>
            <w:gridCol w:w="1742"/>
            <w:gridCol w:w="1744"/>
            <w:gridCol w:w="1740"/>
          </w:tblGrid>
        </w:tblGridChange>
      </w:tblGrid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100ms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memorizing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799.16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753.98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758.08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769.49</w:t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1500ms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765.06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763.96</w:t>
            </w:r>
          </w:p>
        </w:tc>
        <w:tc>
          <w:tcPr>
            <w:shd w:fill="ddebf7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793.01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774.05</w:t>
            </w:r>
          </w:p>
        </w:tc>
      </w:tr>
      <w:tr>
        <w:trPr>
          <w:trHeight w:val="33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782.64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758.93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774.12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right"/>
              <w:rPr>
                <w:rFonts w:ascii="PMingLiu" w:cs="PMingLiu" w:eastAsia="PMingLiu" w:hAnsi="PMingLiu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4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ANOVA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Univariate Type III Repeated-Measures ANOVA Assuming Sphericity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                         SS num Df Error SS den Df         F    Pr(&gt;F)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(Intercept)         23.0880      1 0.051281      7 3151.5615 1.493e-10 ***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encoding             0.0477      2 0.038850     14    8.5976 0.0036668 **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memorizing           0.0380      1 0.008181      7   32.4866 0.0007356 ***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encoding:memorizing  0.0229      2 0.070050     14    2.2834 0.1385948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4"/>
          <w:szCs w:val="24"/>
          <w:u w:val="none"/>
          <w:shd w:fill="e1e2e5" w:val="clear"/>
          <w:vertAlign w:val="baseline"/>
          <w:rtl w:val="0"/>
        </w:rPr>
        <w:t xml:space="preserve">&gt; r.model &lt;- aov_car(RT ~ c(encoding, memorizing) + Error(no/c(encoding, memorizing)), sRT)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4"/>
          <w:szCs w:val="24"/>
          <w:u w:val="none"/>
          <w:shd w:fill="e1e2e5" w:val="clear"/>
          <w:vertAlign w:val="baseline"/>
          <w:rtl w:val="0"/>
        </w:rPr>
        <w:t xml:space="preserve">&gt; summary(r.model)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Univariate Type III Repeated-Measures ANOVA Assuming Sphericity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                          SS num Df Error SS den Df        F    Pr(&gt;F)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(Intercept)         28504494      1   983255      7 202.9295 1.996e-06 ***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encoding                1280      2    23609     14   0.3796    0.6910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memorizing               121      1    49383      7   0.0172    0.8994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encoding:memorizing    11901      2    74323     14   1.1209    0.3536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e1e2e5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結論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ACC模型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H0：encoding對正確率無影響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H0：memorizing對正確率無影響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H0：encoding與memorizing無交互作用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encoding的p-value&lt;0.01，拒絕H0，encoding對正確率的效果達統計顯著性。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memorizing的p-value&lt;0.01，拒絕H0，memorizing對正確率的效果達統計顯著性。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Encoding與memorizing交互作用項的p-value &gt; 0.05，未達統計顯著，不拒絕H0，無交互作用。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RT模型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H0：encoding對反應時間無影響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H0：memorizing對反應時間無影響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H0：encoding與memorizing無交互作用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encoding的p-value&gt; 0.05，不拒絕H0，encoding對反應時間的效果未達統計顯著性。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memorizing的p-value&gt; 0.05，不拒絕H0，memorizing對反應時間的效果未達統計顯著性。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Encoding與memorizing交互作用項的p-value &gt; 0.05，未達統計顯著，不拒絕H0，無交互作用。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Times New Roman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pPr>
      <w:widowControl w:val="0"/>
    </w:p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HTML">
    <w:name w:val="HTML Preformatted"/>
    <w:basedOn w:val="a0"/>
    <w:link w:val="HTML0"/>
    <w:uiPriority w:val="99"/>
    <w:semiHidden w:val="1"/>
    <w:unhideWhenUsed w:val="1"/>
    <w:rsid w:val="00F73710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1"/>
    <w:link w:val="HTML"/>
    <w:uiPriority w:val="99"/>
    <w:semiHidden w:val="1"/>
    <w:rsid w:val="00F73710"/>
    <w:rPr>
      <w:rFonts w:ascii="細明體" w:cs="細明體" w:eastAsia="細明體" w:hAnsi="細明體"/>
      <w:kern w:val="0"/>
      <w:szCs w:val="24"/>
    </w:rPr>
  </w:style>
  <w:style w:type="character" w:styleId="gewyw5ybjeb" w:customStyle="1">
    <w:name w:val="gewyw5ybjeb"/>
    <w:basedOn w:val="a1"/>
    <w:rsid w:val="00F73710"/>
  </w:style>
  <w:style w:type="character" w:styleId="gewyw5ybmdb" w:customStyle="1">
    <w:name w:val="gewyw5ybmdb"/>
    <w:basedOn w:val="a1"/>
    <w:rsid w:val="00F73710"/>
  </w:style>
  <w:style w:type="paragraph" w:styleId="a">
    <w:name w:val="List Bullet"/>
    <w:basedOn w:val="a0"/>
    <w:uiPriority w:val="99"/>
    <w:unhideWhenUsed w:val="1"/>
    <w:rsid w:val="00DA5338"/>
    <w:pPr>
      <w:numPr>
        <w:numId w:val="1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sycc\Downloads\subject%20data\final%20data\data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psycc\Downloads\subject%20data\final%20data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'ACC m x e'!$B$17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'ACC m x e'!$C$16:$E$16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</c:numCache>
            </c:numRef>
          </c:cat>
          <c:val>
            <c:numRef>
              <c:f>'ACC m x e'!$C$17:$E$17</c:f>
              <c:numCache>
                <c:formatCode>0.00</c:formatCode>
                <c:ptCount val="3"/>
                <c:pt idx="0">
                  <c:v>0.67</c:v>
                </c:pt>
                <c:pt idx="1">
                  <c:v>0.71</c:v>
                </c:pt>
                <c:pt idx="2">
                  <c:v>0.79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'ACC m x e'!$B$18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'ACC m x e'!$C$16:$E$16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</c:numCache>
            </c:numRef>
          </c:cat>
          <c:val>
            <c:numRef>
              <c:f>'ACC m x e'!$C$18:$E$18</c:f>
              <c:numCache>
                <c:formatCode>0.00</c:formatCode>
                <c:ptCount val="3"/>
                <c:pt idx="0">
                  <c:v>0.63</c:v>
                </c:pt>
                <c:pt idx="1">
                  <c:v>0.69</c:v>
                </c:pt>
                <c:pt idx="2">
                  <c:v>0.67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687216"/>
        <c:axId val="403687608"/>
      </c:lineChart>
      <c:catAx>
        <c:axId val="40368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encoding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3687608"/>
        <c:crosses val="autoZero"/>
        <c:auto val="1"/>
        <c:lblAlgn val="ctr"/>
        <c:lblOffset val="100"/>
        <c:noMultiLvlLbl val="0"/>
      </c:catAx>
      <c:valAx>
        <c:axId val="40368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3687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'RT e x m'!$B$16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'RT e x m'!$C$15:$E$15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</c:numCache>
            </c:numRef>
          </c:cat>
          <c:val>
            <c:numRef>
              <c:f>'RT e x m'!$C$16:$E$16</c:f>
              <c:numCache>
                <c:formatCode>0.00</c:formatCode>
                <c:ptCount val="3"/>
                <c:pt idx="0">
                  <c:v>799.16</c:v>
                </c:pt>
                <c:pt idx="1">
                  <c:v>753.98</c:v>
                </c:pt>
                <c:pt idx="2">
                  <c:v>758.08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'RT e x m'!$B$17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'RT e x m'!$C$15:$E$15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</c:numCache>
            </c:numRef>
          </c:cat>
          <c:val>
            <c:numRef>
              <c:f>'RT e x m'!$C$17:$E$17</c:f>
              <c:numCache>
                <c:formatCode>0.00</c:formatCode>
                <c:ptCount val="3"/>
                <c:pt idx="0">
                  <c:v>765.06</c:v>
                </c:pt>
                <c:pt idx="1">
                  <c:v>763.96</c:v>
                </c:pt>
                <c:pt idx="2">
                  <c:v>793.01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294160"/>
        <c:axId val="407294552"/>
      </c:lineChart>
      <c:catAx>
        <c:axId val="40729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encoding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7294552"/>
        <c:crosses val="autoZero"/>
        <c:auto val="1"/>
        <c:lblAlgn val="ctr"/>
        <c:lblOffset val="100"/>
        <c:noMultiLvlLbl val="0"/>
      </c:catAx>
      <c:valAx>
        <c:axId val="4072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7294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04UxEvFo943FGbu4un+XUuehGg==">AMUW2mVammbasPDaZ7vTpGeTNMG9pNO1m/j5/5OjwoIx1Q4FJ04t+03ahwRwbteFwyMUU5ag1lWHFD15gkIOcskuZpGqfrQedmYnDg8DwzpfJbSnavkS1Cjbhgx+I9CZXfXBNKI2IglG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2020-12-31T02:39:00Z</dcterms:created>
  <dc:creator>psycc</dc:creator>
</cp:coreProperties>
</file>