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2A4A"/>
          <w:sz w:val="56"/>
          <w:szCs w:val="56"/>
        </w:rPr>
        <w:t xml:space="preserve">EIDOS SYSTEM</w:t>
      </w:r>
    </w:p>
    <w:p>
      <w:pPr>
        <w:spacing w:after="80"/>
        <w:jc w:val="center"/>
      </w:pPr>
      <w:r>
        <w:rPr>
          <w:rFonts w:ascii="Arial" w:cs="Arial" w:eastAsia="Arial" w:hAnsi="Arial"/>
          <w:color w:val="2E5090"/>
          <w:sz w:val="40"/>
          <w:szCs w:val="40"/>
        </w:rPr>
        <w:t xml:space="preserve">Sovereign AI Environment</w:t>
      </w:r>
    </w:p>
    <w:p>
      <w:pPr>
        <w:spacing w:after="600"/>
        <w:jc w:val="center"/>
      </w:pPr>
      <w:r>
        <w:rPr>
          <w:rFonts w:ascii="Arial" w:cs="Arial" w:eastAsia="Arial" w:hAnsi="Arial"/>
          <w:b/>
          <w:bCs/>
          <w:color w:val="C8A23D"/>
          <w:sz w:val="32"/>
          <w:szCs w:val="32"/>
        </w:rPr>
        <w:t xml:space="preserve">Master Documentation Index</w:t>
      </w:r>
    </w:p>
    <w:p>
      <w:pPr>
        <w:pBdr>
          <w:top w:val="single" w:color="C8A23D" w:sz="2" w:space="8"/>
          <w:bottom w:val="single" w:color="C8A23D" w:sz="2" w:space="8"/>
        </w:pBdr>
        <w:spacing w:before="200" w:after="200"/>
        <w:jc w:val="center"/>
      </w:pPr>
      <w:r>
        <w:rPr>
          <w:rFonts w:ascii="Arial" w:cs="Arial" w:eastAsia="Arial" w:hAnsi="Arial"/>
          <w:color w:val="3A3A3A"/>
          <w:sz w:val="20"/>
          <w:szCs w:val="20"/>
        </w:rPr>
        <w:t xml:space="preserve">Document Version: 1.0  |  Date: 2026-02-20  |  Status: </w:t>
      </w:r>
      <w:r>
        <w:rPr>
          <w:rFonts w:ascii="Arial" w:cs="Arial" w:eastAsia="Arial" w:hAnsi="Arial"/>
          <w:b/>
          <w:bCs/>
          <w:color w:val="155724"/>
          <w:sz w:val="20"/>
          <w:szCs w:val="20"/>
        </w:rPr>
        <w:t xml:space="preserve">INITIAL</w:t>
      </w:r>
    </w:p>
    <w:p>
      <w:pPr>
        <w:spacing w:before="400" w:after="100"/>
        <w:jc w:val="center"/>
      </w:pPr>
      <w:r>
        <w:rPr>
          <w:rFonts w:ascii="Arial" w:cs="Arial" w:eastAsia="Arial" w:hAnsi="Arial"/>
          <w:i/>
          <w:iCs/>
          <w:color w:val="6A6A6A"/>
          <w:sz w:val="20"/>
          <w:szCs w:val="20"/>
        </w:rPr>
        <w:t xml:space="preserve">Prepared as a living transcription document.</w:t>
      </w:r>
    </w:p>
    <w:p>
      <w:pPr>
        <w:jc w:val="center"/>
      </w:pPr>
      <w:r>
        <w:rPr>
          <w:rFonts w:ascii="Arial" w:cs="Arial" w:eastAsia="Arial" w:hAnsi="Arial"/>
          <w:i/>
          <w:iCs/>
          <w:color w:val="6A6A6A"/>
          <w:sz w:val="20"/>
          <w:szCs w:val="20"/>
        </w:rPr>
        <w:t xml:space="preserve">Modifications by addition only. Errors corrected via strikethrough.</w:t>
      </w:r>
    </w:p>
    <w:p>
      <w:r>
        <w:br w:type="page"/>
      </w:r>
    </w:p>
    <w:p>
      <w:pPr>
        <w:pStyle w:val="Heading1"/>
      </w:pPr>
      <w:r>
        <w:t xml:space="preserve">Document Protocol</w:t>
      </w:r>
    </w:p>
    <w:p>
      <w:pPr>
        <w:spacing w:after="160" w:line="300"/>
      </w:pPr>
      <w:r>
        <w:rPr>
          <w:rFonts w:ascii="Arial" w:cs="Arial" w:eastAsia="Arial" w:hAnsi="Arial"/>
          <w:color w:val="1A1A1A"/>
          <w:sz w:val="21"/>
          <w:szCs w:val="21"/>
        </w:rPr>
        <w:t xml:space="preserve">This document serves as the master index and transcription record for the Sovereign AI Environment documentation corpus. It is designed as a living document governed by the following rules: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Protocol</w:t>
            </w:r>
          </w:p>
        </w:tc>
        <w:tc>
          <w:tcPr>
            <w:tcW w:type="dxa" w:w="732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D0D6E0" w:sz="1"/>
              <w:left w:val="single" w:color="D0D6E0" w:sz="1"/>
              <w:bottom w:val="single" w:color="D0D6E0" w:sz="1"/>
              <w:right w:val="single" w:color="D0D6E0" w:sz="1"/>
            </w:tcBorders>
            <w:shd w:fill="D4EDDA" w:val="clear"/>
            <w:tcMar>
              <w:top w:type="dxa" w:w="80"/>
              <w:left w:type="dxa" w:w="120"/>
              <w:bottom w:type="dxa" w:w="80"/>
              <w:right w:type="dxa" w:w="120"/>
            </w:tcMar>
          </w:tcPr>
          <w:p>
            <w:pPr>
              <w:spacing w:line="276"/>
              <w:jc w:val="left"/>
            </w:pPr>
            <w:r>
              <w:rPr>
                <w:rFonts w:ascii="Arial" w:cs="Arial" w:eastAsia="Arial" w:hAnsi="Arial"/>
                <w:b/>
                <w:bCs/>
                <w:i w:val="false"/>
                <w:iCs w:val="false"/>
                <w:color w:val="155724"/>
                <w:sz w:val="19"/>
                <w:szCs w:val="19"/>
              </w:rPr>
              <w:t xml:space="preserve">Additions</w:t>
            </w:r>
          </w:p>
        </w:tc>
        <w:tc>
          <w:tcPr>
            <w:tcW w:type="dxa" w:w="73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All new content is added in the relevant section and marked with [ADD-nnn] tags. The changelog records the reason, date, and context.</w:t>
            </w:r>
          </w:p>
        </w:tc>
      </w:tr>
      <w:tr>
        <w:tc>
          <w:tcPr>
            <w:tcW w:type="dxa" w:w="2400"/>
            <w:tcBorders>
              <w:top w:val="single" w:color="D0D6E0" w:sz="1"/>
              <w:left w:val="single" w:color="D0D6E0" w:sz="1"/>
              <w:bottom w:val="single" w:color="D0D6E0" w:sz="1"/>
              <w:right w:val="single" w:color="D0D6E0" w:sz="1"/>
            </w:tcBorders>
            <w:shd w:fill="F8D7DA" w:val="clear"/>
            <w:tcMar>
              <w:top w:type="dxa" w:w="80"/>
              <w:left w:type="dxa" w:w="120"/>
              <w:bottom w:type="dxa" w:w="80"/>
              <w:right w:type="dxa" w:w="120"/>
            </w:tcMar>
          </w:tcPr>
          <w:p>
            <w:pPr>
              <w:spacing w:line="276"/>
              <w:jc w:val="left"/>
            </w:pPr>
            <w:r>
              <w:rPr>
                <w:rFonts w:ascii="Arial" w:cs="Arial" w:eastAsia="Arial" w:hAnsi="Arial"/>
                <w:b/>
                <w:bCs/>
                <w:i w:val="false"/>
                <w:iCs w:val="false"/>
                <w:color w:val="721C24"/>
                <w:sz w:val="19"/>
                <w:szCs w:val="19"/>
              </w:rPr>
              <w:t xml:space="preserve">Error Correction</w:t>
            </w:r>
          </w:p>
        </w:tc>
        <w:tc>
          <w:tcPr>
            <w:tcW w:type="dxa" w:w="73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Erroneous or deprecated data receives double-strikethrough formatting and an [ERR-nnn] tag. The changelog documents how the error was identified and why the correction was made.</w:t>
            </w:r>
          </w:p>
        </w:tc>
      </w:tr>
      <w:tr>
        <w:tc>
          <w:tcPr>
            <w:tcW w:type="dxa" w:w="2400"/>
            <w:tcBorders>
              <w:top w:val="single" w:color="D0D6E0" w:sz="1"/>
              <w:left w:val="single" w:color="D0D6E0" w:sz="1"/>
              <w:bottom w:val="single" w:color="D0D6E0" w:sz="1"/>
              <w:right w:val="single" w:color="D0D6E0" w:sz="1"/>
            </w:tcBorders>
            <w:shd w:fill="FFF3CD" w:val="clear"/>
            <w:tcMar>
              <w:top w:type="dxa" w:w="80"/>
              <w:left w:type="dxa" w:w="120"/>
              <w:bottom w:type="dxa" w:w="80"/>
              <w:right w:type="dxa" w:w="120"/>
            </w:tcMar>
          </w:tcPr>
          <w:p>
            <w:pPr>
              <w:spacing w:line="276"/>
              <w:jc w:val="left"/>
            </w:pPr>
            <w:r>
              <w:rPr>
                <w:rFonts w:ascii="Arial" w:cs="Arial" w:eastAsia="Arial" w:hAnsi="Arial"/>
                <w:b/>
                <w:bCs/>
                <w:i w:val="false"/>
                <w:iCs w:val="false"/>
                <w:color w:val="856404"/>
                <w:sz w:val="19"/>
                <w:szCs w:val="19"/>
              </w:rPr>
              <w:t xml:space="preserve">Deprecation</w:t>
            </w:r>
          </w:p>
        </w:tc>
        <w:tc>
          <w:tcPr>
            <w:tcW w:type="dxa" w:w="73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Outdated information is marked with [DEP-nnn] and retained in-place with strikethrough. The replacement or successor reference is noted in the changelog.</w:t>
            </w:r>
          </w:p>
        </w:tc>
      </w:tr>
      <w:tr>
        <w:tc>
          <w:tcPr>
            <w:tcW w:type="dxa" w:w="2400"/>
            <w:tcBorders>
              <w:top w:val="single" w:color="D0D6E0" w:sz="1"/>
              <w:left w:val="single" w:color="D0D6E0" w:sz="1"/>
              <w:bottom w:val="single" w:color="D0D6E0" w:sz="1"/>
              <w:right w:val="single" w:color="D0D6E0" w:sz="1"/>
            </w:tcBorders>
            <w:shd w:fill="D1ECF1" w:val="clear"/>
            <w:tcMar>
              <w:top w:type="dxa" w:w="80"/>
              <w:left w:type="dxa" w:w="120"/>
              <w:bottom w:type="dxa" w:w="80"/>
              <w:right w:type="dxa" w:w="120"/>
            </w:tcMar>
          </w:tcPr>
          <w:p>
            <w:pPr>
              <w:spacing w:line="276"/>
              <w:jc w:val="left"/>
            </w:pPr>
            <w:r>
              <w:rPr>
                <w:rFonts w:ascii="Arial" w:cs="Arial" w:eastAsia="Arial" w:hAnsi="Arial"/>
                <w:b/>
                <w:bCs/>
                <w:i w:val="false"/>
                <w:iCs w:val="false"/>
                <w:color w:val="0C5460"/>
                <w:sz w:val="19"/>
                <w:szCs w:val="19"/>
              </w:rPr>
              <w:t xml:space="preserve">Tagging Convention</w:t>
            </w:r>
          </w:p>
        </w:tc>
        <w:tc>
          <w:tcPr>
            <w:tcW w:type="dxa" w:w="73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[INITIAL] = Original content from first index pass. [ADD-nnn] = Addition. [ERR-nnn] = Error correction. [DEP-nnn] = Deprecation. All tags are sequential.</w:t>
            </w:r>
          </w:p>
        </w:tc>
      </w:tr>
    </w:tbl>
    <w:p>
      <w:pPr>
        <w:spacing w:before="200" w:after="100"/>
      </w:pPr>
      <w:r>
        <w:rPr>
          <w:rFonts w:ascii="Arial" w:cs="Arial" w:eastAsia="Arial" w:hAnsi="Arial"/>
          <w:i/>
          <w:iCs/>
          <w:color w:val="3A3A3A"/>
          <w:sz w:val="20"/>
          <w:szCs w:val="20"/>
        </w:rPr>
        <w:t xml:space="preserve">Tag: [INITIAL]  —  This entire document constitutes the initial indexing pass of the Sovereign AI Environment and pertinent Eidos System documentation.</w:t>
      </w:r>
    </w:p>
    <w:p>
      <w:r>
        <w:br w:type="page"/>
      </w:r>
    </w:p>
    <w:p>
      <w:pPr>
        <w:pStyle w:val="Heading1"/>
      </w:pPr>
      <w:r>
        <w:t xml:space="preserve">Section 1: Sovereign AI Environment — Primary Document Corpus</w:t>
      </w:r>
    </w:p>
    <w:p>
      <w:pPr>
        <w:spacing w:after="200" w:line="300"/>
      </w:pPr>
      <w:r>
        <w:rPr>
          <w:rFonts w:ascii="Arial" w:cs="Arial" w:eastAsia="Arial" w:hAnsi="Arial"/>
          <w:color w:val="1A1A1A"/>
          <w:sz w:val="21"/>
          <w:szCs w:val="21"/>
        </w:rPr>
        <w:t xml:space="preserve">The Sovereign AI Environment is defined across four primary Canvas Codex documents, each building progressively from philosophy through implementation-ready specifications. Together they form the authoritative definition of the system.</w:t>
      </w:r>
    </w:p>
    <w:p>
      <w:pPr>
        <w:pStyle w:val="Heading2"/>
      </w:pPr>
      <w:r>
        <w:t xml:space="preserve">1.1  Canvas Codex — Sovereign Local AI Operating Environment</w:t>
      </w:r>
    </w:p>
    <w:p>
      <w:pPr>
        <w:spacing w:after="80"/>
      </w:pPr>
      <w:r>
        <w:rPr>
          <w:rFonts w:ascii="Arial" w:cs="Arial" w:eastAsia="Arial" w:hAnsi="Arial"/>
          <w:b/>
          <w:bCs/>
          <w:color w:val="3A3A3A"/>
          <w:sz w:val="20"/>
          <w:szCs w:val="20"/>
        </w:rPr>
        <w:t xml:space="preserve">File: </w:t>
      </w:r>
      <w:r>
        <w:rPr>
          <w:rFonts w:ascii="Arial" w:cs="Arial" w:eastAsia="Arial" w:hAnsi="Arial"/>
          <w:color w:val="4A7BC7"/>
          <w:sz w:val="20"/>
          <w:szCs w:val="20"/>
        </w:rPr>
        <w:t xml:space="preserve">canvas_codex_sovereign_local_ai_operating_environment.md</w:t>
      </w:r>
    </w:p>
    <w:p>
      <w:pPr>
        <w:spacing w:after="80"/>
      </w:pPr>
      <w:r>
        <w:rPr>
          <w:rFonts w:ascii="Arial" w:cs="Arial" w:eastAsia="Arial" w:hAnsi="Arial"/>
          <w:b/>
          <w:bCs/>
          <w:color w:val="3A3A3A"/>
          <w:sz w:val="20"/>
          <w:szCs w:val="20"/>
        </w:rPr>
        <w:t xml:space="preserve">Role: </w:t>
      </w:r>
      <w:r>
        <w:rPr>
          <w:rFonts w:ascii="Arial" w:cs="Arial" w:eastAsia="Arial" w:hAnsi="Arial"/>
          <w:color w:val="1A1A1A"/>
          <w:sz w:val="20"/>
          <w:szCs w:val="20"/>
        </w:rPr>
        <w:t xml:space="preserve">Foundational Architecture — The root document defining the system’s philosophy, layer model, and capability scope.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960"/>
      </w:tblGrid>
      <w:tr>
        <w:tc>
          <w:tcPr>
            <w:tcW w:type="dxa" w:w="18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w:t>
            </w:r>
          </w:p>
        </w:tc>
        <w:tc>
          <w:tcPr>
            <w:tcW w:type="dxa" w:w="39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39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Content</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Core System Philosophy</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Sovereignty First, Modular Expandability, Deterministic Architecture</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System Architecture Overview</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8-layer stack: UI → Orchestrator → Runtime → Filesystem Intelligence → Model Mgr → Dependency Graph → Security Vault → Storage+Exec</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User Interface Architecture</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8 UI Modules: Project Mgr, FS Visualizer, Dep Graph, Model Installer, Runtime Ctrl, Vault Mgr, Agent Dashboard, Daemon Mgr</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IV</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Filesystem Intelligence Engine</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Manual control, Auto-Organization (Advisory/Assisted/Autonomous), File Chain lineage tracking</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V</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Runtime &amp; Daemon Management</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Iterative/Continuous/Semi-continuous agents; Sandboxed execution; State snapshots</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VI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Model Management System</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Local model install, metadata registry (name/version/params/quantization/runtimes/location), Model Routing Engine</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VII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Dependency &amp; Package Engine</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.saipkg format intro, manifest/version/dep map/hooks, DAG resolver, rollback support</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VIII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API Key &amp; External Integration Vault</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Encrypted local storage, named keys, scoped permissions, audit logs, zero implicit access</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IX</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Autonomous Development Engine</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Project Spec System, Autonomous Loop (Spec→Plan→Build→Test→Validate→Commit), Git integration</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X</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Storage Governance</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Save location control, multi-drive awareness, partition health detection</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XI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Security Model</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RBAC, sandboxed tools, explicit file permissions, resource quotas, STRIDE-compatible</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XII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Expansion Path</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Phase 1: Core → Phase 2: Intelligent Automation → Phase 3: Full Ecosystem (marketplace, distributed, cross-machine sync)</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XIII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Naming &amp; Identity</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Clear versioning, immutable core, modular extension layers</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XIV</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Strategic Alignment</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Integration with prior Eidos projects: deterministic archives, modularity, dependency clarity, bounded autonomy</w:t>
            </w:r>
          </w:p>
        </w:tc>
      </w:tr>
    </w:tbl>
    <w:p>
      <w:pPr>
        <w:spacing w:before="360"/>
      </w:pPr>
    </w:p>
    <w:p>
      <w:pPr>
        <w:pStyle w:val="Heading2"/>
      </w:pPr>
      <w:r>
        <w:t xml:space="preserve">1.2  Canvas Codex — Local Autonomous AI Stack &amp; Strategic Positioning</w:t>
      </w:r>
    </w:p>
    <w:p>
      <w:pPr>
        <w:spacing w:after="80"/>
      </w:pPr>
      <w:r>
        <w:rPr>
          <w:rFonts w:ascii="Arial" w:cs="Arial" w:eastAsia="Arial" w:hAnsi="Arial"/>
          <w:b/>
          <w:bCs/>
          <w:color w:val="3A3A3A"/>
          <w:sz w:val="20"/>
          <w:szCs w:val="20"/>
        </w:rPr>
        <w:t xml:space="preserve">File: </w:t>
      </w:r>
      <w:r>
        <w:rPr>
          <w:rFonts w:ascii="Arial" w:cs="Arial" w:eastAsia="Arial" w:hAnsi="Arial"/>
          <w:color w:val="4A7BC7"/>
          <w:sz w:val="20"/>
          <w:szCs w:val="20"/>
        </w:rPr>
        <w:t xml:space="preserve">canvas_codex_local_autonomous_ai_stack_strategic_positioning.md</w:t>
      </w:r>
    </w:p>
    <w:p>
      <w:pPr>
        <w:spacing w:after="80"/>
      </w:pPr>
      <w:r>
        <w:rPr>
          <w:rFonts w:ascii="Arial" w:cs="Arial" w:eastAsia="Arial" w:hAnsi="Arial"/>
          <w:b/>
          <w:bCs/>
          <w:color w:val="3A3A3A"/>
          <w:sz w:val="20"/>
          <w:szCs w:val="20"/>
        </w:rPr>
        <w:t xml:space="preserve">Role: </w:t>
      </w:r>
      <w:r>
        <w:rPr>
          <w:rFonts w:ascii="Arial" w:cs="Arial" w:eastAsia="Arial" w:hAnsi="Arial"/>
          <w:color w:val="1A1A1A"/>
          <w:sz w:val="20"/>
          <w:szCs w:val="20"/>
        </w:rPr>
        <w:t xml:space="preserve">Implementation Guide + Strategic Layer — Practical Ollama-based setup guide and open-source ecosystem positioning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960"/>
      </w:tblGrid>
      <w:tr>
        <w:tc>
          <w:tcPr>
            <w:tcW w:type="dxa" w:w="18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w:t>
            </w:r>
          </w:p>
        </w:tc>
        <w:tc>
          <w:tcPr>
            <w:tcW w:type="dxa" w:w="39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39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Content</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Ollama + Slime-Style Agent Stack</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6-step setup: Install Ollama → Directory Structure → Agent Loop → Memory Layer (Vector+Structured) → Tool Layer → Persistence; Stability controls</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Fully Private Autonomous Dev Pipeline</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7-stage pipeline: Idea→Planner→Architecture→Module Gen→Test Gen→Validation→Git Commit→Docs; Deterministic Build Loop with spec hashing</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Strategic Positioning in Open-Source AI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3 Strategies: Foundational Infrastructure, Niche Specialization, Radical Transparency; Attribution defense; Moat construction via stability+docs</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IV</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Implementation Roadmap</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Phase 1: Minimal Stack → Phase 2: Deterministic Dev Pipeline → Phase 3: Autonomous Scaling</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V</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Final Structural Insight</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Core philosophy: “Structured growth compounds; unbounded growth collapses.” Bounded autonomy principle.</w:t>
            </w:r>
          </w:p>
        </w:tc>
      </w:tr>
    </w:tbl>
    <w:p>
      <w:pPr>
        <w:spacing w:before="360"/>
      </w:pPr>
    </w:p>
    <w:p>
      <w:pPr>
        <w:pStyle w:val="Heading2"/>
      </w:pPr>
      <w:r>
        <w:t xml:space="preserve">1.3  Canvas Codex — Phase I Engineering Specification</w:t>
      </w:r>
    </w:p>
    <w:p>
      <w:pPr>
        <w:spacing w:after="80"/>
      </w:pPr>
      <w:r>
        <w:rPr>
          <w:rFonts w:ascii="Arial" w:cs="Arial" w:eastAsia="Arial" w:hAnsi="Arial"/>
          <w:b/>
          <w:bCs/>
          <w:color w:val="3A3A3A"/>
          <w:sz w:val="20"/>
          <w:szCs w:val="20"/>
        </w:rPr>
        <w:t xml:space="preserve">File: </w:t>
      </w:r>
      <w:r>
        <w:rPr>
          <w:rFonts w:ascii="Arial" w:cs="Arial" w:eastAsia="Arial" w:hAnsi="Arial"/>
          <w:color w:val="4A7BC7"/>
          <w:sz w:val="20"/>
          <w:szCs w:val="20"/>
        </w:rPr>
        <w:t xml:space="preserve">canvas_codex_sovereign_ai_environment_phase_i_engineering_specification.md</w:t>
      </w:r>
    </w:p>
    <w:p>
      <w:pPr>
        <w:spacing w:after="80"/>
      </w:pPr>
      <w:r>
        <w:rPr>
          <w:rFonts w:ascii="Arial" w:cs="Arial" w:eastAsia="Arial" w:hAnsi="Arial"/>
          <w:b/>
          <w:bCs/>
          <w:color w:val="3A3A3A"/>
          <w:sz w:val="20"/>
          <w:szCs w:val="20"/>
        </w:rPr>
        <w:t xml:space="preserve">Role: </w:t>
      </w:r>
      <w:r>
        <w:rPr>
          <w:rFonts w:ascii="Arial" w:cs="Arial" w:eastAsia="Arial" w:hAnsi="Arial"/>
          <w:color w:val="1A1A1A"/>
          <w:sz w:val="20"/>
          <w:szCs w:val="20"/>
        </w:rPr>
        <w:t xml:space="preserve">Engineering Specification — Transitions from concept to engineering-grade scaffolding, threat model, and package format.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960"/>
      </w:tblGrid>
      <w:tr>
        <w:tc>
          <w:tcPr>
            <w:tcW w:type="dxa" w:w="18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w:t>
            </w:r>
          </w:p>
        </w:tc>
        <w:tc>
          <w:tcPr>
            <w:tcW w:type="dxa" w:w="39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39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Content</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Custom IDE Architecture</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6 Modules: Editor Engine (LSP+AST), Project Graph View, Runtime Control Panel, FS Intelligence Dashboard, Package Mgr UI, Vault UI</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Phase I Executable Scaffolding</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Tech stack: Electron/Tauri + React/Svelte frontend, Rust/Go backend, SQLite metadata; Directory structure; 7-step bootstrap sequence</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.saipkg Package Format Spec</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Archive structure: manifest.json + /payload/ + /hooks/ + signature.sig; 8-step install flow with rollback</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IV</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STRIDE Threat Model</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6 threat categories with mitigations: Spoofing (signatures), Tampering (hashes), Repudiation (event logs), Info Disclosure (encrypted vault), DoS (quotas), Privilege Escalation (sandbox)</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V</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Filesystem Intelligence Engine (Deep)</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5 components: File Classifier, Dependency Inference, Lineage Tracker, Orphan Detector, Structural Optimizer; Metadata schema per file</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VI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Phase I Roadmap</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Phase I goals: IDE shell, basic package installer, file classification, model registry, manual runtime. Excludes multi-agent, distributed, marketplace.</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VII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Structural Integrity Principles</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Immutable core, all mods logged, rollback preserved, deterministic dep tracking</w:t>
            </w:r>
          </w:p>
        </w:tc>
      </w:tr>
    </w:tbl>
    <w:p>
      <w:pPr>
        <w:spacing w:before="360"/>
      </w:pPr>
    </w:p>
    <w:p>
      <w:pPr>
        <w:pStyle w:val="Heading2"/>
      </w:pPr>
      <w:r>
        <w:t xml:space="preserve">1.4  Canvas Codex — Phase I EExpansion &amp; Formalization</w:t>
      </w:r>
    </w:p>
    <w:p>
      <w:pPr>
        <w:spacing w:after="80"/>
      </w:pPr>
      <w:r>
        <w:rPr>
          <w:rFonts w:ascii="Arial" w:cs="Arial" w:eastAsia="Arial" w:hAnsi="Arial"/>
          <w:b/>
          <w:bCs/>
          <w:color w:val="3A3A3A"/>
          <w:sz w:val="20"/>
          <w:szCs w:val="20"/>
        </w:rPr>
        <w:t xml:space="preserve">File: </w:t>
      </w:r>
      <w:r>
        <w:rPr>
          <w:rFonts w:ascii="Arial" w:cs="Arial" w:eastAsia="Arial" w:hAnsi="Arial"/>
          <w:color w:val="4A7BC7"/>
          <w:sz w:val="20"/>
          <w:szCs w:val="20"/>
        </w:rPr>
        <w:t xml:space="preserve">canvas_codex_sovereign_ai_environment_phase_i_eexpansion_formalization_2.md</w:t>
      </w:r>
    </w:p>
    <w:p>
      <w:pPr>
        <w:spacing w:after="80"/>
      </w:pPr>
      <w:r>
        <w:rPr>
          <w:rFonts w:ascii="Arial" w:cs="Arial" w:eastAsia="Arial" w:hAnsi="Arial"/>
          <w:b/>
          <w:bCs/>
          <w:color w:val="3A3A3A"/>
          <w:sz w:val="20"/>
          <w:szCs w:val="20"/>
        </w:rPr>
        <w:t xml:space="preserve">Role: </w:t>
      </w:r>
      <w:r>
        <w:rPr>
          <w:rFonts w:ascii="Arial" w:cs="Arial" w:eastAsia="Arial" w:hAnsi="Arial"/>
          <w:color w:val="1A1A1A"/>
          <w:sz w:val="20"/>
          <w:szCs w:val="20"/>
        </w:rPr>
        <w:t xml:space="preserve">Implementation-Ready Foundation — Concrete Rust scaffolding, RFC-grade .saipkg spec, algorithm-level FS engine design, IDE wireframes, and full documentation governance framework.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960"/>
      </w:tblGrid>
      <w:tr>
        <w:tc>
          <w:tcPr>
            <w:tcW w:type="dxa" w:w="18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w:t>
            </w:r>
          </w:p>
        </w:tc>
        <w:tc>
          <w:tcPr>
            <w:tcW w:type="dxa" w:w="39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39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Content</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Rust/Go Executable Scaffolding</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8-crate Rust workspace: core, runtime, filesystem_engine, package_engine, vault, model_registry, ide_backend, daemon_manager; Bootstrap pseudocode</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RFC-SAI-0001: .saipkg Format</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Formal RFC: abstract, terminology, normative manifest schema (9 fields), 9-step install algorithm, security requirements, semver rules</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III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Filesystem Intelligence Engine (Algorithms)</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6-stage pipeline (Scan→Classify→Parse→Build→Optimize→Suggest); Classification algorithm (5-step); Dependency inference via AST; Orphan detection; Louvain clustering; Lineage metadata schema</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IV</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IDE UI Wireframe System</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Three-column adaptive layout; 6 core views (Explorer, Graph, Editor, Runtime Dashboard, Package Mgr, Vault); Interaction model with drag-drop + graph validation; UI state persistence</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V</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Phase I Milestones</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M1: Workspace compiles + IDE opens; M2: File scan + graph builds; M3: .saipkg install + rollback; M4: Runtime agent loop + resource caps</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VI</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Structural Stability Guarantees</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Immutable core, logged graph changes, guaranteed rollback, enforced sandbox</w:t>
            </w:r>
          </w:p>
        </w:tc>
      </w:tr>
      <w:tr>
        <w:tc>
          <w:tcPr>
            <w:tcW w:type="dxa" w:w="18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Addendum</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Documentation &amp; Governance EExpansion</w:t>
            </w:r>
          </w:p>
        </w:tc>
        <w:tc>
          <w:tcPr>
            <w:tcW w:type="dxa" w:w="39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5-layer doc architecture (Vision→Architecture→Specification→Implementation→Operational); ADR format; Versioning model; Testing framework (6 layers); Security doc model; Logging spec (JSON structured); Contributor model; Release artifact requirements</w:t>
            </w:r>
          </w:p>
        </w:tc>
      </w:tr>
    </w:tbl>
    <w:p>
      <w:r>
        <w:br w:type="page"/>
      </w:r>
    </w:p>
    <w:p>
      <w:pPr>
        <w:pStyle w:val="Heading1"/>
      </w:pPr>
      <w:r>
        <w:t xml:space="preserve">Section 2: Pertinent Eidos System Documentation</w:t>
      </w:r>
    </w:p>
    <w:p>
      <w:pPr>
        <w:spacing w:after="200" w:line="300"/>
      </w:pPr>
      <w:r>
        <w:rPr>
          <w:rFonts w:ascii="Arial" w:cs="Arial" w:eastAsia="Arial" w:hAnsi="Arial"/>
          <w:color w:val="1A1A1A"/>
          <w:sz w:val="21"/>
          <w:szCs w:val="21"/>
        </w:rPr>
        <w:t xml:space="preserve">The Sovereign AI Environment sits within the broader Eidos System ecosystem. The following documents define the architectural substrate, computing equivalencies, and subsystem integrations that the Sovereign Environment depends upon or extends.</w:t>
      </w:r>
    </w:p>
    <w:p>
      <w:pPr>
        <w:pStyle w:val="Heading2"/>
      </w:pPr>
      <w:r>
        <w:t xml:space="preserve">2.1  MaybeOS / EiOS — Eidos Computing System Equivalency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712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Summary</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MaybeOS_1.txt</w:t>
            </w:r>
          </w:p>
        </w:tc>
        <w:tc>
          <w:tcPr>
            <w:tcW w:type="dxa" w:w="71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Contains three Canvas Codices: (1) Computer Software Stack EExpanded — conventional stack breakdown with best practices and hidden practices; (2) Eidos &amp; Eidoa Computing System Equivalent — maps CPU→TreeProcessor+paperProcessor, RAM→dRAM, GPU→paperGPU, Storage→WorldTree+ODIIS, I/O→Eidoa+EiTools, OS→Eidos System+AiDEA+CodeOmega, Networking→Runic Processor; (3) EiOS Codex 1 — full software stack equivalency table mapping Firmware through Application layers to Eidos-native constructs.</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MaybeOS_1_EidosSystem_Reup_2-12-26.txt</w:t>
            </w:r>
          </w:p>
        </w:tc>
        <w:tc>
          <w:tcPr>
            <w:tcW w:type="dxa" w:w="71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Comprehensive Eidos &amp; Project Systems Reup: Deep-dive definitions for all core systems (Eidos, Eidoa, Eidos System, EidoSpace, WorldSeed, WorldTree, TreeProcessor, Runic Systems, AiDEA, CodeOmega, ODIIS, dRAM subcomponents, Island environments, EiTools). Complete system interconnectivity map.</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MaybeOS_Snake_1.md</w:t>
            </w:r>
          </w:p>
        </w:tc>
        <w:tc>
          <w:tcPr>
            <w:tcW w:type="dxa" w:w="71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Snake-Agent Processor Concept: Explores snake-in-maze computing model with PGEM (Particle Grid Entropy Machine) architecture, deterministic fusion tables, entropy scalars, domain-specific snake stacks, and a 3-phase implementation plan.</w:t>
            </w:r>
          </w:p>
        </w:tc>
      </w:tr>
    </w:tbl>
    <w:p>
      <w:pPr>
        <w:pStyle w:val="Heading2"/>
      </w:pPr>
      <w:r>
        <w:t xml:space="preserve">2.2  Subsystem Documentation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920"/>
      </w:tblGrid>
      <w:tr>
        <w:tc>
          <w:tcPr>
            <w:tcW w:type="dxa" w:w="26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 / System</w:t>
            </w:r>
          </w:p>
        </w:tc>
        <w:tc>
          <w:tcPr>
            <w:tcW w:type="dxa" w:w="32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Subsystem</w:t>
            </w:r>
          </w:p>
        </w:tc>
        <w:tc>
          <w:tcPr>
            <w:tcW w:type="dxa" w:w="392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 to Sovereign AI Env</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DataPic_Subsystem_Build_Gameplan.md + datapic_encoder.py + datapic_decoder.py + datapic_demonstration.py + README.md</w:t>
            </w:r>
          </w:p>
        </w:tc>
        <w:tc>
          <w:tcPr>
            <w:tcW w:type="dxa" w:w="32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DataPic — Bidirectional data-image encoding/decoding with version control and Runic indexing</w:t>
            </w:r>
          </w:p>
        </w:tc>
        <w:tc>
          <w:tcPr>
            <w:tcW w:type="dxa" w:w="39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Provides the visual data storage layer. Integrates with HUB System, Runic Grammar, and Eidouron framework. Maps to Sovereign FS Engine as a specialized storage format.</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RUNIC_COMPLETE_DOCUMENTATION.md + runic_compiler.py + admathRune_documentation_1.md</w:t>
            </w:r>
          </w:p>
        </w:tc>
        <w:tc>
          <w:tcPr>
            <w:tcW w:type="dxa" w:w="32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Runic Translation &amp; Processing Subsystem (RTPS)</w:t>
            </w:r>
          </w:p>
        </w:tc>
        <w:tc>
          <w:tcPr>
            <w:tcW w:type="dxa" w:w="39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Core symbolic processing language. Data flows as Runes internally; translation at I/O boundaries. Essential for Sovereign FS semantic indexing and dependency inference.</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HUB_Documentation_1.md + HUBsystem.txt</w:t>
            </w:r>
          </w:p>
        </w:tc>
        <w:tc>
          <w:tcPr>
            <w:tcW w:type="dxa" w:w="32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HUB System — Conceptual AI Orchestrator</w:t>
            </w:r>
          </w:p>
        </w:tc>
        <w:tc>
          <w:tcPr>
            <w:tcW w:type="dxa" w:w="39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Orchestration and conceptual navigation layer. Maps system-to-system relationships. Sovereign’s System Orchestrator layer is the implementation target for HUB concepts.</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codex_eidoneura_system.md + eidoneura_eidouron_codex_addendum.md</w:t>
            </w:r>
          </w:p>
        </w:tc>
        <w:tc>
          <w:tcPr>
            <w:tcW w:type="dxa" w:w="32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Eidoneura / Eidouron Framework</w:t>
            </w:r>
          </w:p>
        </w:tc>
        <w:tc>
          <w:tcPr>
            <w:tcW w:type="dxa" w:w="39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Foundational cognitive templates (Eidoneura) and specialized instantiations (Eidouron). Sovereign’s agent runtimes are Eidouron instances flashed from Eidoneura templates.</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QRe_System.txt + QRe_Reup_Summary.txt + QRen_Coder_Build_Gameplan-1.md + qren_code_iso_bios_layer_codex_qren_bl.md</w:t>
            </w:r>
          </w:p>
        </w:tc>
        <w:tc>
          <w:tcPr>
            <w:tcW w:type="dxa" w:w="32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QRenCode System</w:t>
            </w:r>
          </w:p>
        </w:tc>
        <w:tc>
          <w:tcPr>
            <w:tcW w:type="dxa" w:w="39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Self-contained computational archives. Phase 1 complete (15 tests, 26:1 compression). Sovereign’s .saipkg format shares architectural DNA with QRenCode’s layered Circle encoding.</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downloaded_ram_codex_insight.md + downloaded_ram_optimization_companion.md + codex_ram_cache.md + dRAM_Stage1_*.txt (6 files)</w:t>
            </w:r>
          </w:p>
        </w:tc>
        <w:tc>
          <w:tcPr>
            <w:tcW w:type="dxa" w:w="32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dRAM System — Dynamic Memory Architecture</w:t>
            </w:r>
          </w:p>
        </w:tc>
        <w:tc>
          <w:tcPr>
            <w:tcW w:type="dxa" w:w="39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Memory substrate: RAM Cache, Downloadable RAM, paperCPU, paperProcessor, paperGPU. Sovereign’s Runtime Manager and resource quota enforcement map to dRAM’s resource allocation model.</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full_stack_neuron_ai.md + full_stack_neuron_ai_system.md + enhanced_full_stack_neuron_ai.md</w:t>
            </w:r>
          </w:p>
        </w:tc>
        <w:tc>
          <w:tcPr>
            <w:tcW w:type="dxa" w:w="32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Full-Stack Neuron AI</w:t>
            </w:r>
          </w:p>
        </w:tc>
        <w:tc>
          <w:tcPr>
            <w:tcW w:type="dxa" w:w="39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Stacked AI architecture patterns. Informs Sovereign’s multi-model routing and agent orchestration design.</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stacked_vi_ai_architecture.md + stacked_vi_linear_ai_codex.md + stacked_vi_linear_ai_codex_1_.md</w:t>
            </w:r>
          </w:p>
        </w:tc>
        <w:tc>
          <w:tcPr>
            <w:tcW w:type="dxa" w:w="32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Stacked VI / Linear AI Codex</w:t>
            </w:r>
          </w:p>
        </w:tc>
        <w:tc>
          <w:tcPr>
            <w:tcW w:type="dxa" w:w="39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Linear and stacked processing architectures. Conceptual precedent for Sovereign’s layered system architecture.</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cep_master_codex_reup.md + cep_codex_reup_fullthread.md + cep_master_codex_reup_1_.md + conceptual_engineering_program_standalone_code_conversion_system.md + conceptual_engineering_program_standalone_code_conversion_system_addendum_1.md</w:t>
            </w:r>
          </w:p>
        </w:tc>
        <w:tc>
          <w:tcPr>
            <w:tcW w:type="dxa" w:w="32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Conceptual Engineering Program (CEP)</w:t>
            </w:r>
          </w:p>
        </w:tc>
        <w:tc>
          <w:tcPr>
            <w:tcW w:type="dxa" w:w="39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Standalone code conversion system. Relevant to Sovereign’s Autonomous Development Engine and deterministic build pipeline.</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adhd_cognition_companion.md</w:t>
            </w:r>
          </w:p>
        </w:tc>
        <w:tc>
          <w:tcPr>
            <w:tcW w:type="dxa" w:w="32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ADHD Cognition Companion</w:t>
            </w:r>
          </w:p>
        </w:tc>
        <w:tc>
          <w:tcPr>
            <w:tcW w:type="dxa" w:w="39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Accessibility-focused design patterns. Informs Sovereign IDE’s UI/UX design for transparent state visibility and Advisory-mode file organization.</w:t>
            </w:r>
          </w:p>
        </w:tc>
      </w:tr>
      <w:tr>
        <w:tc>
          <w:tcPr>
            <w:tcW w:type="dxa" w:w="2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codex_omega_sandbox.py + foundation.py + layer1_data.py + layers234.py + main.py</w:t>
            </w:r>
          </w:p>
        </w:tc>
        <w:tc>
          <w:tcPr>
            <w:tcW w:type="dxa" w:w="32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CodeOmega Sandbox Implementation</w:t>
            </w:r>
          </w:p>
        </w:tc>
        <w:tc>
          <w:tcPr>
            <w:tcW w:type="dxa" w:w="39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Working Python implementation of system integrity and orchestration concepts. Reference implementation for Sovereign’s sandbox execution model.</w:t>
            </w:r>
          </w:p>
        </w:tc>
      </w:tr>
    </w:tbl>
    <w:p>
      <w:r>
        <w:br w:type="page"/>
      </w:r>
    </w:p>
    <w:p>
      <w:pPr>
        <w:pStyle w:val="Heading1"/>
      </w:pPr>
      <w:r>
        <w:t xml:space="preserve">Section 3: Cross-Reference Matrix — Sovereign AI Layers to Eidos Subsystems</w:t>
      </w:r>
    </w:p>
    <w:p>
      <w:pPr>
        <w:spacing w:after="200" w:line="300"/>
      </w:pPr>
      <w:r>
        <w:rPr>
          <w:rFonts w:ascii="Arial" w:cs="Arial" w:eastAsia="Arial" w:hAnsi="Arial"/>
          <w:color w:val="1A1A1A"/>
          <w:sz w:val="21"/>
          <w:szCs w:val="21"/>
        </w:rPr>
        <w:t xml:space="preserve">This matrix maps each layer of the Sovereign AI Environment architecture to the Eidos subsystem(s) that provide its conceptual foundation, implementation reference, or integration target.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3510"/>
        <w:gridCol w:w="3510"/>
      </w:tblGrid>
      <w:tr>
        <w:tc>
          <w:tcPr>
            <w:tcW w:type="dxa" w:w="27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Sovereign Layer</w:t>
            </w:r>
          </w:p>
        </w:tc>
        <w:tc>
          <w:tcPr>
            <w:tcW w:type="dxa" w:w="351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Eidos Subsystem(s)</w:t>
            </w:r>
          </w:p>
        </w:tc>
        <w:tc>
          <w:tcPr>
            <w:tcW w:type="dxa" w:w="351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Integration Notes</w:t>
            </w:r>
          </w:p>
        </w:tc>
      </w:tr>
      <w:tr>
        <w:tc>
          <w:tcPr>
            <w:tcW w:type="dxa" w:w="27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User Interface Layer</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Eidoa Interfaces + EiTools + EidoSpace Projection</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IDE frontend maps to Eidoa task modules. UI state persistence parallels EidoSpace.</w:t>
            </w:r>
          </w:p>
        </w:tc>
      </w:tr>
      <w:tr>
        <w:tc>
          <w:tcPr>
            <w:tcW w:type="dxa" w:w="27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System Orchestrator</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HUB System + Eidos System Core</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HUB provides conceptual navigation; Eidos System provides integration and supervision.</w:t>
            </w:r>
          </w:p>
        </w:tc>
      </w:tr>
      <w:tr>
        <w:tc>
          <w:tcPr>
            <w:tcW w:type="dxa" w:w="27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Runtime Manager</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Eidouron Instances + TreeProcessor + paperProcessor</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Agents are Eidouron instantiations. Execution maps to TreeProcessor workflow sequencing.</w:t>
            </w:r>
          </w:p>
        </w:tc>
      </w:tr>
      <w:tr>
        <w:tc>
          <w:tcPr>
            <w:tcW w:type="dxa" w:w="27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Filesystem Intelligence Engine</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Runic Grammar + DataPic + WorldTree</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Semantic indexing via Runes. Visual storage via DataPics. Structural storage via WorldTree patterns.</w:t>
            </w:r>
          </w:p>
        </w:tc>
      </w:tr>
      <w:tr>
        <w:tc>
          <w:tcPr>
            <w:tcW w:type="dxa" w:w="27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Model Manager</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Eidoneura Templates + Full-Stack Neuron AI</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Model registry parallels Eidoneura template library. Routing informed by stacked AI patterns.</w:t>
            </w:r>
          </w:p>
        </w:tc>
      </w:tr>
      <w:tr>
        <w:tc>
          <w:tcPr>
            <w:tcW w:type="dxa" w:w="27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Dependency Graph Engine</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Runic Processor + CEP System</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Dependency inference uses Runic semantic processing. Code conversion from CEP patterns.</w:t>
            </w:r>
          </w:p>
        </w:tc>
      </w:tr>
      <w:tr>
        <w:tc>
          <w:tcPr>
            <w:tcW w:type="dxa" w:w="27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Security &amp; Key Vault</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AiDEA Security + CodeOmega + EiTool Constraints</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Access enforcement via AiDEA. Integrity monitoring via CodeOmega. EiTool non-autonomy constraints.</w:t>
            </w:r>
          </w:p>
        </w:tc>
      </w:tr>
      <w:tr>
        <w:tc>
          <w:tcPr>
            <w:tcW w:type="dxa" w:w="27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Storage + Execution Layer</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dRAM System + QRenCode Archives + ODIIS</w:t>
            </w:r>
          </w:p>
        </w:tc>
        <w:tc>
          <w:tcPr>
            <w:tcW w:type="dxa" w:w="351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Memory allocation via dRAM model. Archive format shares DNA with QRenCode. Historical records via ODIIS.</w:t>
            </w:r>
          </w:p>
        </w:tc>
      </w:tr>
    </w:tbl>
    <w:p>
      <w:r>
        <w:br w:type="page"/>
      </w:r>
    </w:p>
    <w:p>
      <w:pPr>
        <w:pStyle w:val="Heading1"/>
      </w:pPr>
      <w:r>
        <w:t xml:space="preserve">Section 4: Key Specifications Summary</w:t>
      </w:r>
    </w:p>
    <w:p>
      <w:pPr>
        <w:pStyle w:val="Heading2"/>
      </w:pPr>
      <w:r>
        <w:t xml:space="preserve">4.1  .saipkg Package Format (RFC-SAI-0001)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48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324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Container</w:t>
            </w:r>
          </w:p>
        </w:tc>
        <w:tc>
          <w:tcPr>
            <w:tcW w:type="dxa" w:w="648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Compressed archive: /manifest.json, /payload/, /hooks/, /signature.sig</w:t>
            </w:r>
          </w:p>
        </w:tc>
      </w:tr>
      <w:tr>
        <w:tc>
          <w:tcPr>
            <w:tcW w:type="dxa" w:w="324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Manifest Fields</w:t>
            </w:r>
          </w:p>
        </w:tc>
        <w:tc>
          <w:tcPr>
            <w:tcW w:type="dxa" w:w="648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name*, version* (semver), author*, description, dependencies[], runtime_hooks[], required_models[], filesystem_rules{}, permissions{}</w:t>
            </w:r>
          </w:p>
        </w:tc>
      </w:tr>
      <w:tr>
        <w:tc>
          <w:tcPr>
            <w:tcW w:type="dxa" w:w="324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Install Algorithm</w:t>
            </w:r>
          </w:p>
        </w:tc>
        <w:tc>
          <w:tcPr>
            <w:tcW w:type="dxa" w:w="648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9 steps: Verify sig → Validate schema → Resolve DAG → Detect circular → Display impact → Create rollback → Extract → Execute hooks (sandboxed) → Register. Abort on any failure.</w:t>
            </w:r>
          </w:p>
        </w:tc>
      </w:tr>
      <w:tr>
        <w:tc>
          <w:tcPr>
            <w:tcW w:type="dxa" w:w="324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Security</w:t>
            </w:r>
          </w:p>
        </w:tc>
        <w:tc>
          <w:tcPr>
            <w:tcW w:type="dxa" w:w="648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Mandatory signing, declared hook permissions, no implicit root access, resource caps on hook execution</w:t>
            </w:r>
          </w:p>
        </w:tc>
      </w:tr>
      <w:tr>
        <w:tc>
          <w:tcPr>
            <w:tcW w:type="dxa" w:w="324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Versioning</w:t>
            </w:r>
          </w:p>
        </w:tc>
        <w:tc>
          <w:tcPr>
            <w:tcW w:type="dxa" w:w="648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Semantic Versioning required. spec_version + engine_min_version fields.</w:t>
            </w:r>
          </w:p>
        </w:tc>
      </w:tr>
    </w:tbl>
    <w:p>
      <w:pPr>
        <w:pStyle w:val="Heading2"/>
      </w:pPr>
      <w:r>
        <w:t xml:space="preserve">4.2  Rust Workspace Architecture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Crate</w:t>
            </w:r>
          </w:p>
        </w:tc>
        <w:tc>
          <w:tcPr>
            <w:tcW w:type="dxa" w:w="732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core</w:t>
            </w:r>
          </w:p>
        </w:tc>
        <w:tc>
          <w:tcPr>
            <w:tcW w:type="dxa" w:w="73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Bootstrap sequence, config parsing, global state registry, logging</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runtime</w:t>
            </w:r>
          </w:p>
        </w:tc>
        <w:tc>
          <w:tcPr>
            <w:tcW w:type="dxa" w:w="73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Agent execution loop, sandbox interface, resource quota enforcement</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filesystem_engine</w:t>
            </w:r>
          </w:p>
        </w:tc>
        <w:tc>
          <w:tcPr>
            <w:tcW w:type="dxa" w:w="73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File scanning, classification, dependency parsing, graph builder</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package_engine</w:t>
            </w:r>
          </w:p>
        </w:tc>
        <w:tc>
          <w:tcPr>
            <w:tcW w:type="dxa" w:w="73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.saipkg parser, signature validation, dependency resolver, rollback snapshots</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vault</w:t>
            </w:r>
          </w:p>
        </w:tc>
        <w:tc>
          <w:tcPr>
            <w:tcW w:type="dxa" w:w="73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Encrypted key storage, permission scoping, audit logs</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model_registry</w:t>
            </w:r>
          </w:p>
        </w:tc>
        <w:tc>
          <w:tcPr>
            <w:tcW w:type="dxa" w:w="73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Model metadata DB, install/uninstall handlers, routing selector logic</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ide_backend</w:t>
            </w:r>
          </w:p>
        </w:tc>
        <w:tc>
          <w:tcPr>
            <w:tcW w:type="dxa" w:w="73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IPC layer to frontend, graph data API, runtime control endpoints</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daemon_manager</w:t>
            </w:r>
          </w:p>
        </w:tc>
        <w:tc>
          <w:tcPr>
            <w:tcW w:type="dxa" w:w="732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Persistent background processes, scheduling, auto-restart logic</w:t>
            </w:r>
          </w:p>
        </w:tc>
      </w:tr>
    </w:tbl>
    <w:p>
      <w:pPr>
        <w:pStyle w:val="Heading2"/>
      </w:pPr>
      <w:r>
        <w:t xml:space="preserve">4.3  STRIDE Threat Model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Threat</w:t>
            </w:r>
          </w:p>
        </w:tc>
        <w:tc>
          <w:tcPr>
            <w:tcW w:type="dxa" w:w="36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36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Spoofing</w:t>
            </w:r>
          </w:p>
        </w:tc>
        <w:tc>
          <w:tcPr>
            <w:tcW w:type="dxa" w:w="36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Malicious packages, forged models</w:t>
            </w:r>
          </w:p>
        </w:tc>
        <w:tc>
          <w:tcPr>
            <w:tcW w:type="dxa" w:w="36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Digital signatures, package hash verification</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Tampering</w:t>
            </w:r>
          </w:p>
        </w:tc>
        <w:tc>
          <w:tcPr>
            <w:tcW w:type="dxa" w:w="36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File corruption, dependency manipulation</w:t>
            </w:r>
          </w:p>
        </w:tc>
        <w:tc>
          <w:tcPr>
            <w:tcW w:type="dxa" w:w="36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Hash validation, immutable core, logged state transitions</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Repudiation</w:t>
            </w:r>
          </w:p>
        </w:tc>
        <w:tc>
          <w:tcPr>
            <w:tcW w:type="dxa" w:w="36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Untracked execution changes</w:t>
            </w:r>
          </w:p>
        </w:tc>
        <w:tc>
          <w:tcPr>
            <w:tcW w:type="dxa" w:w="36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Event-sourced logs, commit tracking, signed operations</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Info Disclosure</w:t>
            </w:r>
          </w:p>
        </w:tc>
        <w:tc>
          <w:tcPr>
            <w:tcW w:type="dxa" w:w="36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API key leakage, prompt history</w:t>
            </w:r>
          </w:p>
        </w:tc>
        <w:tc>
          <w:tcPr>
            <w:tcW w:type="dxa" w:w="36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Encrypted vault, scoped access, optional memory redaction</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Denial of Service</w:t>
            </w:r>
          </w:p>
        </w:tc>
        <w:tc>
          <w:tcPr>
            <w:tcW w:type="dxa" w:w="36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Runaway agents, memory exhaustion</w:t>
            </w:r>
          </w:p>
        </w:tc>
        <w:tc>
          <w:tcPr>
            <w:tcW w:type="dxa" w:w="36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Resource quotas, iteration caps, auto-termination</w:t>
            </w:r>
          </w:p>
        </w:tc>
      </w:tr>
      <w:tr>
        <w:tc>
          <w:tcPr>
            <w:tcW w:type="dxa" w:w="2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A1A1A"/>
                <w:sz w:val="19"/>
                <w:szCs w:val="19"/>
              </w:rPr>
              <w:t xml:space="preserve">Privilege Escalation</w:t>
            </w:r>
          </w:p>
        </w:tc>
        <w:tc>
          <w:tcPr>
            <w:tcW w:type="dxa" w:w="36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Runtime sandbox escape</w:t>
            </w:r>
          </w:p>
        </w:tc>
        <w:tc>
          <w:tcPr>
            <w:tcW w:type="dxa" w:w="36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Sandboxed execution, file permission boundaries, no implicit inheritance</w:t>
            </w:r>
          </w:p>
        </w:tc>
      </w:tr>
    </w:tbl>
    <w:p>
      <w:r>
        <w:br w:type="page"/>
      </w:r>
    </w:p>
    <w:p>
      <w:pPr>
        <w:pStyle w:val="Heading1"/>
      </w:pPr>
      <w:r>
        <w:t xml:space="preserve">Section 5: Complete Document Inventory</w:t>
      </w:r>
    </w:p>
    <w:p>
      <w:pPr>
        <w:spacing w:after="200" w:line="300"/>
      </w:pPr>
      <w:r>
        <w:rPr>
          <w:rFonts w:ascii="Arial" w:cs="Arial" w:eastAsia="Arial" w:hAnsi="Arial"/>
          <w:color w:val="1A1A1A"/>
          <w:sz w:val="21"/>
          <w:szCs w:val="21"/>
        </w:rPr>
        <w:t xml:space="preserve">Full inventory of all project files, categorized by subsystem affiliation and role.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0"/>
        <w:gridCol w:w="2360"/>
        <w:gridCol w:w="3360"/>
      </w:tblGrid>
      <w:tr>
        <w:tc>
          <w:tcPr>
            <w:tcW w:type="dxa" w:w="40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Filename</w:t>
            </w:r>
          </w:p>
        </w:tc>
        <w:tc>
          <w:tcPr>
            <w:tcW w:type="dxa" w:w="23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canvas_codex_sovereign_local_ai_operating_environment.md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Sovereign AI</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Architecture Spec</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canvas_codex_local_autonomous_ai_stack_strategic_positioning.md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Sovereign AI</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Implementation Guide + Strategy</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canvas_codex_sovereign_ai_environment_phase_i_engineering_specification.md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Sovereign AI</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Engineering Specification</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canvas_codex_sovereign_ai_environment_phase_i_eexpansion_formalization_2.md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Sovereign AI</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Implementation Spec + Governance</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MaybeOS_1.txt</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EiOS / MaybeOS</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Software Stack + Computing Equiv</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MaybeOS_1_EidosSystem_Reup_2-12-26.txt</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EiOS / MaybeOS</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Master Systems Reup</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MaybeOS_Snake_1.md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EiOS / MaybeOS</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Snake-Agent Processor Concept</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codex_eidoneura_system.md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Eidoneura</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Cognitive Template System</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eidoneura_eidouron_codex_addendum.md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Eidoneura</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Specialized Instantiation</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HUB_Documentation_1.md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HUB System</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Orchestrator Specification</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HUBsystem.txt</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HUB System</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System Definition</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RUNIC_COMPLETE_DOCUMENTATION.md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Runic</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Complete RTPS Documentation</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runic_compiler.py</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Runic</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Python Compiler Implementation</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admathRune_documentation_1.md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Runic</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adMathRune Documentation</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DataPic_Subsystem_Build_Gameplan.md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DataPic</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Build Specification v1.0</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datapic_encoder.py</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DataPic</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Encoder Implementation</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datapic_decoder.py</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DataPic</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Decoder Implementation</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datapic_demonstration.py</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DataPic</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Demo Script</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README.md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DataPic</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Project README</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QRe_System.txt</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QRenCode</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System Specification</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QRe_Reup_Summary.txt</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QRenCode</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Reup Summary</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QRen_Coder_Build_Gameplan-1.md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QRenCode</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Build Gameplan</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qren_code_iso_bios_layer_codex_qren_bl.md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QRenCode</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ISO/BIOS Layer Codex</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downloaded_ram_codex_insight.md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dRAM</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Codex Insight</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downloaded_ram_optimization_companion.md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dRAM</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Optimization Companion</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codex_ram_cache.md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dRAM</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RAM Cache Spec</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dRAM_Stage1_1.txt</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dRAM</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Stage 1 Part 1</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dRAM_Stage1_2.txt</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dRAM</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Stage 1 Part 2</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dRAM_Stage1_3_Summary1_1.txt</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dRAM</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Stage 1 Summary</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dRAM_Stage1_4_paperCPU1_1.txt</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dRAM</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paperCPU Spec</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dRAM_Stage1_5_paperProcessor1_1.txt</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dRAM</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paperProcessor Spec</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dRAM_Stage1_6_paperGPU1.txt</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dRAM</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paperGPU Spec</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full_stack_neuron_ai.md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Full-Stack AI</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Architecture Spec</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full_stack_neuron_ai_system.md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Full-Stack AI</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System Spec</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enhanced_full_stack_neuron_ai.md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Full-Stack AI</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Enhanced Spec</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stacked_vi_ai_architecture.md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Stacked VI</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Architecture Codex</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stacked_vi_linear_ai_codex.md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Stacked VI</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Linear AI Codex</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stacked_vi_linear_ai_codex_1_.md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Stacked VI</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Linear AI Codex (cont.)</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cep_master_codex_reup.md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CEP</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Master Codex Reup</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cep_codex_reup_fullthread.md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CEP</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Full Thread Reup</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cep_master_codex_reup_1_.md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CEP</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Master Codex Reup (cont.)</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conceptual_engineering_program_standalone_code_conversion_system.md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CEP</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Code Conversion System</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conceptual_engineering_program_standalone_code_conversion_system_addendum_1.md</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CEP</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Code Conversion Addendum</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adhd_cognition_companion.md</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Companion</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Cognition Companion Spec</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codex_omega_sandbox.py</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CodeOmega</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Sandbox Implementation</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foundation.py</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CodeOmega</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Foundation Module</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layer1_data.py</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CodeOmega</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Layer 1 Data Module</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layers234.py</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CodeOmega</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Layers 2-3-4 Module</w:t>
            </w:r>
          </w:p>
        </w:tc>
      </w:tr>
      <w:tr>
        <w:tc>
          <w:tcPr>
            <w:tcW w:type="dxa" w:w="4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main.py</w:t>
            </w:r>
          </w:p>
        </w:tc>
        <w:tc>
          <w:tcPr>
            <w:tcW w:type="dxa" w:w="2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CodeOmega</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Main Entry Point</w:t>
            </w:r>
          </w:p>
        </w:tc>
      </w:tr>
      <w:tr>
        <w:tc>
          <w:tcPr>
            <w:tcW w:type="dxa" w:w="400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6"/>
                <w:szCs w:val="16"/>
              </w:rPr>
              <w:t xml:space="preserve">ML_Filesystem_v18_Complete_Documentation.pdf</w:t>
            </w:r>
          </w:p>
        </w:tc>
        <w:tc>
          <w:tcPr>
            <w:tcW w:type="dxa" w:w="2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bCs/>
                <w:i w:val="false"/>
                <w:iCs w:val="false"/>
                <w:color w:val="1A1A1A"/>
                <w:sz w:val="17"/>
                <w:szCs w:val="17"/>
              </w:rPr>
              <w:t xml:space="preserve">ML-Filesystem</w:t>
            </w:r>
          </w:p>
        </w:tc>
        <w:tc>
          <w:tcPr>
            <w:tcW w:type="dxa" w:w="3360"/>
            <w:tcBorders>
              <w:top w:val="single" w:color="D0D6E0" w:sz="1"/>
              <w:left w:val="single" w:color="D0D6E0" w:sz="1"/>
              <w:bottom w:val="single" w:color="D0D6E0" w:sz="1"/>
              <w:right w:val="single" w:color="D0D6E0" w:sz="1"/>
            </w:tcBorders>
            <w:shd w:fill="F4F6FA" w:val="clear"/>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7"/>
                <w:szCs w:val="17"/>
              </w:rPr>
              <w:t xml:space="preserve">Complete v18 Documentation</w:t>
            </w:r>
          </w:p>
        </w:tc>
      </w:tr>
    </w:tbl>
    <w:p>
      <w:r>
        <w:br w:type="page"/>
      </w:r>
    </w:p>
    <w:p>
      <w:pPr>
        <w:pStyle w:val="Heading1"/>
      </w:pPr>
      <w:r>
        <w:t xml:space="preserve">Changelog</w:t>
      </w:r>
    </w:p>
    <w:p>
      <w:pPr>
        <w:spacing w:after="200" w:line="300"/>
      </w:pPr>
      <w:r>
        <w:rPr>
          <w:rFonts w:ascii="Arial" w:cs="Arial" w:eastAsia="Arial" w:hAnsi="Arial"/>
          <w:color w:val="1A1A1A"/>
          <w:sz w:val="21"/>
          <w:szCs w:val="21"/>
        </w:rPr>
        <w:t xml:space="preserve">All modifications to this document are recorded here with tag, date, description, and rationale.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360"/>
        <w:gridCol w:w="3360"/>
      </w:tblGrid>
      <w:tr>
        <w:tc>
          <w:tcPr>
            <w:tcW w:type="dxa" w:w="14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Tag</w:t>
            </w:r>
          </w:p>
        </w:tc>
        <w:tc>
          <w:tcPr>
            <w:tcW w:type="dxa" w:w="160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33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360"/>
            <w:tcBorders>
              <w:top w:val="single" w:color="D0D6E0" w:sz="1"/>
              <w:left w:val="single" w:color="D0D6E0" w:sz="1"/>
              <w:bottom w:val="single" w:color="D0D6E0" w:sz="1"/>
              <w:right w:val="single" w:color="D0D6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14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bCs/>
                <w:i w:val="false"/>
                <w:iCs w:val="false"/>
                <w:color w:val="155724"/>
                <w:sz w:val="19"/>
                <w:szCs w:val="19"/>
              </w:rPr>
              <w:t xml:space="preserve">[INITIAL]</w:t>
            </w:r>
          </w:p>
        </w:tc>
        <w:tc>
          <w:tcPr>
            <w:tcW w:type="dxa" w:w="160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2026-02-20</w:t>
            </w:r>
          </w:p>
        </w:tc>
        <w:tc>
          <w:tcPr>
            <w:tcW w:type="dxa" w:w="33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Complete initial indexing pass of all Sovereign AI Environment documentation (4 primary documents) plus full inventory of 49 pertinent project files across 12 subsystem categories.</w:t>
            </w:r>
          </w:p>
        </w:tc>
        <w:tc>
          <w:tcPr>
            <w:tcW w:type="dxa" w:w="3360"/>
            <w:tcBorders>
              <w:top w:val="single" w:color="D0D6E0" w:sz="1"/>
              <w:left w:val="single" w:color="D0D6E0" w:sz="1"/>
              <w:bottom w:val="single" w:color="D0D6E0" w:sz="1"/>
              <w:right w:val="single" w:color="D0D6E0" w:sz="1"/>
            </w:tcBorders>
            <w:tcMar>
              <w:top w:type="dxa" w:w="80"/>
              <w:left w:type="dxa" w:w="120"/>
              <w:bottom w:type="dxa" w:w="80"/>
              <w:right w:type="dxa" w:w="120"/>
            </w:tcMar>
          </w:tcPr>
          <w:p>
            <w:pPr>
              <w:spacing w:line="276"/>
              <w:jc w:val="left"/>
            </w:pPr>
            <w:r>
              <w:rPr>
                <w:rFonts w:ascii="Arial" w:cs="Arial" w:eastAsia="Arial" w:hAnsi="Arial"/>
                <w:b w:val="false"/>
                <w:bCs w:val="false"/>
                <w:i w:val="false"/>
                <w:iCs w:val="false"/>
                <w:color w:val="1A1A1A"/>
                <w:sz w:val="19"/>
                <w:szCs w:val="19"/>
              </w:rPr>
              <w:t xml:space="preserve">Establishes the master index as a living reference document. Enables structured future additions, error corrections, and deprecations with full traceability. Streamlines subsequent analysis stages by providing a single navigable index of the entire documentation corpus.</w:t>
            </w:r>
          </w:p>
        </w:tc>
      </w:tr>
    </w:tbl>
    <w:p>
      <w:pPr>
        <w:spacing w:before="600"/>
      </w:pPr>
    </w:p>
    <w:p>
      <w:pPr>
        <w:pBdr>
          <w:top w:val="single" w:color="C8A23D" w:sz="2" w:space="8"/>
        </w:pBdr>
        <w:spacing w:before="200" w:after="200"/>
        <w:jc w:val="center"/>
      </w:pPr>
      <w:r>
        <w:rPr>
          <w:rFonts w:ascii="Arial" w:cs="Arial" w:eastAsia="Arial" w:hAnsi="Arial"/>
          <w:i/>
          <w:iCs/>
          <w:color w:val="6A6A6A"/>
          <w:sz w:val="20"/>
          <w:szCs w:val="20"/>
        </w:rPr>
        <w:t xml:space="preserve">End of Document — [INITIAL] Pass Complete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6E0" w:sz="2" w:space="4"/>
      </w:pBdr>
      <w:jc w:val="center"/>
    </w:pPr>
    <w:r>
      <w:rPr>
        <w:rFonts w:ascii="Arial" w:cs="Arial" w:eastAsia="Arial" w:hAnsi="Arial"/>
        <w:color w:val="6A6A6A"/>
        <w:sz w:val="16"/>
        <w:szCs w:val="16"/>
      </w:rPr>
      <w:t xml:space="preserve">Confidential — Shibbieness — Page </w:t>
    </w:r>
    <w:r>
      <w:rPr>
        <w:rFonts w:ascii="Arial" w:cs="Arial" w:eastAsia="Arial" w:hAnsi="Arial"/>
        <w:color w:val="6A6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b/>
        <w:bCs/>
        <w:color w:val="2E5090"/>
        <w:sz w:val="18"/>
        <w:szCs w:val="18"/>
      </w:rPr>
      <w:t xml:space="preserve">EIDOS SYSTEM — Sovereign AI Environment</w:t>
    </w:r>
    <w:r>
      <w:rPr>
        <w:rFonts w:ascii="Arial" w:cs="Arial" w:eastAsia="Arial" w:hAnsi="Arial"/>
        <w:color w:val="6A6A6A"/>
        <w:sz w:val="16"/>
        <w:szCs w:val="16"/>
      </w:rPr>
      <w:t xml:space="preserve">	Master Index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7BC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2026-02-20T16:27:27.508Z</dcterms:created>
  <dcterms:modified xsi:type="dcterms:W3CDTF">2026-02-20T16:27:27.509Z</dcterms:modified>
</cp:coreProperties>
</file>

<file path=docProps/custom.xml><?xml version="1.0" encoding="utf-8"?>
<Properties xmlns="http://schemas.openxmlformats.org/officeDocument/2006/custom-properties" xmlns:vt="http://schemas.openxmlformats.org/officeDocument/2006/docPropsVTypes"/>
</file>