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Analysis Report – Autoencoders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Betty Han: 301202325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Shibo Wang: 301200419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autoencoder was defined as following: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02301" cy="2671515"/>
            <wp:effectExtent b="0" l="0" r="0" t="0"/>
            <wp:docPr descr="A screenshot of a computer program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301" cy="267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Fine tune hyperparameters include: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hidden_units_1_values = [128, 256]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hidden_units_2_values = [64, 128]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hidden_units_3_values = [32, 64]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learning_rates = [0.001, 0.01]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l2_regs = [0.0001, 0.001]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Best Parameters: (256, 64, 64, 0.01, 0.0001)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Loss: 0.3390536308288574.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suggests that the autoencoder is performing reasonably well in reconstructing the images, but there may still be room for improvement.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original image and the reconstructed image: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1204595"/>
            <wp:effectExtent b="0" l="0" r="0" t="0"/>
            <wp:docPr descr="A collage of a person's face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A collage of a person's face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Rationale with respect to the activation functions and loss function used: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ReLU was used in the encoder layer of the autoencoder – ReLU allows the model to learn complex patterns in the data and is essential for capturing complex features of the images. ReLU’s output zero for negative input leads to a sparse representation, which helps reduce overfitting and improve model generalization. Lastly, ReLU is computationally efficient compared to other activation functions.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Sigmoid was used in the output layer of the autoencoder – its output (0,1) is suitable for pixel values and ensures the reconstructed images maintain a similar scale to the input images.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Mean Squared Error (MSE) was used for training the autoencoder – MSE measures the average squared differences between the actual pixel values and predicted pixel values, which evaluates the quality of the reconstruction. Moreover, it is beneficial for gradient-based optimization (Adam) and helps in achieving better convergence during training.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CA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