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537" w:rsidRDefault="00267A0A" w:rsidP="007F76B4">
      <w:pPr>
        <w:jc w:val="center"/>
        <w:rPr>
          <w:rFonts w:ascii="Arial" w:hAnsi="Arial" w:cs="Arial"/>
          <w:b/>
          <w:sz w:val="22"/>
          <w:szCs w:val="22"/>
        </w:rPr>
      </w:pPr>
      <w:r w:rsidRPr="00267A0A">
        <w:rPr>
          <w:rFonts w:ascii="Arial" w:hAnsi="Arial" w:cs="Arial"/>
          <w:b/>
          <w:sz w:val="22"/>
          <w:szCs w:val="22"/>
        </w:rPr>
        <w:t>RESEARCH STRATEGY</w:t>
      </w:r>
    </w:p>
    <w:p w:rsidR="00267A0A" w:rsidRPr="00267A0A" w:rsidRDefault="00267A0A" w:rsidP="007F76B4">
      <w:pPr>
        <w:pStyle w:val="ListParagraph"/>
        <w:numPr>
          <w:ilvl w:val="0"/>
          <w:numId w:val="6"/>
        </w:numPr>
        <w:jc w:val="both"/>
        <w:rPr>
          <w:rFonts w:ascii="Arial" w:hAnsi="Arial" w:cs="Arial"/>
          <w:b/>
          <w:sz w:val="22"/>
          <w:szCs w:val="22"/>
        </w:rPr>
      </w:pPr>
      <w:r w:rsidRPr="00267A0A">
        <w:rPr>
          <w:rFonts w:ascii="Arial" w:hAnsi="Arial" w:cs="Arial"/>
          <w:b/>
          <w:sz w:val="22"/>
          <w:szCs w:val="22"/>
        </w:rPr>
        <w:t>SIGNIFICANCE</w:t>
      </w:r>
    </w:p>
    <w:p w:rsidR="00BB6EB3" w:rsidRDefault="00592232" w:rsidP="007F76B4">
      <w:pPr>
        <w:jc w:val="both"/>
        <w:rPr>
          <w:rFonts w:ascii="Arial" w:hAnsi="Arial" w:cs="Arial"/>
          <w:sz w:val="22"/>
          <w:szCs w:val="22"/>
        </w:rPr>
      </w:pPr>
      <w:r>
        <w:rPr>
          <w:rFonts w:ascii="Arial" w:hAnsi="Arial" w:cs="Arial"/>
          <w:sz w:val="22"/>
          <w:szCs w:val="22"/>
        </w:rPr>
        <w:t>Molecular-based e</w:t>
      </w:r>
      <w:r w:rsidR="003177E3" w:rsidRPr="003177E3">
        <w:rPr>
          <w:rFonts w:ascii="Arial" w:hAnsi="Arial" w:cs="Arial"/>
          <w:sz w:val="22"/>
          <w:szCs w:val="22"/>
        </w:rPr>
        <w:t xml:space="preserve">arly </w:t>
      </w:r>
      <w:r w:rsidR="003177E3">
        <w:rPr>
          <w:rFonts w:ascii="Arial" w:hAnsi="Arial" w:cs="Arial"/>
          <w:sz w:val="22"/>
          <w:szCs w:val="22"/>
        </w:rPr>
        <w:t xml:space="preserve">prediction of complex diseases is a major goal of medical research as it both provides an avenue to curtail pathologies through </w:t>
      </w:r>
      <w:r>
        <w:rPr>
          <w:rFonts w:ascii="Arial" w:hAnsi="Arial" w:cs="Arial"/>
          <w:sz w:val="22"/>
          <w:szCs w:val="22"/>
        </w:rPr>
        <w:t xml:space="preserve">timely </w:t>
      </w:r>
      <w:r w:rsidR="003177E3">
        <w:rPr>
          <w:rFonts w:ascii="Arial" w:hAnsi="Arial" w:cs="Arial"/>
          <w:sz w:val="22"/>
          <w:szCs w:val="22"/>
        </w:rPr>
        <w:t xml:space="preserve">interventions and may elucidate underlying </w:t>
      </w:r>
      <w:r w:rsidR="000D7F10">
        <w:rPr>
          <w:rFonts w:ascii="Arial" w:hAnsi="Arial" w:cs="Arial"/>
          <w:sz w:val="22"/>
          <w:szCs w:val="22"/>
        </w:rPr>
        <w:t>disease mechanisms</w:t>
      </w:r>
      <w:r w:rsidR="003177E3">
        <w:rPr>
          <w:rFonts w:ascii="Arial" w:hAnsi="Arial" w:cs="Arial"/>
          <w:sz w:val="22"/>
          <w:szCs w:val="22"/>
        </w:rPr>
        <w:t>.</w:t>
      </w:r>
      <w:r>
        <w:rPr>
          <w:rFonts w:ascii="Arial" w:hAnsi="Arial" w:cs="Arial"/>
          <w:sz w:val="22"/>
          <w:szCs w:val="22"/>
        </w:rPr>
        <w:t xml:space="preserve"> Numerous studies have </w:t>
      </w:r>
      <w:r w:rsidR="007F76B4">
        <w:rPr>
          <w:rFonts w:ascii="Arial" w:hAnsi="Arial" w:cs="Arial"/>
          <w:sz w:val="22"/>
          <w:szCs w:val="22"/>
        </w:rPr>
        <w:t xml:space="preserve">demonstrated beneficial alterations of disease trajectories with early medical interventions in </w:t>
      </w:r>
      <w:r w:rsidR="00D8051F">
        <w:rPr>
          <w:rFonts w:ascii="Arial" w:hAnsi="Arial" w:cs="Arial"/>
          <w:sz w:val="22"/>
          <w:szCs w:val="22"/>
        </w:rPr>
        <w:t>diseases such as systemic inflammatory conditions</w:t>
      </w:r>
      <w:r w:rsidR="007F76B4" w:rsidRPr="00D8051F">
        <w:rPr>
          <w:rFonts w:ascii="Arial" w:hAnsi="Arial" w:cs="Arial"/>
          <w:sz w:val="22"/>
          <w:szCs w:val="22"/>
          <w:vertAlign w:val="superscript"/>
        </w:rPr>
        <w:t>1-5</w:t>
      </w:r>
      <w:r w:rsidR="007F76B4">
        <w:rPr>
          <w:rFonts w:ascii="Arial" w:hAnsi="Arial" w:cs="Arial"/>
          <w:sz w:val="22"/>
          <w:szCs w:val="22"/>
        </w:rPr>
        <w:t>, diabetes</w:t>
      </w:r>
      <w:r w:rsidR="007F76B4" w:rsidRPr="00D8051F">
        <w:rPr>
          <w:rFonts w:ascii="Arial" w:hAnsi="Arial" w:cs="Arial"/>
          <w:sz w:val="22"/>
          <w:szCs w:val="22"/>
          <w:vertAlign w:val="superscript"/>
        </w:rPr>
        <w:t>6-7</w:t>
      </w:r>
      <w:r w:rsidR="007F76B4">
        <w:rPr>
          <w:rFonts w:ascii="Arial" w:hAnsi="Arial" w:cs="Arial"/>
          <w:sz w:val="22"/>
          <w:szCs w:val="22"/>
        </w:rPr>
        <w:t xml:space="preserve">, </w:t>
      </w:r>
      <w:r w:rsidR="007B3725">
        <w:rPr>
          <w:rFonts w:ascii="Arial" w:hAnsi="Arial" w:cs="Arial"/>
          <w:sz w:val="22"/>
          <w:szCs w:val="22"/>
        </w:rPr>
        <w:t>cancers</w:t>
      </w:r>
      <w:r w:rsidR="007B3725" w:rsidRPr="00D8051F">
        <w:rPr>
          <w:rFonts w:ascii="Arial" w:hAnsi="Arial" w:cs="Arial"/>
          <w:sz w:val="22"/>
          <w:szCs w:val="22"/>
          <w:vertAlign w:val="superscript"/>
        </w:rPr>
        <w:t>8-10</w:t>
      </w:r>
      <w:r w:rsidR="007B3725">
        <w:rPr>
          <w:rFonts w:ascii="Arial" w:hAnsi="Arial" w:cs="Arial"/>
          <w:sz w:val="22"/>
          <w:szCs w:val="22"/>
        </w:rPr>
        <w:t xml:space="preserve">, </w:t>
      </w:r>
      <w:r w:rsidR="007F76B4">
        <w:rPr>
          <w:rFonts w:ascii="Arial" w:hAnsi="Arial" w:cs="Arial"/>
          <w:sz w:val="22"/>
          <w:szCs w:val="22"/>
        </w:rPr>
        <w:t>cardiovascular disease</w:t>
      </w:r>
      <w:r w:rsidR="007B3725" w:rsidRPr="00D8051F">
        <w:rPr>
          <w:rFonts w:ascii="Arial" w:hAnsi="Arial" w:cs="Arial"/>
          <w:sz w:val="22"/>
          <w:szCs w:val="22"/>
          <w:vertAlign w:val="superscript"/>
        </w:rPr>
        <w:t>11-13</w:t>
      </w:r>
      <w:r w:rsidR="007F76B4">
        <w:rPr>
          <w:rFonts w:ascii="Arial" w:hAnsi="Arial" w:cs="Arial"/>
          <w:sz w:val="22"/>
          <w:szCs w:val="22"/>
        </w:rPr>
        <w:t>,</w:t>
      </w:r>
      <w:r w:rsidR="007B3725">
        <w:rPr>
          <w:rFonts w:ascii="Arial" w:hAnsi="Arial" w:cs="Arial"/>
          <w:sz w:val="22"/>
          <w:szCs w:val="22"/>
        </w:rPr>
        <w:t xml:space="preserve"> and obesity</w:t>
      </w:r>
      <w:r w:rsidR="00D8051F">
        <w:rPr>
          <w:rFonts w:ascii="Arial" w:hAnsi="Arial" w:cs="Arial"/>
          <w:sz w:val="22"/>
          <w:szCs w:val="22"/>
        </w:rPr>
        <w:t>.</w:t>
      </w:r>
      <w:r w:rsidR="007B3725" w:rsidRPr="00D8051F">
        <w:rPr>
          <w:rFonts w:ascii="Arial" w:hAnsi="Arial" w:cs="Arial"/>
          <w:sz w:val="22"/>
          <w:szCs w:val="22"/>
          <w:vertAlign w:val="superscript"/>
        </w:rPr>
        <w:t>14-16</w:t>
      </w:r>
      <w:r w:rsidR="007F76B4">
        <w:rPr>
          <w:rFonts w:ascii="Arial" w:hAnsi="Arial" w:cs="Arial"/>
          <w:sz w:val="22"/>
          <w:szCs w:val="22"/>
        </w:rPr>
        <w:t xml:space="preserve"> The use of </w:t>
      </w:r>
      <w:r w:rsidR="007B3725">
        <w:rPr>
          <w:rFonts w:ascii="Arial" w:hAnsi="Arial" w:cs="Arial"/>
          <w:sz w:val="22"/>
          <w:szCs w:val="22"/>
        </w:rPr>
        <w:t>biomarkers, such as genetic variants</w:t>
      </w:r>
      <w:r w:rsidR="007F76B4">
        <w:rPr>
          <w:rFonts w:ascii="Arial" w:hAnsi="Arial" w:cs="Arial"/>
          <w:sz w:val="22"/>
          <w:szCs w:val="22"/>
        </w:rPr>
        <w:t xml:space="preserve">, circulating </w:t>
      </w:r>
      <w:r w:rsidR="007B3725">
        <w:rPr>
          <w:rFonts w:ascii="Arial" w:hAnsi="Arial" w:cs="Arial"/>
          <w:sz w:val="22"/>
          <w:szCs w:val="22"/>
        </w:rPr>
        <w:t xml:space="preserve">cytokines, </w:t>
      </w:r>
      <w:r w:rsidR="007F76B4">
        <w:rPr>
          <w:rFonts w:ascii="Arial" w:hAnsi="Arial" w:cs="Arial"/>
          <w:sz w:val="22"/>
          <w:szCs w:val="22"/>
        </w:rPr>
        <w:t xml:space="preserve">metabolic </w:t>
      </w:r>
      <w:r w:rsidR="007B3725">
        <w:rPr>
          <w:rFonts w:ascii="Arial" w:hAnsi="Arial" w:cs="Arial"/>
          <w:sz w:val="22"/>
          <w:szCs w:val="22"/>
        </w:rPr>
        <w:t>markers</w:t>
      </w:r>
      <w:r w:rsidR="007F76B4">
        <w:rPr>
          <w:rFonts w:ascii="Arial" w:hAnsi="Arial" w:cs="Arial"/>
          <w:sz w:val="22"/>
          <w:szCs w:val="22"/>
        </w:rPr>
        <w:t>, and</w:t>
      </w:r>
      <w:r w:rsidR="007B3725">
        <w:rPr>
          <w:rFonts w:ascii="Arial" w:hAnsi="Arial" w:cs="Arial"/>
          <w:sz w:val="22"/>
          <w:szCs w:val="22"/>
        </w:rPr>
        <w:t xml:space="preserve"> antibodies to pathogens, </w:t>
      </w:r>
      <w:r w:rsidR="00D8051F">
        <w:rPr>
          <w:rFonts w:ascii="Arial" w:hAnsi="Arial" w:cs="Arial"/>
          <w:sz w:val="22"/>
          <w:szCs w:val="22"/>
        </w:rPr>
        <w:t xml:space="preserve">has shown increasing utility for </w:t>
      </w:r>
      <w:r w:rsidR="00226E80">
        <w:rPr>
          <w:rFonts w:ascii="Arial" w:hAnsi="Arial" w:cs="Arial"/>
          <w:sz w:val="22"/>
          <w:szCs w:val="22"/>
        </w:rPr>
        <w:t>disease prediction and prognosis</w:t>
      </w:r>
      <w:r w:rsidR="007B3725">
        <w:rPr>
          <w:rFonts w:ascii="Arial" w:hAnsi="Arial" w:cs="Arial"/>
          <w:sz w:val="22"/>
          <w:szCs w:val="22"/>
        </w:rPr>
        <w:t>.</w:t>
      </w:r>
      <w:r w:rsidR="007B3725" w:rsidRPr="00D8051F">
        <w:rPr>
          <w:rFonts w:ascii="Arial" w:hAnsi="Arial" w:cs="Arial"/>
          <w:sz w:val="22"/>
          <w:szCs w:val="22"/>
          <w:vertAlign w:val="superscript"/>
        </w:rPr>
        <w:t>17-20</w:t>
      </w:r>
      <w:r w:rsidR="00FF736B">
        <w:rPr>
          <w:rFonts w:ascii="Arial" w:hAnsi="Arial" w:cs="Arial"/>
          <w:sz w:val="22"/>
          <w:szCs w:val="22"/>
        </w:rPr>
        <w:t xml:space="preserve"> Further</w:t>
      </w:r>
      <w:r w:rsidR="00F25A84">
        <w:rPr>
          <w:rFonts w:ascii="Arial" w:hAnsi="Arial" w:cs="Arial"/>
          <w:sz w:val="22"/>
          <w:szCs w:val="22"/>
        </w:rPr>
        <w:t>more</w:t>
      </w:r>
      <w:r w:rsidR="00FF736B">
        <w:rPr>
          <w:rFonts w:ascii="Arial" w:hAnsi="Arial" w:cs="Arial"/>
          <w:sz w:val="22"/>
          <w:szCs w:val="22"/>
        </w:rPr>
        <w:t xml:space="preserve">, careful examination of predictive sets of molecular biomarkers can highlight underlying perturbations in critical pathways involved in pathogenesis. </w:t>
      </w:r>
    </w:p>
    <w:p w:rsidR="00196262" w:rsidRPr="003E62C7" w:rsidRDefault="00226E80" w:rsidP="003E62C7">
      <w:pPr>
        <w:ind w:firstLine="720"/>
        <w:jc w:val="both"/>
        <w:rPr>
          <w:rFonts w:ascii="Arial" w:hAnsi="Arial" w:cs="Arial"/>
          <w:sz w:val="22"/>
          <w:szCs w:val="22"/>
        </w:rPr>
      </w:pPr>
      <w:r>
        <w:rPr>
          <w:rFonts w:ascii="Arial" w:hAnsi="Arial" w:cs="Arial"/>
          <w:sz w:val="22"/>
          <w:szCs w:val="22"/>
        </w:rPr>
        <w:t xml:space="preserve">The overarching goal of this study is to </w:t>
      </w:r>
      <w:r w:rsidR="008C6124">
        <w:rPr>
          <w:rFonts w:ascii="Arial" w:hAnsi="Arial" w:cs="Arial"/>
          <w:sz w:val="22"/>
          <w:szCs w:val="22"/>
        </w:rPr>
        <w:t xml:space="preserve">use powerful machine learning techniques to create predictive models for eight common diseases using </w:t>
      </w:r>
      <w:r w:rsidR="003E62C7">
        <w:rPr>
          <w:rFonts w:ascii="Arial" w:hAnsi="Arial" w:cs="Arial"/>
          <w:sz w:val="22"/>
          <w:szCs w:val="22"/>
        </w:rPr>
        <w:t xml:space="preserve">a combination of </w:t>
      </w:r>
      <w:r w:rsidR="00174AC2">
        <w:rPr>
          <w:rFonts w:ascii="Arial" w:hAnsi="Arial" w:cs="Arial"/>
          <w:sz w:val="22"/>
          <w:szCs w:val="22"/>
        </w:rPr>
        <w:t xml:space="preserve">exome </w:t>
      </w:r>
      <w:r w:rsidR="00BB6EB3">
        <w:rPr>
          <w:rFonts w:ascii="Arial" w:hAnsi="Arial" w:cs="Arial"/>
          <w:sz w:val="22"/>
          <w:szCs w:val="22"/>
        </w:rPr>
        <w:t xml:space="preserve">data, circulating cytokines, metabolic markers, and </w:t>
      </w:r>
      <w:r w:rsidR="00CA40A9">
        <w:rPr>
          <w:rFonts w:ascii="Arial" w:hAnsi="Arial" w:cs="Arial"/>
          <w:sz w:val="22"/>
          <w:szCs w:val="22"/>
        </w:rPr>
        <w:t xml:space="preserve">endogenous </w:t>
      </w:r>
      <w:r w:rsidR="00BB6EB3">
        <w:rPr>
          <w:rFonts w:ascii="Arial" w:hAnsi="Arial" w:cs="Arial"/>
          <w:sz w:val="22"/>
          <w:szCs w:val="22"/>
        </w:rPr>
        <w:t>antibodies to selected epitopes</w:t>
      </w:r>
      <w:r w:rsidR="00CA40A9">
        <w:rPr>
          <w:rFonts w:ascii="Arial" w:hAnsi="Arial" w:cs="Arial"/>
          <w:sz w:val="22"/>
          <w:szCs w:val="22"/>
        </w:rPr>
        <w:t xml:space="preserve"> </w:t>
      </w:r>
      <w:r w:rsidR="00A91A8B">
        <w:rPr>
          <w:rFonts w:ascii="Arial" w:hAnsi="Arial" w:cs="Arial"/>
          <w:sz w:val="22"/>
          <w:szCs w:val="22"/>
        </w:rPr>
        <w:t>(for two</w:t>
      </w:r>
      <w:r w:rsidR="002A764D">
        <w:rPr>
          <w:rFonts w:ascii="Arial" w:hAnsi="Arial" w:cs="Arial"/>
          <w:sz w:val="22"/>
          <w:szCs w:val="22"/>
        </w:rPr>
        <w:t xml:space="preserve"> diseases)</w:t>
      </w:r>
      <w:r w:rsidR="00BB6EB3">
        <w:rPr>
          <w:rFonts w:ascii="Arial" w:hAnsi="Arial" w:cs="Arial"/>
          <w:sz w:val="22"/>
          <w:szCs w:val="22"/>
        </w:rPr>
        <w:t xml:space="preserve">. </w:t>
      </w:r>
      <w:r w:rsidR="00CA40A9">
        <w:rPr>
          <w:rFonts w:ascii="Arial" w:hAnsi="Arial" w:cs="Arial"/>
          <w:sz w:val="22"/>
          <w:szCs w:val="22"/>
        </w:rPr>
        <w:t xml:space="preserve">Our </w:t>
      </w:r>
      <w:r w:rsidR="000A666F">
        <w:rPr>
          <w:rFonts w:ascii="Arial" w:hAnsi="Arial" w:cs="Arial"/>
          <w:sz w:val="22"/>
          <w:szCs w:val="22"/>
        </w:rPr>
        <w:t xml:space="preserve">long-term </w:t>
      </w:r>
      <w:r w:rsidR="00CA40A9">
        <w:rPr>
          <w:rFonts w:ascii="Arial" w:hAnsi="Arial" w:cs="Arial"/>
          <w:sz w:val="22"/>
          <w:szCs w:val="22"/>
        </w:rPr>
        <w:t xml:space="preserve">aim is to </w:t>
      </w:r>
      <w:r w:rsidR="000A666F">
        <w:rPr>
          <w:rFonts w:ascii="Arial" w:hAnsi="Arial" w:cs="Arial"/>
          <w:sz w:val="22"/>
          <w:szCs w:val="22"/>
        </w:rPr>
        <w:t xml:space="preserve">produce clinically useful, molecular-based predictive models of diseases and to </w:t>
      </w:r>
      <w:r w:rsidR="00CA40A9">
        <w:rPr>
          <w:rFonts w:ascii="Arial" w:hAnsi="Arial" w:cs="Arial"/>
          <w:sz w:val="22"/>
          <w:szCs w:val="22"/>
        </w:rPr>
        <w:t xml:space="preserve">show the utility of using </w:t>
      </w:r>
      <w:r w:rsidR="000A666F">
        <w:rPr>
          <w:rFonts w:ascii="Arial" w:hAnsi="Arial" w:cs="Arial"/>
          <w:sz w:val="22"/>
          <w:szCs w:val="22"/>
        </w:rPr>
        <w:t>large biobanks linked to elect</w:t>
      </w:r>
      <w:r w:rsidR="007F2656">
        <w:rPr>
          <w:rFonts w:ascii="Arial" w:hAnsi="Arial" w:cs="Arial"/>
          <w:sz w:val="22"/>
          <w:szCs w:val="22"/>
        </w:rPr>
        <w:t>ro</w:t>
      </w:r>
      <w:r w:rsidR="000A666F">
        <w:rPr>
          <w:rFonts w:ascii="Arial" w:hAnsi="Arial" w:cs="Arial"/>
          <w:sz w:val="22"/>
          <w:szCs w:val="22"/>
        </w:rPr>
        <w:t xml:space="preserve">nic medical record information. </w:t>
      </w:r>
      <w:r w:rsidR="000D38E5">
        <w:rPr>
          <w:rFonts w:ascii="Arial" w:hAnsi="Arial" w:cs="Arial"/>
          <w:sz w:val="22"/>
          <w:szCs w:val="22"/>
        </w:rPr>
        <w:t xml:space="preserve">By screening multiple diseases in our population-based biobank, we increase the likelihood of identifying one or more diseases that exhibit excellent predictive accuracy that will serve as the basis for subsequent replication and translational investigations. </w:t>
      </w:r>
      <w:r w:rsidR="00567954">
        <w:rPr>
          <w:rFonts w:ascii="Arial" w:hAnsi="Arial" w:cs="Arial"/>
          <w:sz w:val="22"/>
          <w:szCs w:val="22"/>
        </w:rPr>
        <w:t xml:space="preserve">The exome data will capture signals from coding variants across the </w:t>
      </w:r>
      <w:proofErr w:type="gramStart"/>
      <w:r w:rsidR="00567954">
        <w:rPr>
          <w:rFonts w:ascii="Arial" w:hAnsi="Arial" w:cs="Arial"/>
          <w:sz w:val="22"/>
          <w:szCs w:val="22"/>
        </w:rPr>
        <w:t>genome that confer</w:t>
      </w:r>
      <w:proofErr w:type="gramEnd"/>
      <w:r w:rsidR="00567954">
        <w:rPr>
          <w:rFonts w:ascii="Arial" w:hAnsi="Arial" w:cs="Arial"/>
          <w:sz w:val="22"/>
          <w:szCs w:val="22"/>
        </w:rPr>
        <w:t xml:space="preserve"> increased inherited susceptibility to the diseases studied. Pivotal signaling in the immuno-metabolic axis will be measured in the circulating proteins selected. Lastly, autoantibodies representing disruption in immune tolerance and antibodies to infectious agents that may trigger pathogenesis will be interrogated in the multiplexed antigen assay. </w:t>
      </w:r>
      <w:r w:rsidR="009256D2" w:rsidRPr="009256D2">
        <w:rPr>
          <w:rFonts w:ascii="Arial" w:hAnsi="Arial" w:cs="Arial"/>
          <w:sz w:val="22"/>
          <w:szCs w:val="22"/>
        </w:rPr>
        <w:t>The diseases</w:t>
      </w:r>
      <w:r w:rsidR="009256D2">
        <w:rPr>
          <w:rFonts w:ascii="Arial" w:hAnsi="Arial" w:cs="Arial"/>
          <w:sz w:val="22"/>
          <w:szCs w:val="22"/>
        </w:rPr>
        <w:t xml:space="preserve"> interrogated in this study are: </w:t>
      </w:r>
      <w:r w:rsidR="00E566D7" w:rsidRPr="00E566D7">
        <w:rPr>
          <w:rFonts w:ascii="Arial" w:hAnsi="Arial" w:cs="Arial"/>
          <w:b/>
          <w:sz w:val="22"/>
          <w:szCs w:val="22"/>
        </w:rPr>
        <w:t>rheumatoid arthritis</w:t>
      </w:r>
      <w:r w:rsidR="00E566D7">
        <w:rPr>
          <w:rFonts w:ascii="Arial" w:hAnsi="Arial" w:cs="Arial"/>
          <w:sz w:val="22"/>
          <w:szCs w:val="22"/>
        </w:rPr>
        <w:t xml:space="preserve">, </w:t>
      </w:r>
      <w:r w:rsidR="00E566D7" w:rsidRPr="00E566D7">
        <w:rPr>
          <w:rFonts w:ascii="Arial" w:hAnsi="Arial" w:cs="Arial"/>
          <w:b/>
          <w:sz w:val="22"/>
          <w:szCs w:val="22"/>
        </w:rPr>
        <w:t xml:space="preserve">systemic </w:t>
      </w:r>
      <w:r w:rsidR="00596AA3">
        <w:rPr>
          <w:rFonts w:ascii="Arial" w:hAnsi="Arial" w:cs="Arial"/>
          <w:b/>
          <w:sz w:val="22"/>
          <w:szCs w:val="22"/>
        </w:rPr>
        <w:t>lupus erythematosus</w:t>
      </w:r>
      <w:r w:rsidR="00E566D7">
        <w:rPr>
          <w:rFonts w:ascii="Arial" w:hAnsi="Arial" w:cs="Arial"/>
          <w:sz w:val="22"/>
          <w:szCs w:val="22"/>
        </w:rPr>
        <w:t xml:space="preserve">, </w:t>
      </w:r>
      <w:r w:rsidR="00EA3734" w:rsidRPr="00EA3734">
        <w:rPr>
          <w:rFonts w:ascii="Arial" w:hAnsi="Arial" w:cs="Arial"/>
          <w:b/>
          <w:sz w:val="22"/>
          <w:szCs w:val="22"/>
        </w:rPr>
        <w:t xml:space="preserve">relapsing-remitting </w:t>
      </w:r>
      <w:r w:rsidR="00E566D7" w:rsidRPr="00EA3734">
        <w:rPr>
          <w:rFonts w:ascii="Arial" w:hAnsi="Arial" w:cs="Arial"/>
          <w:b/>
          <w:sz w:val="22"/>
          <w:szCs w:val="22"/>
        </w:rPr>
        <w:t>multiple sclerosis</w:t>
      </w:r>
      <w:r w:rsidR="00E566D7">
        <w:rPr>
          <w:rFonts w:ascii="Arial" w:hAnsi="Arial" w:cs="Arial"/>
          <w:sz w:val="22"/>
          <w:szCs w:val="22"/>
        </w:rPr>
        <w:t xml:space="preserve">, </w:t>
      </w:r>
      <w:r w:rsidR="00EA3734" w:rsidRPr="00EA3734">
        <w:rPr>
          <w:rFonts w:ascii="Arial" w:hAnsi="Arial" w:cs="Arial"/>
          <w:b/>
          <w:sz w:val="22"/>
          <w:szCs w:val="22"/>
        </w:rPr>
        <w:t>premature myocardial infarction</w:t>
      </w:r>
      <w:r w:rsidR="00EA3734">
        <w:rPr>
          <w:rFonts w:ascii="Arial" w:hAnsi="Arial" w:cs="Arial"/>
          <w:sz w:val="22"/>
          <w:szCs w:val="22"/>
        </w:rPr>
        <w:t xml:space="preserve">, </w:t>
      </w:r>
      <w:r w:rsidR="004D230C">
        <w:rPr>
          <w:rFonts w:ascii="Arial" w:hAnsi="Arial" w:cs="Arial"/>
          <w:b/>
          <w:sz w:val="22"/>
          <w:szCs w:val="22"/>
        </w:rPr>
        <w:t>chronic lymphocytic leukemia</w:t>
      </w:r>
      <w:r w:rsidR="00EA3734">
        <w:rPr>
          <w:rFonts w:ascii="Arial" w:hAnsi="Arial" w:cs="Arial"/>
          <w:sz w:val="22"/>
          <w:szCs w:val="22"/>
        </w:rPr>
        <w:t xml:space="preserve">, </w:t>
      </w:r>
      <w:r w:rsidR="00EA3734" w:rsidRPr="00EA3734">
        <w:rPr>
          <w:rFonts w:ascii="Arial" w:hAnsi="Arial" w:cs="Arial"/>
          <w:b/>
          <w:sz w:val="22"/>
          <w:szCs w:val="22"/>
        </w:rPr>
        <w:t>obsessive compulsive disorder</w:t>
      </w:r>
      <w:r w:rsidR="00EA3734">
        <w:rPr>
          <w:rFonts w:ascii="Arial" w:hAnsi="Arial" w:cs="Arial"/>
          <w:sz w:val="22"/>
          <w:szCs w:val="22"/>
        </w:rPr>
        <w:t xml:space="preserve">, </w:t>
      </w:r>
      <w:r w:rsidR="00F6165A">
        <w:rPr>
          <w:rFonts w:ascii="Arial" w:hAnsi="Arial" w:cs="Arial"/>
          <w:b/>
          <w:sz w:val="22"/>
          <w:szCs w:val="22"/>
        </w:rPr>
        <w:t>autoimmune thyroid</w:t>
      </w:r>
      <w:r w:rsidR="00EA3734" w:rsidRPr="00EA3734">
        <w:rPr>
          <w:rFonts w:ascii="Arial" w:hAnsi="Arial" w:cs="Arial"/>
          <w:b/>
          <w:sz w:val="22"/>
          <w:szCs w:val="22"/>
        </w:rPr>
        <w:t xml:space="preserve"> disease</w:t>
      </w:r>
      <w:r w:rsidR="00EA3734">
        <w:rPr>
          <w:rFonts w:ascii="Arial" w:hAnsi="Arial" w:cs="Arial"/>
          <w:sz w:val="22"/>
          <w:szCs w:val="22"/>
        </w:rPr>
        <w:t xml:space="preserve">, and </w:t>
      </w:r>
      <w:r w:rsidR="00A06CF7">
        <w:rPr>
          <w:rFonts w:ascii="Arial" w:hAnsi="Arial" w:cs="Arial"/>
          <w:b/>
          <w:sz w:val="22"/>
          <w:szCs w:val="22"/>
        </w:rPr>
        <w:t>axial</w:t>
      </w:r>
      <w:r w:rsidR="00EA3734" w:rsidRPr="00EA3734">
        <w:rPr>
          <w:rFonts w:ascii="Arial" w:hAnsi="Arial" w:cs="Arial"/>
          <w:b/>
          <w:sz w:val="22"/>
          <w:szCs w:val="22"/>
        </w:rPr>
        <w:t xml:space="preserve"> </w:t>
      </w:r>
      <w:proofErr w:type="spellStart"/>
      <w:r w:rsidR="00EA3734" w:rsidRPr="00EA3734">
        <w:rPr>
          <w:rFonts w:ascii="Arial" w:hAnsi="Arial" w:cs="Arial"/>
          <w:b/>
          <w:sz w:val="22"/>
          <w:szCs w:val="22"/>
        </w:rPr>
        <w:t>spondyl</w:t>
      </w:r>
      <w:r w:rsidR="00A06CF7">
        <w:rPr>
          <w:rFonts w:ascii="Arial" w:hAnsi="Arial" w:cs="Arial"/>
          <w:b/>
          <w:sz w:val="22"/>
          <w:szCs w:val="22"/>
        </w:rPr>
        <w:t>oarthritis</w:t>
      </w:r>
      <w:proofErr w:type="spellEnd"/>
      <w:r w:rsidR="00EA3734">
        <w:rPr>
          <w:rFonts w:ascii="Arial" w:hAnsi="Arial" w:cs="Arial"/>
          <w:sz w:val="22"/>
          <w:szCs w:val="22"/>
        </w:rPr>
        <w:t xml:space="preserve">. </w:t>
      </w:r>
      <w:r w:rsidR="000D38E5">
        <w:rPr>
          <w:rFonts w:ascii="Arial" w:hAnsi="Arial" w:cs="Arial"/>
          <w:sz w:val="22"/>
          <w:szCs w:val="22"/>
        </w:rPr>
        <w:t xml:space="preserve">Importantly, we are proposing to interrogate biological samples collected prior to clinical diagnosis. </w:t>
      </w:r>
      <w:r w:rsidR="003E62C7">
        <w:rPr>
          <w:rFonts w:ascii="Arial" w:hAnsi="Arial" w:cs="Arial"/>
          <w:sz w:val="22"/>
          <w:szCs w:val="22"/>
        </w:rPr>
        <w:t xml:space="preserve">Hence, this study has the strong potential for aiding </w:t>
      </w:r>
      <w:r w:rsidR="00196262">
        <w:rPr>
          <w:rFonts w:ascii="Arial" w:hAnsi="Arial" w:cs="Arial"/>
          <w:sz w:val="22"/>
          <w:szCs w:val="22"/>
        </w:rPr>
        <w:t>wide array of individuals</w:t>
      </w:r>
      <w:r w:rsidR="000D38E5">
        <w:rPr>
          <w:rFonts w:ascii="Arial" w:hAnsi="Arial" w:cs="Arial"/>
          <w:sz w:val="22"/>
          <w:szCs w:val="22"/>
        </w:rPr>
        <w:t xml:space="preserve"> through providing predictive information early in disease processes where medical interventions are the most efficacious</w:t>
      </w:r>
      <w:r w:rsidR="00196262">
        <w:rPr>
          <w:rFonts w:ascii="Arial" w:hAnsi="Arial" w:cs="Arial"/>
          <w:sz w:val="22"/>
          <w:szCs w:val="22"/>
        </w:rPr>
        <w:t>.</w:t>
      </w:r>
      <w:r w:rsidR="003E62C7">
        <w:rPr>
          <w:rFonts w:ascii="Arial" w:hAnsi="Arial" w:cs="Arial"/>
          <w:sz w:val="22"/>
          <w:szCs w:val="22"/>
        </w:rPr>
        <w:t xml:space="preserve"> </w:t>
      </w:r>
      <w:r w:rsidR="00196262">
        <w:rPr>
          <w:rFonts w:ascii="Arial" w:hAnsi="Arial" w:cs="Arial"/>
          <w:sz w:val="22"/>
          <w:szCs w:val="22"/>
        </w:rPr>
        <w:t xml:space="preserve">  </w:t>
      </w:r>
    </w:p>
    <w:p w:rsidR="003177E3" w:rsidRDefault="003177E3" w:rsidP="00FA262F">
      <w:pPr>
        <w:spacing w:line="120" w:lineRule="auto"/>
        <w:jc w:val="both"/>
        <w:rPr>
          <w:rFonts w:ascii="Arial" w:hAnsi="Arial" w:cs="Arial"/>
          <w:b/>
          <w:sz w:val="22"/>
          <w:szCs w:val="22"/>
        </w:rPr>
      </w:pPr>
    </w:p>
    <w:p w:rsidR="00F44B38" w:rsidRPr="009256D2" w:rsidRDefault="00267A0A" w:rsidP="009256D2">
      <w:pPr>
        <w:jc w:val="both"/>
        <w:rPr>
          <w:rFonts w:ascii="Arial" w:hAnsi="Arial" w:cs="Arial"/>
          <w:sz w:val="22"/>
          <w:szCs w:val="22"/>
        </w:rPr>
      </w:pPr>
      <w:r>
        <w:rPr>
          <w:rFonts w:ascii="Arial" w:hAnsi="Arial" w:cs="Arial"/>
          <w:b/>
          <w:sz w:val="22"/>
          <w:szCs w:val="22"/>
        </w:rPr>
        <w:t>A1. Importance of results from this study:</w:t>
      </w:r>
      <w:r w:rsidR="00F93900">
        <w:rPr>
          <w:rFonts w:ascii="Arial" w:hAnsi="Arial" w:cs="Arial"/>
          <w:b/>
          <w:sz w:val="22"/>
          <w:szCs w:val="22"/>
        </w:rPr>
        <w:t xml:space="preserve"> </w:t>
      </w:r>
      <w:r w:rsidR="00010745">
        <w:rPr>
          <w:rFonts w:ascii="Arial" w:hAnsi="Arial" w:cs="Arial"/>
          <w:sz w:val="22"/>
          <w:szCs w:val="22"/>
        </w:rPr>
        <w:t>The development of molecular-</w:t>
      </w:r>
      <w:r w:rsidR="0063644C">
        <w:rPr>
          <w:rFonts w:ascii="Arial" w:hAnsi="Arial" w:cs="Arial"/>
          <w:sz w:val="22"/>
          <w:szCs w:val="22"/>
        </w:rPr>
        <w:t xml:space="preserve">based predictive models for common diseases </w:t>
      </w:r>
      <w:r w:rsidR="00010745">
        <w:rPr>
          <w:rFonts w:ascii="Arial" w:hAnsi="Arial" w:cs="Arial"/>
          <w:sz w:val="22"/>
          <w:szCs w:val="22"/>
        </w:rPr>
        <w:t xml:space="preserve">would represent a dramatic advancement in medical diagnostics, enabling prompt therapeutic intervention and potentially curtailing morbidity. High throughput molecular screens coupled with advanced statistical and computational approaches have set the stage for assessment of the viability of such predictive models. </w:t>
      </w:r>
      <w:r w:rsidR="00AA15E2">
        <w:rPr>
          <w:rFonts w:ascii="Arial" w:hAnsi="Arial" w:cs="Arial"/>
          <w:sz w:val="22"/>
          <w:szCs w:val="22"/>
        </w:rPr>
        <w:t>Several valuable results will be generated from this study: (</w:t>
      </w:r>
      <w:proofErr w:type="spellStart"/>
      <w:r w:rsidR="00AA15E2">
        <w:rPr>
          <w:rFonts w:ascii="Arial" w:hAnsi="Arial" w:cs="Arial"/>
          <w:sz w:val="22"/>
          <w:szCs w:val="22"/>
        </w:rPr>
        <w:t>i</w:t>
      </w:r>
      <w:proofErr w:type="spellEnd"/>
      <w:r w:rsidR="00AA15E2">
        <w:rPr>
          <w:rFonts w:ascii="Arial" w:hAnsi="Arial" w:cs="Arial"/>
          <w:sz w:val="22"/>
          <w:szCs w:val="22"/>
        </w:rPr>
        <w:t xml:space="preserve">) we will determine the diagnostic efficacy of classifiers for eight common diseases using the combined signals from genetic data, circulating cytokines, metabolic markers, and antibodies to autoantigens and pathogens, (ii) we will gain understanding of the role of these various molecular markers in each disease studied, (iii) we will elucidate the proportion of disease-affected individuals </w:t>
      </w:r>
      <w:r w:rsidR="009256D2">
        <w:rPr>
          <w:rFonts w:ascii="Arial" w:hAnsi="Arial" w:cs="Arial"/>
          <w:sz w:val="22"/>
          <w:szCs w:val="22"/>
        </w:rPr>
        <w:t xml:space="preserve">who harbor predictive molecular signals, </w:t>
      </w:r>
      <w:r w:rsidR="00AA15E2">
        <w:rPr>
          <w:rFonts w:ascii="Arial" w:hAnsi="Arial" w:cs="Arial"/>
          <w:sz w:val="22"/>
          <w:szCs w:val="22"/>
        </w:rPr>
        <w:t xml:space="preserve">(iv) by assaying molecular panels prior to clinical diagnoses using </w:t>
      </w:r>
      <w:proofErr w:type="spellStart"/>
      <w:r w:rsidR="00AA15E2">
        <w:rPr>
          <w:rFonts w:ascii="Arial" w:hAnsi="Arial" w:cs="Arial"/>
          <w:sz w:val="22"/>
          <w:szCs w:val="22"/>
        </w:rPr>
        <w:t>biobanked</w:t>
      </w:r>
      <w:proofErr w:type="spellEnd"/>
      <w:r w:rsidR="00AA15E2">
        <w:rPr>
          <w:rFonts w:ascii="Arial" w:hAnsi="Arial" w:cs="Arial"/>
          <w:sz w:val="22"/>
          <w:szCs w:val="22"/>
        </w:rPr>
        <w:t xml:space="preserve"> samples, we will help delineate the molecular changes </w:t>
      </w:r>
      <w:r w:rsidR="009256D2">
        <w:rPr>
          <w:rFonts w:ascii="Arial" w:hAnsi="Arial" w:cs="Arial"/>
          <w:sz w:val="22"/>
          <w:szCs w:val="22"/>
        </w:rPr>
        <w:t xml:space="preserve">that precede clinical diagnosis, and (v) the study results may suggest specific biological pathways that play a role in the etiology of these diseases. </w:t>
      </w:r>
      <w:r w:rsidR="00AA15E2">
        <w:rPr>
          <w:rFonts w:ascii="Arial" w:hAnsi="Arial" w:cs="Arial"/>
          <w:sz w:val="22"/>
          <w:szCs w:val="22"/>
        </w:rPr>
        <w:t xml:space="preserve">         </w:t>
      </w:r>
      <w:r w:rsidR="00010745">
        <w:rPr>
          <w:rFonts w:ascii="Arial" w:hAnsi="Arial" w:cs="Arial"/>
          <w:sz w:val="22"/>
          <w:szCs w:val="22"/>
        </w:rPr>
        <w:t xml:space="preserve">  </w:t>
      </w:r>
    </w:p>
    <w:p w:rsidR="00F44B38" w:rsidRDefault="00F44B38" w:rsidP="00FA262F">
      <w:pPr>
        <w:spacing w:line="120" w:lineRule="auto"/>
        <w:ind w:left="360"/>
        <w:jc w:val="both"/>
        <w:rPr>
          <w:rFonts w:ascii="Arial" w:hAnsi="Arial" w:cs="Arial"/>
          <w:b/>
          <w:sz w:val="22"/>
          <w:szCs w:val="22"/>
        </w:rPr>
      </w:pPr>
    </w:p>
    <w:p w:rsidR="00F1722C" w:rsidRPr="00B542EE" w:rsidRDefault="00267A0A" w:rsidP="00F1722C">
      <w:pPr>
        <w:jc w:val="both"/>
        <w:rPr>
          <w:rFonts w:ascii="Arial" w:hAnsi="Arial" w:cs="Arial"/>
          <w:b/>
          <w:sz w:val="22"/>
          <w:szCs w:val="22"/>
        </w:rPr>
      </w:pPr>
      <w:r>
        <w:rPr>
          <w:rFonts w:ascii="Arial" w:hAnsi="Arial" w:cs="Arial"/>
          <w:b/>
          <w:sz w:val="22"/>
          <w:szCs w:val="22"/>
        </w:rPr>
        <w:t>A2. Critical barriers:</w:t>
      </w:r>
      <w:r w:rsidRPr="00267A0A">
        <w:rPr>
          <w:rFonts w:ascii="Arial" w:hAnsi="Arial" w:cs="Arial"/>
          <w:b/>
          <w:sz w:val="22"/>
          <w:szCs w:val="22"/>
        </w:rPr>
        <w:tab/>
      </w:r>
      <w:r w:rsidR="00F1722C" w:rsidRPr="00F93900">
        <w:rPr>
          <w:rFonts w:ascii="Arial" w:hAnsi="Arial" w:cs="Arial"/>
          <w:sz w:val="22"/>
          <w:szCs w:val="22"/>
        </w:rPr>
        <w:t xml:space="preserve">The large majority of </w:t>
      </w:r>
      <w:r w:rsidR="00F1722C">
        <w:rPr>
          <w:rFonts w:ascii="Arial" w:hAnsi="Arial" w:cs="Arial"/>
          <w:sz w:val="22"/>
          <w:szCs w:val="22"/>
        </w:rPr>
        <w:t>common diseases have been relatively resistant to prognostic efforts.</w:t>
      </w:r>
      <w:r w:rsidR="003560D0">
        <w:rPr>
          <w:rFonts w:ascii="Arial" w:hAnsi="Arial" w:cs="Arial"/>
          <w:sz w:val="22"/>
          <w:szCs w:val="22"/>
        </w:rPr>
        <w:t xml:space="preserve"> Four</w:t>
      </w:r>
      <w:r w:rsidR="00174AC2">
        <w:rPr>
          <w:rFonts w:ascii="Arial" w:hAnsi="Arial" w:cs="Arial"/>
          <w:sz w:val="22"/>
          <w:szCs w:val="22"/>
        </w:rPr>
        <w:t xml:space="preserve"> important impediments have conspired to hinder advances in the development of viable predictive models for risk of the diseases proposed to be studied: </w:t>
      </w:r>
      <w:r w:rsidR="00E43297">
        <w:rPr>
          <w:rFonts w:ascii="Arial" w:hAnsi="Arial" w:cs="Arial"/>
          <w:sz w:val="22"/>
          <w:szCs w:val="22"/>
        </w:rPr>
        <w:t>1) The use of dynamic biomarkers assayed in samples collected after clinical diagnosis has produced signals that can be driven by advanced disease processe</w:t>
      </w:r>
      <w:r w:rsidR="003560D0">
        <w:rPr>
          <w:rFonts w:ascii="Arial" w:hAnsi="Arial" w:cs="Arial"/>
          <w:sz w:val="22"/>
          <w:szCs w:val="22"/>
        </w:rPr>
        <w:t>s and therapeutic interventions;</w:t>
      </w:r>
      <w:r w:rsidR="00E43297">
        <w:rPr>
          <w:rFonts w:ascii="Arial" w:hAnsi="Arial" w:cs="Arial"/>
          <w:sz w:val="22"/>
          <w:szCs w:val="22"/>
        </w:rPr>
        <w:t xml:space="preserve"> </w:t>
      </w:r>
      <w:r w:rsidR="00CF62ED">
        <w:rPr>
          <w:rFonts w:ascii="Arial" w:hAnsi="Arial" w:cs="Arial"/>
          <w:sz w:val="22"/>
          <w:szCs w:val="22"/>
        </w:rPr>
        <w:t>2</w:t>
      </w:r>
      <w:r w:rsidR="00174AC2">
        <w:rPr>
          <w:rFonts w:ascii="Arial" w:hAnsi="Arial" w:cs="Arial"/>
          <w:sz w:val="22"/>
          <w:szCs w:val="22"/>
        </w:rPr>
        <w:t xml:space="preserve">) The </w:t>
      </w:r>
      <w:r w:rsidR="006134C9">
        <w:rPr>
          <w:rFonts w:ascii="Arial" w:hAnsi="Arial" w:cs="Arial"/>
          <w:sz w:val="22"/>
          <w:szCs w:val="22"/>
        </w:rPr>
        <w:t>use of a single type of biomarker (e.g., solely genetic markers) has generally produced classifiers with insufficient diagnostic utility</w:t>
      </w:r>
      <w:r w:rsidR="00E43297">
        <w:rPr>
          <w:rFonts w:ascii="Arial" w:hAnsi="Arial" w:cs="Arial"/>
          <w:sz w:val="22"/>
          <w:szCs w:val="22"/>
        </w:rPr>
        <w:t xml:space="preserve">; </w:t>
      </w:r>
      <w:r w:rsidR="00CF62ED">
        <w:rPr>
          <w:rFonts w:ascii="Arial" w:hAnsi="Arial" w:cs="Arial"/>
          <w:sz w:val="22"/>
          <w:szCs w:val="22"/>
        </w:rPr>
        <w:t xml:space="preserve">3) The heterogeneity in clinically-defined phenotypes reduces the efficacy and applicability of predictive models </w:t>
      </w:r>
      <w:r w:rsidR="008308F3">
        <w:rPr>
          <w:rFonts w:ascii="Arial" w:hAnsi="Arial" w:cs="Arial"/>
          <w:sz w:val="22"/>
          <w:szCs w:val="22"/>
        </w:rPr>
        <w:t>and 4</w:t>
      </w:r>
      <w:r w:rsidR="006134C9">
        <w:rPr>
          <w:rFonts w:ascii="Arial" w:hAnsi="Arial" w:cs="Arial"/>
          <w:sz w:val="22"/>
          <w:szCs w:val="22"/>
        </w:rPr>
        <w:t xml:space="preserve">) </w:t>
      </w:r>
      <w:r w:rsidR="00E43297">
        <w:rPr>
          <w:rFonts w:ascii="Arial" w:hAnsi="Arial" w:cs="Arial"/>
          <w:sz w:val="22"/>
          <w:szCs w:val="22"/>
        </w:rPr>
        <w:t xml:space="preserve">The </w:t>
      </w:r>
      <w:r w:rsidR="001C45E0">
        <w:rPr>
          <w:rFonts w:ascii="Arial" w:hAnsi="Arial" w:cs="Arial"/>
          <w:sz w:val="22"/>
          <w:szCs w:val="22"/>
        </w:rPr>
        <w:t>use of genetic-based predictive models that are restricted to GWAS-significant markers undermines the performance of such models for common diseases.</w:t>
      </w:r>
      <w:r w:rsidR="00A15747" w:rsidRPr="00A15747">
        <w:rPr>
          <w:rFonts w:ascii="Arial" w:hAnsi="Arial" w:cs="Arial"/>
          <w:sz w:val="22"/>
          <w:szCs w:val="22"/>
          <w:vertAlign w:val="superscript"/>
        </w:rPr>
        <w:t>21</w:t>
      </w:r>
      <w:r w:rsidR="001C45E0">
        <w:rPr>
          <w:rFonts w:ascii="Arial" w:hAnsi="Arial" w:cs="Arial"/>
          <w:sz w:val="22"/>
          <w:szCs w:val="22"/>
        </w:rPr>
        <w:t xml:space="preserve">  </w:t>
      </w:r>
      <w:r w:rsidR="006134C9">
        <w:rPr>
          <w:rFonts w:ascii="Arial" w:hAnsi="Arial" w:cs="Arial"/>
          <w:sz w:val="22"/>
          <w:szCs w:val="22"/>
        </w:rPr>
        <w:t xml:space="preserve"> </w:t>
      </w:r>
      <w:r w:rsidR="00174AC2">
        <w:rPr>
          <w:rFonts w:ascii="Arial" w:hAnsi="Arial" w:cs="Arial"/>
          <w:sz w:val="22"/>
          <w:szCs w:val="22"/>
        </w:rPr>
        <w:t xml:space="preserve">  </w:t>
      </w:r>
      <w:r w:rsidR="003E62C7">
        <w:rPr>
          <w:rFonts w:ascii="Arial" w:hAnsi="Arial" w:cs="Arial"/>
          <w:sz w:val="22"/>
          <w:szCs w:val="22"/>
        </w:rPr>
        <w:t xml:space="preserve"> </w:t>
      </w:r>
      <w:r w:rsidR="00F1722C">
        <w:rPr>
          <w:rFonts w:ascii="Arial" w:hAnsi="Arial" w:cs="Arial"/>
          <w:sz w:val="22"/>
          <w:szCs w:val="22"/>
        </w:rPr>
        <w:t xml:space="preserve">    </w:t>
      </w:r>
    </w:p>
    <w:p w:rsidR="003D71E3" w:rsidRPr="003D71E3" w:rsidRDefault="00853DDD" w:rsidP="004116DE">
      <w:pPr>
        <w:ind w:firstLine="720"/>
        <w:jc w:val="both"/>
        <w:rPr>
          <w:rFonts w:ascii="Arial" w:hAnsi="Arial" w:cs="Arial"/>
          <w:sz w:val="22"/>
          <w:szCs w:val="22"/>
        </w:rPr>
      </w:pPr>
      <w:r>
        <w:rPr>
          <w:rFonts w:ascii="Arial" w:hAnsi="Arial" w:cs="Arial"/>
          <w:sz w:val="22"/>
          <w:szCs w:val="22"/>
        </w:rPr>
        <w:t xml:space="preserve">Prediction of disease onset using banked samples and interrogating a large combined set of inflammatory cytokines, metabolic markers, exome variants, and circulating antibodies has not been performed due to the </w:t>
      </w:r>
      <w:r w:rsidR="00325855">
        <w:rPr>
          <w:rFonts w:ascii="Arial" w:hAnsi="Arial" w:cs="Arial"/>
          <w:sz w:val="22"/>
          <w:szCs w:val="22"/>
        </w:rPr>
        <w:t xml:space="preserve">lack of </w:t>
      </w:r>
      <w:r>
        <w:rPr>
          <w:rFonts w:ascii="Arial" w:hAnsi="Arial" w:cs="Arial"/>
          <w:sz w:val="22"/>
          <w:szCs w:val="22"/>
        </w:rPr>
        <w:t>availability of such data</w:t>
      </w:r>
      <w:r w:rsidR="00325855">
        <w:rPr>
          <w:rFonts w:ascii="Arial" w:hAnsi="Arial" w:cs="Arial"/>
          <w:sz w:val="22"/>
          <w:szCs w:val="22"/>
        </w:rPr>
        <w:t>, previous technological impediments</w:t>
      </w:r>
      <w:r>
        <w:rPr>
          <w:rFonts w:ascii="Arial" w:hAnsi="Arial" w:cs="Arial"/>
          <w:sz w:val="22"/>
          <w:szCs w:val="22"/>
        </w:rPr>
        <w:t xml:space="preserve"> and complexity of analyses. </w:t>
      </w:r>
      <w:r w:rsidR="003D71E3" w:rsidRPr="003D71E3">
        <w:rPr>
          <w:rFonts w:ascii="Arial" w:hAnsi="Arial" w:cs="Arial"/>
          <w:sz w:val="22"/>
          <w:szCs w:val="22"/>
        </w:rPr>
        <w:t xml:space="preserve">The difficult </w:t>
      </w:r>
      <w:r w:rsidR="003D71E3">
        <w:rPr>
          <w:rFonts w:ascii="Arial" w:hAnsi="Arial" w:cs="Arial"/>
          <w:sz w:val="22"/>
          <w:szCs w:val="22"/>
        </w:rPr>
        <w:t>access to large biorepositories with linked, longitudinal electronic medical records, high-throughput protein-based assays</w:t>
      </w:r>
      <w:r w:rsidR="004116DE">
        <w:rPr>
          <w:rFonts w:ascii="Arial" w:hAnsi="Arial" w:cs="Arial"/>
          <w:sz w:val="22"/>
          <w:szCs w:val="22"/>
        </w:rPr>
        <w:t>, and exome genotyping data has</w:t>
      </w:r>
      <w:r w:rsidR="003D71E3">
        <w:rPr>
          <w:rFonts w:ascii="Arial" w:hAnsi="Arial" w:cs="Arial"/>
          <w:sz w:val="22"/>
          <w:szCs w:val="22"/>
        </w:rPr>
        <w:t xml:space="preserve"> </w:t>
      </w:r>
      <w:r w:rsidR="004116DE">
        <w:rPr>
          <w:rFonts w:ascii="Arial" w:hAnsi="Arial" w:cs="Arial"/>
          <w:sz w:val="22"/>
          <w:szCs w:val="22"/>
        </w:rPr>
        <w:t xml:space="preserve">also </w:t>
      </w:r>
      <w:r w:rsidR="003D71E3">
        <w:rPr>
          <w:rFonts w:ascii="Arial" w:hAnsi="Arial" w:cs="Arial"/>
          <w:sz w:val="22"/>
          <w:szCs w:val="22"/>
        </w:rPr>
        <w:t xml:space="preserve">substantially hindered advancement of </w:t>
      </w:r>
      <w:r w:rsidR="008B3D64">
        <w:rPr>
          <w:rFonts w:ascii="Arial" w:hAnsi="Arial" w:cs="Arial"/>
          <w:sz w:val="22"/>
          <w:szCs w:val="22"/>
        </w:rPr>
        <w:t xml:space="preserve">disease </w:t>
      </w:r>
      <w:r w:rsidR="003D71E3">
        <w:rPr>
          <w:rFonts w:ascii="Arial" w:hAnsi="Arial" w:cs="Arial"/>
          <w:sz w:val="22"/>
          <w:szCs w:val="22"/>
        </w:rPr>
        <w:t>prediction</w:t>
      </w:r>
      <w:r w:rsidR="008B3D64">
        <w:rPr>
          <w:rFonts w:ascii="Arial" w:hAnsi="Arial" w:cs="Arial"/>
          <w:sz w:val="22"/>
          <w:szCs w:val="22"/>
        </w:rPr>
        <w:t xml:space="preserve"> studies. In addition, the analysis of data generated by a large-scale study using samples with complicated medical record information and high density genomic/protein/antibody measurements requires </w:t>
      </w:r>
      <w:r w:rsidR="008B3D64">
        <w:rPr>
          <w:rFonts w:ascii="Arial" w:hAnsi="Arial" w:cs="Arial"/>
          <w:sz w:val="22"/>
          <w:szCs w:val="22"/>
        </w:rPr>
        <w:lastRenderedPageBreak/>
        <w:t>expertise in complex statistical and machine learning methods as well as highly developed informatics skills.</w:t>
      </w:r>
      <w:r w:rsidR="00F64B74">
        <w:rPr>
          <w:rFonts w:ascii="Arial" w:hAnsi="Arial" w:cs="Arial"/>
          <w:sz w:val="22"/>
          <w:szCs w:val="22"/>
        </w:rPr>
        <w:t xml:space="preserve"> Assembling a </w:t>
      </w:r>
      <w:r w:rsidR="002A4A59">
        <w:rPr>
          <w:rFonts w:ascii="Arial" w:hAnsi="Arial" w:cs="Arial"/>
          <w:sz w:val="22"/>
          <w:szCs w:val="22"/>
        </w:rPr>
        <w:t xml:space="preserve">seasoned </w:t>
      </w:r>
      <w:r w:rsidR="00F64B74">
        <w:rPr>
          <w:rFonts w:ascii="Arial" w:hAnsi="Arial" w:cs="Arial"/>
          <w:sz w:val="22"/>
          <w:szCs w:val="22"/>
        </w:rPr>
        <w:t xml:space="preserve">team with expertise in these areas is difficult.  </w:t>
      </w:r>
      <w:r w:rsidR="008B3D64">
        <w:rPr>
          <w:rFonts w:ascii="Arial" w:hAnsi="Arial" w:cs="Arial"/>
          <w:sz w:val="22"/>
          <w:szCs w:val="22"/>
        </w:rPr>
        <w:t xml:space="preserve">   </w:t>
      </w:r>
      <w:r w:rsidR="003D71E3">
        <w:rPr>
          <w:rFonts w:ascii="Arial" w:hAnsi="Arial" w:cs="Arial"/>
          <w:sz w:val="22"/>
          <w:szCs w:val="22"/>
        </w:rPr>
        <w:t xml:space="preserve"> </w:t>
      </w:r>
    </w:p>
    <w:p w:rsidR="00267A0A" w:rsidRDefault="00267A0A" w:rsidP="00FA262F">
      <w:pPr>
        <w:spacing w:line="120" w:lineRule="auto"/>
        <w:ind w:left="360"/>
        <w:jc w:val="both"/>
        <w:rPr>
          <w:rFonts w:ascii="Arial" w:hAnsi="Arial" w:cs="Arial"/>
          <w:b/>
          <w:sz w:val="22"/>
          <w:szCs w:val="22"/>
        </w:rPr>
      </w:pPr>
    </w:p>
    <w:p w:rsidR="00030A65" w:rsidRPr="00611646" w:rsidRDefault="00267A0A" w:rsidP="00F44B38">
      <w:pPr>
        <w:jc w:val="both"/>
        <w:rPr>
          <w:rFonts w:ascii="Arial" w:hAnsi="Arial" w:cs="Arial"/>
          <w:b/>
          <w:sz w:val="22"/>
          <w:szCs w:val="22"/>
        </w:rPr>
      </w:pPr>
      <w:r>
        <w:rPr>
          <w:rFonts w:ascii="Arial" w:hAnsi="Arial" w:cs="Arial"/>
          <w:b/>
          <w:sz w:val="22"/>
          <w:szCs w:val="22"/>
        </w:rPr>
        <w:t>A3. Overcoming the critical barriers:</w:t>
      </w:r>
      <w:r w:rsidR="00611646">
        <w:rPr>
          <w:rFonts w:ascii="Arial" w:hAnsi="Arial" w:cs="Arial"/>
          <w:b/>
          <w:sz w:val="22"/>
          <w:szCs w:val="22"/>
        </w:rPr>
        <w:t xml:space="preserve"> </w:t>
      </w:r>
      <w:r w:rsidR="00043D13">
        <w:rPr>
          <w:rFonts w:ascii="Arial" w:hAnsi="Arial" w:cs="Arial"/>
          <w:sz w:val="22"/>
          <w:szCs w:val="22"/>
        </w:rPr>
        <w:t xml:space="preserve">(1) </w:t>
      </w:r>
      <w:proofErr w:type="gramStart"/>
      <w:r w:rsidR="004C65B3">
        <w:rPr>
          <w:rFonts w:ascii="Arial" w:hAnsi="Arial" w:cs="Arial"/>
          <w:sz w:val="22"/>
          <w:szCs w:val="22"/>
        </w:rPr>
        <w:t>To</w:t>
      </w:r>
      <w:proofErr w:type="gramEnd"/>
      <w:r w:rsidR="004C65B3">
        <w:rPr>
          <w:rFonts w:ascii="Arial" w:hAnsi="Arial" w:cs="Arial"/>
          <w:sz w:val="22"/>
          <w:szCs w:val="22"/>
        </w:rPr>
        <w:t xml:space="preserve"> </w:t>
      </w:r>
      <w:r w:rsidR="00043D13">
        <w:rPr>
          <w:rFonts w:ascii="Arial" w:hAnsi="Arial" w:cs="Arial"/>
          <w:sz w:val="22"/>
          <w:szCs w:val="22"/>
        </w:rPr>
        <w:t xml:space="preserve">better determine biomarkers that are antecedent to disease onset, we will use </w:t>
      </w:r>
      <w:proofErr w:type="spellStart"/>
      <w:r w:rsidR="00043D13">
        <w:rPr>
          <w:rFonts w:ascii="Arial" w:hAnsi="Arial" w:cs="Arial"/>
          <w:sz w:val="22"/>
          <w:szCs w:val="22"/>
        </w:rPr>
        <w:t>biobanked</w:t>
      </w:r>
      <w:proofErr w:type="spellEnd"/>
      <w:r w:rsidR="00043D13">
        <w:rPr>
          <w:rFonts w:ascii="Arial" w:hAnsi="Arial" w:cs="Arial"/>
          <w:sz w:val="22"/>
          <w:szCs w:val="22"/>
        </w:rPr>
        <w:t xml:space="preserve"> DNA and plasma collected prior to clinical diagnosis. The use of the Personalized Medic</w:t>
      </w:r>
      <w:r w:rsidR="00A91A8B">
        <w:rPr>
          <w:rFonts w:ascii="Arial" w:hAnsi="Arial" w:cs="Arial"/>
          <w:sz w:val="22"/>
          <w:szCs w:val="22"/>
        </w:rPr>
        <w:t>ine Research Project (PMRP)—a 14</w:t>
      </w:r>
      <w:r w:rsidR="00043D13">
        <w:rPr>
          <w:rFonts w:ascii="Arial" w:hAnsi="Arial" w:cs="Arial"/>
          <w:sz w:val="22"/>
          <w:szCs w:val="22"/>
        </w:rPr>
        <w:t xml:space="preserve"> year-old biobank of DNA, plasma and serum from 20,000 adults with linked electronic medical records—at the Marshfield Clinic enables us to determine sets of individuals with biological samples collected before a physician diagnoses an individual with disease. </w:t>
      </w:r>
      <w:r w:rsidR="00CF62ED">
        <w:rPr>
          <w:rFonts w:ascii="Arial" w:hAnsi="Arial" w:cs="Arial"/>
          <w:sz w:val="22"/>
          <w:szCs w:val="22"/>
        </w:rPr>
        <w:t>(2) To harness orthogonal signals across molecular data types, we will interrogate the combined signals from (</w:t>
      </w:r>
      <w:proofErr w:type="spellStart"/>
      <w:r w:rsidR="00CF62ED">
        <w:rPr>
          <w:rFonts w:ascii="Arial" w:hAnsi="Arial" w:cs="Arial"/>
          <w:sz w:val="22"/>
          <w:szCs w:val="22"/>
        </w:rPr>
        <w:t>i</w:t>
      </w:r>
      <w:proofErr w:type="spellEnd"/>
      <w:r w:rsidR="00CF62ED">
        <w:rPr>
          <w:rFonts w:ascii="Arial" w:hAnsi="Arial" w:cs="Arial"/>
          <w:sz w:val="22"/>
          <w:szCs w:val="22"/>
        </w:rPr>
        <w:t>) exome-wide genotype data, (ii) circulating inflammatory cytokines and metabolic markers, and (iii) the presence of antibodies to a variety of autoantigens and pathogen epitopes; (3</w:t>
      </w:r>
      <w:r w:rsidR="00043D13">
        <w:rPr>
          <w:rFonts w:ascii="Arial" w:hAnsi="Arial" w:cs="Arial"/>
          <w:sz w:val="22"/>
          <w:szCs w:val="22"/>
        </w:rPr>
        <w:t xml:space="preserve">) </w:t>
      </w:r>
      <w:r w:rsidR="00E50895">
        <w:rPr>
          <w:rFonts w:ascii="Arial" w:hAnsi="Arial" w:cs="Arial"/>
          <w:sz w:val="22"/>
          <w:szCs w:val="22"/>
        </w:rPr>
        <w:t>Using electronic medical record information consisting of laboratory test results, di</w:t>
      </w:r>
      <w:r w:rsidR="00CF62ED">
        <w:rPr>
          <w:rFonts w:ascii="Arial" w:hAnsi="Arial" w:cs="Arial"/>
          <w:sz w:val="22"/>
          <w:szCs w:val="22"/>
        </w:rPr>
        <w:t>agnostic codes and medications along with the genetic, protein and antibody data</w:t>
      </w:r>
      <w:r w:rsidR="00E50895">
        <w:rPr>
          <w:rFonts w:ascii="Arial" w:hAnsi="Arial" w:cs="Arial"/>
          <w:sz w:val="22"/>
          <w:szCs w:val="22"/>
        </w:rPr>
        <w:t xml:space="preserve">, we will perform </w:t>
      </w:r>
      <w:r w:rsidR="004155EE">
        <w:rPr>
          <w:rFonts w:ascii="Arial" w:hAnsi="Arial" w:cs="Arial"/>
          <w:sz w:val="22"/>
          <w:szCs w:val="22"/>
        </w:rPr>
        <w:t>dimensional reduction techniques such as PCA and binary PCA designed</w:t>
      </w:r>
      <w:r w:rsidR="00E50895">
        <w:rPr>
          <w:rFonts w:ascii="Arial" w:hAnsi="Arial" w:cs="Arial"/>
          <w:sz w:val="22"/>
          <w:szCs w:val="22"/>
        </w:rPr>
        <w:t xml:space="preserve"> to identify significant subgroups within a heterogeneous disease state. (</w:t>
      </w:r>
      <w:r w:rsidR="00CF62ED">
        <w:rPr>
          <w:rFonts w:ascii="Arial" w:hAnsi="Arial" w:cs="Arial"/>
          <w:sz w:val="22"/>
          <w:szCs w:val="22"/>
        </w:rPr>
        <w:t>4</w:t>
      </w:r>
      <w:r w:rsidR="00E50895">
        <w:rPr>
          <w:rFonts w:ascii="Arial" w:hAnsi="Arial" w:cs="Arial"/>
          <w:sz w:val="22"/>
          <w:szCs w:val="22"/>
        </w:rPr>
        <w:t>)</w:t>
      </w:r>
      <w:r w:rsidR="00CF62ED">
        <w:rPr>
          <w:rFonts w:ascii="Arial" w:hAnsi="Arial" w:cs="Arial"/>
          <w:sz w:val="22"/>
          <w:szCs w:val="22"/>
        </w:rPr>
        <w:t xml:space="preserve"> </w:t>
      </w:r>
      <w:r w:rsidR="00D6620C">
        <w:rPr>
          <w:rFonts w:ascii="Arial" w:hAnsi="Arial" w:cs="Arial"/>
          <w:sz w:val="22"/>
          <w:szCs w:val="22"/>
        </w:rPr>
        <w:t xml:space="preserve">To capture both GWAS-significant and sub-GWAS-significant predictive signals from the genome, we </w:t>
      </w:r>
      <w:r w:rsidR="00807B69">
        <w:rPr>
          <w:rFonts w:ascii="Arial" w:hAnsi="Arial" w:cs="Arial"/>
          <w:sz w:val="22"/>
          <w:szCs w:val="22"/>
        </w:rPr>
        <w:t xml:space="preserve">will use the entire exome genotype array data measured </w:t>
      </w:r>
      <w:r w:rsidR="00DB13DF">
        <w:rPr>
          <w:rFonts w:ascii="Arial" w:hAnsi="Arial" w:cs="Arial"/>
          <w:sz w:val="22"/>
          <w:szCs w:val="22"/>
        </w:rPr>
        <w:t>on individuals in the study.</w:t>
      </w:r>
      <w:r w:rsidR="00E50895">
        <w:rPr>
          <w:rFonts w:ascii="Arial" w:hAnsi="Arial" w:cs="Arial"/>
          <w:sz w:val="22"/>
          <w:szCs w:val="22"/>
        </w:rPr>
        <w:t xml:space="preserve">     </w:t>
      </w:r>
      <w:r w:rsidR="00043D13">
        <w:rPr>
          <w:rFonts w:ascii="Arial" w:hAnsi="Arial" w:cs="Arial"/>
          <w:sz w:val="22"/>
          <w:szCs w:val="22"/>
        </w:rPr>
        <w:t xml:space="preserve">  </w:t>
      </w:r>
    </w:p>
    <w:p w:rsidR="009130EE" w:rsidRDefault="00F44B38" w:rsidP="00030A65">
      <w:pPr>
        <w:ind w:firstLine="720"/>
        <w:jc w:val="both"/>
        <w:rPr>
          <w:rFonts w:ascii="Arial" w:hAnsi="Arial" w:cs="Arial"/>
          <w:sz w:val="22"/>
          <w:szCs w:val="22"/>
        </w:rPr>
      </w:pPr>
      <w:r>
        <w:rPr>
          <w:rFonts w:ascii="Arial" w:hAnsi="Arial" w:cs="Arial"/>
          <w:sz w:val="22"/>
          <w:szCs w:val="22"/>
        </w:rPr>
        <w:t>The Marshfield Clinic Research Institute (MCRI) has collected, maint</w:t>
      </w:r>
      <w:r w:rsidR="00043D13">
        <w:rPr>
          <w:rFonts w:ascii="Arial" w:hAnsi="Arial" w:cs="Arial"/>
          <w:sz w:val="22"/>
          <w:szCs w:val="22"/>
        </w:rPr>
        <w:t>ained, and enhanced the PMR</w:t>
      </w:r>
      <w:r w:rsidR="00DB13DF">
        <w:rPr>
          <w:rFonts w:ascii="Arial" w:hAnsi="Arial" w:cs="Arial"/>
          <w:sz w:val="22"/>
          <w:szCs w:val="22"/>
        </w:rPr>
        <w:t xml:space="preserve">P, which has played an integral role in numerous </w:t>
      </w:r>
      <w:r w:rsidR="00A15747">
        <w:rPr>
          <w:rFonts w:ascii="Arial" w:hAnsi="Arial" w:cs="Arial"/>
          <w:sz w:val="22"/>
          <w:szCs w:val="22"/>
        </w:rPr>
        <w:t>disease susceptibility studies.</w:t>
      </w:r>
      <w:r w:rsidR="00A15747" w:rsidRPr="00A15747">
        <w:rPr>
          <w:rFonts w:ascii="Arial" w:hAnsi="Arial" w:cs="Arial"/>
          <w:sz w:val="22"/>
          <w:szCs w:val="22"/>
          <w:vertAlign w:val="superscript"/>
        </w:rPr>
        <w:t>17</w:t>
      </w:r>
      <w:proofErr w:type="gramStart"/>
      <w:r w:rsidR="00A15747" w:rsidRPr="00A15747">
        <w:rPr>
          <w:rFonts w:ascii="Arial" w:hAnsi="Arial" w:cs="Arial"/>
          <w:sz w:val="22"/>
          <w:szCs w:val="22"/>
          <w:vertAlign w:val="superscript"/>
        </w:rPr>
        <w:t>,22</w:t>
      </w:r>
      <w:proofErr w:type="gramEnd"/>
      <w:r w:rsidR="00A15747" w:rsidRPr="00A15747">
        <w:rPr>
          <w:rFonts w:ascii="Arial" w:hAnsi="Arial" w:cs="Arial"/>
          <w:sz w:val="22"/>
          <w:szCs w:val="22"/>
          <w:vertAlign w:val="superscript"/>
        </w:rPr>
        <w:t>-2</w:t>
      </w:r>
      <w:r w:rsidR="00C95316">
        <w:rPr>
          <w:rFonts w:ascii="Arial" w:hAnsi="Arial" w:cs="Arial"/>
          <w:sz w:val="22"/>
          <w:szCs w:val="22"/>
          <w:vertAlign w:val="superscript"/>
        </w:rPr>
        <w:t>7</w:t>
      </w:r>
      <w:r w:rsidR="00BB0A49">
        <w:rPr>
          <w:rFonts w:ascii="Arial" w:hAnsi="Arial" w:cs="Arial"/>
          <w:sz w:val="22"/>
          <w:szCs w:val="22"/>
        </w:rPr>
        <w:t xml:space="preserve"> </w:t>
      </w:r>
      <w:r w:rsidR="00E12F11">
        <w:rPr>
          <w:rFonts w:ascii="Arial" w:hAnsi="Arial" w:cs="Arial"/>
          <w:sz w:val="22"/>
          <w:szCs w:val="22"/>
        </w:rPr>
        <w:t>The Integrated Research &amp; Development Laboratory, a service center at MCRI under the direction of Dr. Meece, has implemented a high-throughput pipeline for utilization of plasma samples from the PMRP. Dr. Schrodi has exploited this resource in quantifying inflammatory cytokines on &gt;2,000 samples and immune-metabolic markers on &gt;600 samples</w:t>
      </w:r>
      <w:r w:rsidR="009273CE">
        <w:rPr>
          <w:rFonts w:ascii="Arial" w:hAnsi="Arial" w:cs="Arial"/>
          <w:sz w:val="22"/>
          <w:szCs w:val="22"/>
        </w:rPr>
        <w:t>, resulting in a high utility Bayesian Network classifier for type 2 diabetes in samples obtained prior to clinical diagnosis (AUC=0.91)</w:t>
      </w:r>
      <w:r w:rsidR="00E12F11">
        <w:rPr>
          <w:rFonts w:ascii="Arial" w:hAnsi="Arial" w:cs="Arial"/>
          <w:sz w:val="22"/>
          <w:szCs w:val="22"/>
        </w:rPr>
        <w:t xml:space="preserve">. </w:t>
      </w:r>
      <w:r w:rsidR="00B47DC6">
        <w:rPr>
          <w:rFonts w:ascii="Arial" w:hAnsi="Arial" w:cs="Arial"/>
          <w:sz w:val="22"/>
          <w:szCs w:val="22"/>
        </w:rPr>
        <w:t>The MCRI houses the Biomedical Informatics Research Center, a service center with considerable computational infrastructure consisting of a research dat</w:t>
      </w:r>
      <w:r w:rsidR="00D5527B">
        <w:rPr>
          <w:rFonts w:ascii="Arial" w:hAnsi="Arial" w:cs="Arial"/>
          <w:sz w:val="22"/>
          <w:szCs w:val="22"/>
        </w:rPr>
        <w:t xml:space="preserve">a warehouse built to store health and biological data and the High Performance Computing Cluster designed to perform complex analyses of high dimensional </w:t>
      </w:r>
      <w:r w:rsidR="00B47DC6">
        <w:rPr>
          <w:rFonts w:ascii="Arial" w:hAnsi="Arial" w:cs="Arial"/>
          <w:sz w:val="22"/>
          <w:szCs w:val="22"/>
        </w:rPr>
        <w:t xml:space="preserve">data. Preliminary queries have been performed by this Center under the guidance of Dr. Schrodi to identify individuals satisfying a rigorous set of criteria </w:t>
      </w:r>
      <w:r w:rsidR="00D32A08">
        <w:rPr>
          <w:rFonts w:ascii="Arial" w:hAnsi="Arial" w:cs="Arial"/>
          <w:sz w:val="22"/>
          <w:szCs w:val="22"/>
        </w:rPr>
        <w:t>involving ICD codes and</w:t>
      </w:r>
      <w:r w:rsidR="00B47DC6">
        <w:rPr>
          <w:rFonts w:ascii="Arial" w:hAnsi="Arial" w:cs="Arial"/>
          <w:sz w:val="22"/>
          <w:szCs w:val="22"/>
        </w:rPr>
        <w:t xml:space="preserve"> clinical </w:t>
      </w:r>
      <w:r w:rsidR="00D32A08">
        <w:rPr>
          <w:rFonts w:ascii="Arial" w:hAnsi="Arial" w:cs="Arial"/>
          <w:sz w:val="22"/>
          <w:szCs w:val="22"/>
        </w:rPr>
        <w:t>laboratory measurements</w:t>
      </w:r>
      <w:r w:rsidR="00B47DC6">
        <w:rPr>
          <w:rFonts w:ascii="Arial" w:hAnsi="Arial" w:cs="Arial"/>
          <w:sz w:val="22"/>
          <w:szCs w:val="22"/>
        </w:rPr>
        <w:t xml:space="preserve"> for each disease studied</w:t>
      </w:r>
      <w:r w:rsidR="00F00B54">
        <w:rPr>
          <w:rFonts w:ascii="Arial" w:hAnsi="Arial" w:cs="Arial"/>
          <w:sz w:val="22"/>
          <w:szCs w:val="22"/>
        </w:rPr>
        <w:t>. Dr. Schrodi has 17</w:t>
      </w:r>
      <w:r w:rsidR="00D32A08">
        <w:rPr>
          <w:rFonts w:ascii="Arial" w:hAnsi="Arial" w:cs="Arial"/>
          <w:sz w:val="22"/>
          <w:szCs w:val="22"/>
        </w:rPr>
        <w:t xml:space="preserve"> years of post-PhD experience performing human genomic experiments and statistical analyses on genetic and biological data using Bayesian methods, machine learning algorithms, permutation routines, Monte Carlo simulations, and various frequentist tests. He has designed and managed several large-scale genetic mapping studies of inflammatory diseases (~$1.6M/study) in the biotechnology industry for over a decade. Recently, using the PMRP samples, he has conducted studies of genetic variants underlying cytokine expression and </w:t>
      </w:r>
      <w:r w:rsidR="009273CE">
        <w:rPr>
          <w:rFonts w:ascii="Arial" w:hAnsi="Arial" w:cs="Arial"/>
          <w:sz w:val="22"/>
          <w:szCs w:val="22"/>
        </w:rPr>
        <w:t>recessive</w:t>
      </w:r>
      <w:r w:rsidR="00D32A08">
        <w:rPr>
          <w:rFonts w:ascii="Arial" w:hAnsi="Arial" w:cs="Arial"/>
          <w:sz w:val="22"/>
          <w:szCs w:val="22"/>
        </w:rPr>
        <w:t xml:space="preserve"> </w:t>
      </w:r>
      <w:proofErr w:type="spellStart"/>
      <w:r w:rsidR="00D32A08">
        <w:rPr>
          <w:rFonts w:ascii="Arial" w:hAnsi="Arial" w:cs="Arial"/>
          <w:sz w:val="22"/>
          <w:szCs w:val="22"/>
        </w:rPr>
        <w:t>diplotypes</w:t>
      </w:r>
      <w:proofErr w:type="spellEnd"/>
      <w:r w:rsidR="00D32A08">
        <w:rPr>
          <w:rFonts w:ascii="Arial" w:hAnsi="Arial" w:cs="Arial"/>
          <w:sz w:val="22"/>
          <w:szCs w:val="22"/>
        </w:rPr>
        <w:t xml:space="preserve"> across the diseases proposed in this study.  </w:t>
      </w:r>
    </w:p>
    <w:p w:rsidR="00F85B09" w:rsidRDefault="00D32A08" w:rsidP="009130EE">
      <w:pPr>
        <w:ind w:firstLine="720"/>
        <w:jc w:val="both"/>
        <w:rPr>
          <w:rFonts w:ascii="Arial" w:hAnsi="Arial" w:cs="Arial"/>
          <w:sz w:val="22"/>
          <w:szCs w:val="22"/>
        </w:rPr>
      </w:pPr>
      <w:r>
        <w:rPr>
          <w:rFonts w:ascii="Arial" w:hAnsi="Arial" w:cs="Arial"/>
          <w:sz w:val="22"/>
          <w:szCs w:val="22"/>
        </w:rPr>
        <w:t xml:space="preserve">Dr. Judy Smith, a collaborator with Dr. Schrodi on </w:t>
      </w:r>
      <w:r w:rsidR="00334871">
        <w:rPr>
          <w:rFonts w:ascii="Arial" w:hAnsi="Arial" w:cs="Arial"/>
          <w:sz w:val="22"/>
          <w:szCs w:val="22"/>
        </w:rPr>
        <w:t xml:space="preserve">several studies including a Rheumatology Research Foundation-funded study on ankylosing spondylitis, has considerable clinical expertise and expert knowledge of immunology. </w:t>
      </w:r>
      <w:r w:rsidR="00F25A84">
        <w:rPr>
          <w:rFonts w:ascii="Arial" w:hAnsi="Arial" w:cs="Arial"/>
          <w:sz w:val="22"/>
          <w:szCs w:val="22"/>
        </w:rPr>
        <w:t xml:space="preserve">Dr. Smith is a tenured associate professor in the University of Wisconsin-Madison School of Medicine &amp; Public Health. </w:t>
      </w:r>
      <w:r w:rsidR="00334871">
        <w:rPr>
          <w:rFonts w:ascii="Arial" w:hAnsi="Arial" w:cs="Arial"/>
          <w:sz w:val="22"/>
          <w:szCs w:val="22"/>
        </w:rPr>
        <w:t>Drs. Smith and Schrodi recently published the results of a study showing how genetic v</w:t>
      </w:r>
      <w:r w:rsidR="00362BEF">
        <w:rPr>
          <w:rFonts w:ascii="Arial" w:hAnsi="Arial" w:cs="Arial"/>
          <w:sz w:val="22"/>
          <w:szCs w:val="22"/>
        </w:rPr>
        <w:t>ariants and expression of Tnfaip</w:t>
      </w:r>
      <w:r w:rsidR="00334871">
        <w:rPr>
          <w:rFonts w:ascii="Arial" w:hAnsi="Arial" w:cs="Arial"/>
          <w:sz w:val="22"/>
          <w:szCs w:val="22"/>
        </w:rPr>
        <w:t>3 contribute to differential macrophage responses in individuals with ankylosing spondyl</w:t>
      </w:r>
      <w:r w:rsidR="00C95316">
        <w:rPr>
          <w:rFonts w:ascii="Arial" w:hAnsi="Arial" w:cs="Arial"/>
          <w:sz w:val="22"/>
          <w:szCs w:val="22"/>
        </w:rPr>
        <w:t>itis compared to controls.</w:t>
      </w:r>
      <w:r w:rsidR="00C95316" w:rsidRPr="00C95316">
        <w:rPr>
          <w:rFonts w:ascii="Arial" w:hAnsi="Arial" w:cs="Arial"/>
          <w:sz w:val="22"/>
          <w:szCs w:val="22"/>
          <w:vertAlign w:val="superscript"/>
        </w:rPr>
        <w:t>28</w:t>
      </w:r>
      <w:r w:rsidR="00334871">
        <w:rPr>
          <w:rFonts w:ascii="Arial" w:hAnsi="Arial" w:cs="Arial"/>
          <w:sz w:val="22"/>
          <w:szCs w:val="22"/>
        </w:rPr>
        <w:t xml:space="preserve"> </w:t>
      </w:r>
    </w:p>
    <w:p w:rsidR="00726FD1" w:rsidRDefault="009273CE" w:rsidP="009130EE">
      <w:pPr>
        <w:ind w:firstLine="720"/>
        <w:jc w:val="both"/>
        <w:rPr>
          <w:rFonts w:ascii="Arial" w:hAnsi="Arial" w:cs="Arial"/>
          <w:sz w:val="22"/>
          <w:szCs w:val="22"/>
        </w:rPr>
      </w:pPr>
      <w:r>
        <w:rPr>
          <w:rFonts w:ascii="Arial" w:hAnsi="Arial" w:cs="Arial"/>
          <w:sz w:val="22"/>
          <w:szCs w:val="22"/>
        </w:rPr>
        <w:t>Dr. Shicheng Guo</w:t>
      </w:r>
      <w:r w:rsidR="005418E9">
        <w:rPr>
          <w:rFonts w:ascii="Arial" w:hAnsi="Arial" w:cs="Arial"/>
          <w:sz w:val="22"/>
          <w:szCs w:val="22"/>
        </w:rPr>
        <w:t xml:space="preserve"> </w:t>
      </w:r>
      <w:r w:rsidR="00D7635A">
        <w:rPr>
          <w:rFonts w:ascii="Arial" w:hAnsi="Arial" w:cs="Arial"/>
          <w:sz w:val="22"/>
          <w:szCs w:val="22"/>
        </w:rPr>
        <w:t>has also colla</w:t>
      </w:r>
      <w:r>
        <w:rPr>
          <w:rFonts w:ascii="Arial" w:hAnsi="Arial" w:cs="Arial"/>
          <w:sz w:val="22"/>
          <w:szCs w:val="22"/>
        </w:rPr>
        <w:t>borated with Dr. Schrodi. Dr. Guo</w:t>
      </w:r>
      <w:r w:rsidR="00D7635A">
        <w:rPr>
          <w:rFonts w:ascii="Arial" w:hAnsi="Arial" w:cs="Arial"/>
          <w:sz w:val="22"/>
          <w:szCs w:val="22"/>
        </w:rPr>
        <w:t xml:space="preserve"> has training and experti</w:t>
      </w:r>
      <w:r>
        <w:rPr>
          <w:rFonts w:ascii="Arial" w:hAnsi="Arial" w:cs="Arial"/>
          <w:sz w:val="22"/>
          <w:szCs w:val="22"/>
        </w:rPr>
        <w:t>se in human genetics and computational genetics. Dr. Guo</w:t>
      </w:r>
      <w:r w:rsidR="00D7635A">
        <w:rPr>
          <w:rFonts w:ascii="Arial" w:hAnsi="Arial" w:cs="Arial"/>
          <w:sz w:val="22"/>
          <w:szCs w:val="22"/>
        </w:rPr>
        <w:t xml:space="preserve"> has conducted research in genetic ana</w:t>
      </w:r>
      <w:r>
        <w:rPr>
          <w:rFonts w:ascii="Arial" w:hAnsi="Arial" w:cs="Arial"/>
          <w:sz w:val="22"/>
          <w:szCs w:val="22"/>
        </w:rPr>
        <w:t xml:space="preserve">lyses, epigenetics, </w:t>
      </w:r>
      <w:r w:rsidR="00D7635A">
        <w:rPr>
          <w:rFonts w:ascii="Arial" w:hAnsi="Arial" w:cs="Arial"/>
          <w:sz w:val="22"/>
          <w:szCs w:val="22"/>
        </w:rPr>
        <w:t xml:space="preserve">computational biology, and </w:t>
      </w:r>
      <w:r>
        <w:rPr>
          <w:rFonts w:ascii="Arial" w:hAnsi="Arial" w:cs="Arial"/>
          <w:sz w:val="22"/>
          <w:szCs w:val="22"/>
        </w:rPr>
        <w:t>bioinformatics.</w:t>
      </w:r>
      <w:r w:rsidR="00D7635A">
        <w:rPr>
          <w:rFonts w:ascii="Arial" w:hAnsi="Arial" w:cs="Arial"/>
          <w:sz w:val="22"/>
          <w:szCs w:val="22"/>
        </w:rPr>
        <w:t xml:space="preserve"> </w:t>
      </w:r>
      <w:r w:rsidR="008B42E3">
        <w:rPr>
          <w:rFonts w:ascii="Arial" w:hAnsi="Arial" w:cs="Arial"/>
          <w:sz w:val="22"/>
          <w:szCs w:val="22"/>
        </w:rPr>
        <w:t xml:space="preserve">Dr. Guo is currently a postdoctoral fellow in Dr. </w:t>
      </w:r>
      <w:proofErr w:type="spellStart"/>
      <w:r w:rsidR="008B42E3">
        <w:rPr>
          <w:rFonts w:ascii="Arial" w:hAnsi="Arial" w:cs="Arial"/>
          <w:sz w:val="22"/>
          <w:szCs w:val="22"/>
        </w:rPr>
        <w:t>Schrodi’s</w:t>
      </w:r>
      <w:proofErr w:type="spellEnd"/>
      <w:r w:rsidR="008B42E3">
        <w:rPr>
          <w:rFonts w:ascii="Arial" w:hAnsi="Arial" w:cs="Arial"/>
          <w:sz w:val="22"/>
          <w:szCs w:val="22"/>
        </w:rPr>
        <w:t xml:space="preserve"> laboratory.</w:t>
      </w:r>
    </w:p>
    <w:p w:rsidR="005418E9" w:rsidRDefault="00726FD1" w:rsidP="009130EE">
      <w:pPr>
        <w:ind w:firstLine="720"/>
        <w:jc w:val="both"/>
        <w:rPr>
          <w:rFonts w:ascii="Arial" w:hAnsi="Arial" w:cs="Arial"/>
          <w:sz w:val="22"/>
          <w:szCs w:val="22"/>
        </w:rPr>
      </w:pPr>
      <w:r>
        <w:rPr>
          <w:rFonts w:ascii="Arial" w:hAnsi="Arial" w:cs="Arial"/>
          <w:sz w:val="22"/>
          <w:szCs w:val="22"/>
        </w:rPr>
        <w:t>Drs. Trappl-Kimmons and Liang have considerable expertise in developing, assaying and analyzing high-throughput antigen/antibody</w:t>
      </w:r>
      <w:r w:rsidR="005F54DD">
        <w:rPr>
          <w:rFonts w:ascii="Arial" w:hAnsi="Arial" w:cs="Arial"/>
          <w:sz w:val="22"/>
          <w:szCs w:val="22"/>
        </w:rPr>
        <w:t xml:space="preserve"> assays. </w:t>
      </w:r>
      <w:r>
        <w:rPr>
          <w:rFonts w:ascii="Arial" w:hAnsi="Arial" w:cs="Arial"/>
          <w:sz w:val="22"/>
          <w:szCs w:val="22"/>
        </w:rPr>
        <w:t xml:space="preserve"> </w:t>
      </w:r>
      <w:r w:rsidR="00D7635A">
        <w:rPr>
          <w:rFonts w:ascii="Arial" w:hAnsi="Arial" w:cs="Arial"/>
          <w:sz w:val="22"/>
          <w:szCs w:val="22"/>
        </w:rPr>
        <w:t xml:space="preserve"> </w:t>
      </w:r>
    </w:p>
    <w:p w:rsidR="00A91686" w:rsidRPr="00A91686" w:rsidRDefault="00334871" w:rsidP="004C65B3">
      <w:pPr>
        <w:ind w:firstLine="720"/>
        <w:jc w:val="both"/>
        <w:rPr>
          <w:rFonts w:ascii="Arial" w:hAnsi="Arial" w:cs="Arial"/>
          <w:sz w:val="22"/>
          <w:szCs w:val="22"/>
        </w:rPr>
      </w:pPr>
      <w:r>
        <w:rPr>
          <w:rFonts w:ascii="Arial" w:hAnsi="Arial" w:cs="Arial"/>
          <w:sz w:val="22"/>
          <w:szCs w:val="22"/>
        </w:rPr>
        <w:t>Dr. Ma</w:t>
      </w:r>
      <w:r w:rsidR="001D20A1">
        <w:rPr>
          <w:rFonts w:ascii="Arial" w:hAnsi="Arial" w:cs="Arial"/>
          <w:sz w:val="22"/>
          <w:szCs w:val="22"/>
        </w:rPr>
        <w:t>adooliat, a tenure-track assistant professor</w:t>
      </w:r>
      <w:r>
        <w:rPr>
          <w:rFonts w:ascii="Arial" w:hAnsi="Arial" w:cs="Arial"/>
          <w:sz w:val="22"/>
          <w:szCs w:val="22"/>
        </w:rPr>
        <w:t xml:space="preserve"> in </w:t>
      </w:r>
      <w:r w:rsidR="001D20A1">
        <w:rPr>
          <w:rFonts w:ascii="Arial" w:hAnsi="Arial" w:cs="Arial"/>
          <w:sz w:val="22"/>
          <w:szCs w:val="22"/>
        </w:rPr>
        <w:t>Mathematics, S</w:t>
      </w:r>
      <w:r>
        <w:rPr>
          <w:rFonts w:ascii="Arial" w:hAnsi="Arial" w:cs="Arial"/>
          <w:sz w:val="22"/>
          <w:szCs w:val="22"/>
        </w:rPr>
        <w:t>tatistics</w:t>
      </w:r>
      <w:r w:rsidR="001D20A1">
        <w:rPr>
          <w:rFonts w:ascii="Arial" w:hAnsi="Arial" w:cs="Arial"/>
          <w:sz w:val="22"/>
          <w:szCs w:val="22"/>
        </w:rPr>
        <w:t xml:space="preserve"> and Computer Science at</w:t>
      </w:r>
      <w:r w:rsidR="001F597E">
        <w:rPr>
          <w:rFonts w:ascii="Arial" w:hAnsi="Arial" w:cs="Arial"/>
          <w:sz w:val="22"/>
          <w:szCs w:val="22"/>
        </w:rPr>
        <w:t xml:space="preserve"> Marquette University</w:t>
      </w:r>
      <w:r>
        <w:rPr>
          <w:rFonts w:ascii="Arial" w:hAnsi="Arial" w:cs="Arial"/>
          <w:sz w:val="22"/>
          <w:szCs w:val="22"/>
        </w:rPr>
        <w:t xml:space="preserve">, is also a </w:t>
      </w:r>
      <w:r w:rsidR="001F597E">
        <w:rPr>
          <w:rFonts w:ascii="Arial" w:hAnsi="Arial" w:cs="Arial"/>
          <w:sz w:val="22"/>
          <w:szCs w:val="22"/>
        </w:rPr>
        <w:t>close collaborator with</w:t>
      </w:r>
      <w:r>
        <w:rPr>
          <w:rFonts w:ascii="Arial" w:hAnsi="Arial" w:cs="Arial"/>
          <w:sz w:val="22"/>
          <w:szCs w:val="22"/>
        </w:rPr>
        <w:t xml:space="preserve"> Dr. Schrodi</w:t>
      </w:r>
      <w:r w:rsidR="001F597E">
        <w:rPr>
          <w:rFonts w:ascii="Arial" w:hAnsi="Arial" w:cs="Arial"/>
          <w:sz w:val="22"/>
          <w:szCs w:val="22"/>
        </w:rPr>
        <w:t xml:space="preserve">. </w:t>
      </w:r>
      <w:r w:rsidR="008B42E3">
        <w:rPr>
          <w:rFonts w:ascii="Arial" w:hAnsi="Arial" w:cs="Arial"/>
          <w:sz w:val="22"/>
          <w:szCs w:val="22"/>
        </w:rPr>
        <w:t xml:space="preserve">Dr. Maadooliat has spent the last three years working from the Center for Human Genetics at the Marshfield Clinic Research Institute where he is a faculty member, sponsored by Dr. Schrodi. </w:t>
      </w:r>
      <w:r w:rsidR="00F258A3">
        <w:rPr>
          <w:rFonts w:ascii="Arial" w:hAnsi="Arial" w:cs="Arial"/>
          <w:sz w:val="22"/>
          <w:szCs w:val="22"/>
        </w:rPr>
        <w:t xml:space="preserve">Dr. Maadooliat has considerable expertise in statistical/computational methods applied to protein structure and functional data analysis. </w:t>
      </w:r>
      <w:r w:rsidR="008B42E3">
        <w:rPr>
          <w:rFonts w:ascii="Arial" w:hAnsi="Arial" w:cs="Arial"/>
          <w:sz w:val="22"/>
          <w:szCs w:val="22"/>
        </w:rPr>
        <w:t>Drs.</w:t>
      </w:r>
      <w:r w:rsidR="001F597E">
        <w:rPr>
          <w:rFonts w:ascii="Arial" w:hAnsi="Arial" w:cs="Arial"/>
          <w:sz w:val="22"/>
          <w:szCs w:val="22"/>
        </w:rPr>
        <w:t xml:space="preserve"> </w:t>
      </w:r>
      <w:r w:rsidR="008B42E3">
        <w:rPr>
          <w:rFonts w:ascii="Arial" w:hAnsi="Arial" w:cs="Arial"/>
          <w:sz w:val="22"/>
          <w:szCs w:val="22"/>
        </w:rPr>
        <w:t xml:space="preserve">Maadooliat and </w:t>
      </w:r>
      <w:r w:rsidR="001F597E">
        <w:rPr>
          <w:rFonts w:ascii="Arial" w:hAnsi="Arial" w:cs="Arial"/>
          <w:sz w:val="22"/>
          <w:szCs w:val="22"/>
        </w:rPr>
        <w:t>Schrodi have jointly conducted research in the areas of linkage disequilibrium patterns from disease loci</w:t>
      </w:r>
      <w:r w:rsidR="00C95316" w:rsidRPr="00C95316">
        <w:rPr>
          <w:rFonts w:ascii="Arial" w:hAnsi="Arial" w:cs="Arial"/>
          <w:sz w:val="22"/>
          <w:szCs w:val="22"/>
          <w:vertAlign w:val="superscript"/>
        </w:rPr>
        <w:t>29</w:t>
      </w:r>
      <w:r w:rsidR="001F597E">
        <w:rPr>
          <w:rFonts w:ascii="Arial" w:hAnsi="Arial" w:cs="Arial"/>
          <w:sz w:val="22"/>
          <w:szCs w:val="22"/>
        </w:rPr>
        <w:t>, Bayesian multiple testing</w:t>
      </w:r>
      <w:r w:rsidR="00C95316" w:rsidRPr="00C95316">
        <w:rPr>
          <w:rFonts w:ascii="Arial" w:hAnsi="Arial" w:cs="Arial"/>
          <w:sz w:val="22"/>
          <w:szCs w:val="22"/>
          <w:vertAlign w:val="superscript"/>
        </w:rPr>
        <w:t>30</w:t>
      </w:r>
      <w:r w:rsidR="001F597E">
        <w:rPr>
          <w:rFonts w:ascii="Arial" w:hAnsi="Arial" w:cs="Arial"/>
          <w:sz w:val="22"/>
          <w:szCs w:val="22"/>
        </w:rPr>
        <w:t>, and identifying disease susceptibility genes through shared chromosomal regions.</w:t>
      </w:r>
      <w:r w:rsidR="008B42E3">
        <w:rPr>
          <w:rFonts w:ascii="Arial" w:hAnsi="Arial" w:cs="Arial"/>
          <w:sz w:val="22"/>
          <w:szCs w:val="22"/>
        </w:rPr>
        <w:t xml:space="preserve"> Two published manuscripts have resulted from the collaboration.</w:t>
      </w:r>
      <w:r w:rsidR="001F597E">
        <w:rPr>
          <w:rFonts w:ascii="Arial" w:hAnsi="Arial" w:cs="Arial"/>
          <w:sz w:val="22"/>
          <w:szCs w:val="22"/>
        </w:rPr>
        <w:t xml:space="preserve"> </w:t>
      </w:r>
      <w:r>
        <w:rPr>
          <w:rFonts w:ascii="Arial" w:hAnsi="Arial" w:cs="Arial"/>
          <w:sz w:val="22"/>
          <w:szCs w:val="22"/>
        </w:rPr>
        <w:t xml:space="preserve">  </w:t>
      </w:r>
      <w:r w:rsidR="00D32A08">
        <w:rPr>
          <w:rFonts w:ascii="Arial" w:hAnsi="Arial" w:cs="Arial"/>
          <w:sz w:val="22"/>
          <w:szCs w:val="22"/>
        </w:rPr>
        <w:t xml:space="preserve">   </w:t>
      </w:r>
      <w:r w:rsidR="00E12F11">
        <w:rPr>
          <w:rFonts w:ascii="Arial" w:hAnsi="Arial" w:cs="Arial"/>
          <w:sz w:val="22"/>
          <w:szCs w:val="22"/>
        </w:rPr>
        <w:t xml:space="preserve">  </w:t>
      </w:r>
      <w:r w:rsidR="00BB0A49">
        <w:rPr>
          <w:rFonts w:ascii="Arial" w:hAnsi="Arial" w:cs="Arial"/>
          <w:sz w:val="22"/>
          <w:szCs w:val="22"/>
        </w:rPr>
        <w:t xml:space="preserve"> </w:t>
      </w:r>
    </w:p>
    <w:p w:rsidR="00F44B38" w:rsidRDefault="00F44B38" w:rsidP="00FA262F">
      <w:pPr>
        <w:spacing w:line="120" w:lineRule="auto"/>
        <w:ind w:left="360"/>
        <w:jc w:val="both"/>
        <w:rPr>
          <w:rFonts w:ascii="Arial" w:hAnsi="Arial" w:cs="Arial"/>
          <w:b/>
          <w:sz w:val="22"/>
          <w:szCs w:val="22"/>
        </w:rPr>
      </w:pPr>
    </w:p>
    <w:p w:rsidR="00267A0A" w:rsidRPr="003D68B7" w:rsidRDefault="00267A0A" w:rsidP="007F76B4">
      <w:pPr>
        <w:jc w:val="both"/>
        <w:rPr>
          <w:rFonts w:ascii="Arial" w:hAnsi="Arial" w:cs="Arial"/>
          <w:sz w:val="22"/>
          <w:szCs w:val="22"/>
        </w:rPr>
      </w:pPr>
      <w:r>
        <w:rPr>
          <w:rFonts w:ascii="Arial" w:hAnsi="Arial" w:cs="Arial"/>
          <w:b/>
          <w:sz w:val="22"/>
          <w:szCs w:val="22"/>
        </w:rPr>
        <w:t>A4. Scientific knowledge gained:</w:t>
      </w:r>
      <w:r w:rsidR="003D68B7">
        <w:rPr>
          <w:rFonts w:ascii="Arial" w:hAnsi="Arial" w:cs="Arial"/>
          <w:sz w:val="22"/>
          <w:szCs w:val="22"/>
        </w:rPr>
        <w:t xml:space="preserve"> The development of predictive models for one or more common diseases would provide </w:t>
      </w:r>
      <w:r w:rsidR="00266B7C">
        <w:rPr>
          <w:rFonts w:ascii="Arial" w:hAnsi="Arial" w:cs="Arial"/>
          <w:sz w:val="22"/>
          <w:szCs w:val="22"/>
        </w:rPr>
        <w:t xml:space="preserve">substantial </w:t>
      </w:r>
      <w:r w:rsidR="00C70337">
        <w:rPr>
          <w:rFonts w:ascii="Arial" w:hAnsi="Arial" w:cs="Arial"/>
          <w:sz w:val="22"/>
          <w:szCs w:val="22"/>
        </w:rPr>
        <w:t>insight into how molecular intermediate ph</w:t>
      </w:r>
      <w:r w:rsidR="00266B7C">
        <w:rPr>
          <w:rFonts w:ascii="Arial" w:hAnsi="Arial" w:cs="Arial"/>
          <w:sz w:val="22"/>
          <w:szCs w:val="22"/>
        </w:rPr>
        <w:t>enotypes can be used to predict</w:t>
      </w:r>
      <w:r w:rsidR="00C70337">
        <w:rPr>
          <w:rFonts w:ascii="Arial" w:hAnsi="Arial" w:cs="Arial"/>
          <w:sz w:val="22"/>
          <w:szCs w:val="22"/>
        </w:rPr>
        <w:t xml:space="preserve"> disease states and could significantly facilitate early treatment of those conditions.</w:t>
      </w:r>
      <w:r w:rsidR="00B47DC6">
        <w:rPr>
          <w:rFonts w:ascii="Arial" w:hAnsi="Arial" w:cs="Arial"/>
          <w:sz w:val="22"/>
          <w:szCs w:val="22"/>
        </w:rPr>
        <w:t xml:space="preserve"> </w:t>
      </w:r>
      <w:r w:rsidR="00421A74">
        <w:rPr>
          <w:rFonts w:ascii="Arial" w:hAnsi="Arial" w:cs="Arial"/>
          <w:sz w:val="22"/>
          <w:szCs w:val="22"/>
        </w:rPr>
        <w:t xml:space="preserve">Importantly, </w:t>
      </w:r>
      <w:r w:rsidR="00F30881">
        <w:rPr>
          <w:rFonts w:ascii="Arial" w:hAnsi="Arial" w:cs="Arial"/>
          <w:sz w:val="22"/>
          <w:szCs w:val="22"/>
        </w:rPr>
        <w:t xml:space="preserve">(1) </w:t>
      </w:r>
      <w:proofErr w:type="gramStart"/>
      <w:r w:rsidR="00F30881">
        <w:rPr>
          <w:rFonts w:ascii="Arial" w:hAnsi="Arial" w:cs="Arial"/>
          <w:sz w:val="22"/>
          <w:szCs w:val="22"/>
        </w:rPr>
        <w:t>This</w:t>
      </w:r>
      <w:proofErr w:type="gramEnd"/>
      <w:r w:rsidR="00F30881">
        <w:rPr>
          <w:rFonts w:ascii="Arial" w:hAnsi="Arial" w:cs="Arial"/>
          <w:sz w:val="22"/>
          <w:szCs w:val="22"/>
        </w:rPr>
        <w:t xml:space="preserve"> study will </w:t>
      </w:r>
      <w:r w:rsidR="00007B9A">
        <w:rPr>
          <w:rFonts w:ascii="Arial" w:hAnsi="Arial" w:cs="Arial"/>
          <w:sz w:val="22"/>
          <w:szCs w:val="22"/>
        </w:rPr>
        <w:lastRenderedPageBreak/>
        <w:t xml:space="preserve">evaluate each disease against matched controls and </w:t>
      </w:r>
      <w:r w:rsidR="00F30881">
        <w:rPr>
          <w:rFonts w:ascii="Arial" w:hAnsi="Arial" w:cs="Arial"/>
          <w:sz w:val="22"/>
          <w:szCs w:val="22"/>
        </w:rPr>
        <w:t xml:space="preserve">test for significant </w:t>
      </w:r>
      <w:r w:rsidR="00007B9A">
        <w:rPr>
          <w:rFonts w:ascii="Arial" w:hAnsi="Arial" w:cs="Arial"/>
          <w:sz w:val="22"/>
          <w:szCs w:val="22"/>
        </w:rPr>
        <w:t xml:space="preserve">signals from </w:t>
      </w:r>
      <w:r w:rsidR="00621C21">
        <w:rPr>
          <w:rFonts w:ascii="Arial" w:hAnsi="Arial" w:cs="Arial"/>
          <w:sz w:val="22"/>
          <w:szCs w:val="22"/>
        </w:rPr>
        <w:t>genetic</w:t>
      </w:r>
      <w:r w:rsidR="00007B9A">
        <w:rPr>
          <w:rFonts w:ascii="Arial" w:hAnsi="Arial" w:cs="Arial"/>
          <w:sz w:val="22"/>
          <w:szCs w:val="22"/>
        </w:rPr>
        <w:t xml:space="preserve"> markers</w:t>
      </w:r>
      <w:r w:rsidR="00621C21">
        <w:rPr>
          <w:rFonts w:ascii="Arial" w:hAnsi="Arial" w:cs="Arial"/>
          <w:sz w:val="22"/>
          <w:szCs w:val="22"/>
        </w:rPr>
        <w:t>, circulating proteins and antigen/antibody reactivity profiles</w:t>
      </w:r>
      <w:r w:rsidR="00007B9A">
        <w:rPr>
          <w:rFonts w:ascii="Arial" w:hAnsi="Arial" w:cs="Arial"/>
          <w:sz w:val="22"/>
          <w:szCs w:val="22"/>
        </w:rPr>
        <w:t>. Doing so will provide evidence for or against known and novel molecular markers in correlation with each disease entity</w:t>
      </w:r>
      <w:r w:rsidR="00621C21">
        <w:rPr>
          <w:rFonts w:ascii="Arial" w:hAnsi="Arial" w:cs="Arial"/>
          <w:sz w:val="22"/>
          <w:szCs w:val="22"/>
        </w:rPr>
        <w:t xml:space="preserve"> and identify specific pathways that contribute to disease etiologies</w:t>
      </w:r>
      <w:r w:rsidR="00007B9A">
        <w:rPr>
          <w:rFonts w:ascii="Arial" w:hAnsi="Arial" w:cs="Arial"/>
          <w:sz w:val="22"/>
          <w:szCs w:val="22"/>
        </w:rPr>
        <w:t>. (2</w:t>
      </w:r>
      <w:r w:rsidR="00E9372B">
        <w:rPr>
          <w:rFonts w:ascii="Arial" w:hAnsi="Arial" w:cs="Arial"/>
          <w:sz w:val="22"/>
          <w:szCs w:val="22"/>
        </w:rPr>
        <w:t>) This study will characterize the level of classification performance for</w:t>
      </w:r>
      <w:r w:rsidR="00F30881">
        <w:rPr>
          <w:rFonts w:ascii="Arial" w:hAnsi="Arial" w:cs="Arial"/>
          <w:sz w:val="22"/>
          <w:szCs w:val="22"/>
        </w:rPr>
        <w:t xml:space="preserve"> molecular-base</w:t>
      </w:r>
      <w:r w:rsidR="00621C21">
        <w:rPr>
          <w:rFonts w:ascii="Arial" w:hAnsi="Arial" w:cs="Arial"/>
          <w:sz w:val="22"/>
          <w:szCs w:val="22"/>
        </w:rPr>
        <w:t>d predictive models. (3) T</w:t>
      </w:r>
      <w:r w:rsidR="00B47DC6">
        <w:rPr>
          <w:rFonts w:ascii="Arial" w:hAnsi="Arial" w:cs="Arial"/>
          <w:sz w:val="22"/>
          <w:szCs w:val="22"/>
        </w:rPr>
        <w:t xml:space="preserve">his study will show the relative contributions of </w:t>
      </w:r>
      <w:r w:rsidR="00266B7C">
        <w:rPr>
          <w:rFonts w:ascii="Arial" w:hAnsi="Arial" w:cs="Arial"/>
          <w:sz w:val="22"/>
          <w:szCs w:val="22"/>
        </w:rPr>
        <w:t>genetics, key cytokines and metabolic proteins, and antibodie</w:t>
      </w:r>
      <w:r w:rsidR="00421A74">
        <w:rPr>
          <w:rFonts w:ascii="Arial" w:hAnsi="Arial" w:cs="Arial"/>
          <w:sz w:val="22"/>
          <w:szCs w:val="22"/>
        </w:rPr>
        <w:t>s t</w:t>
      </w:r>
      <w:r w:rsidR="00E9372B">
        <w:rPr>
          <w:rFonts w:ascii="Arial" w:hAnsi="Arial" w:cs="Arial"/>
          <w:sz w:val="22"/>
          <w:szCs w:val="22"/>
        </w:rPr>
        <w:t xml:space="preserve">o the prediction of diseases; and </w:t>
      </w:r>
      <w:r w:rsidR="00007B9A">
        <w:rPr>
          <w:rFonts w:ascii="Arial" w:hAnsi="Arial" w:cs="Arial"/>
          <w:sz w:val="22"/>
          <w:szCs w:val="22"/>
        </w:rPr>
        <w:t>(4</w:t>
      </w:r>
      <w:r w:rsidR="00421A74">
        <w:rPr>
          <w:rFonts w:ascii="Arial" w:hAnsi="Arial" w:cs="Arial"/>
          <w:sz w:val="22"/>
          <w:szCs w:val="22"/>
        </w:rPr>
        <w:t xml:space="preserve">) </w:t>
      </w:r>
      <w:proofErr w:type="gramStart"/>
      <w:r w:rsidR="00421A74">
        <w:rPr>
          <w:rFonts w:ascii="Arial" w:hAnsi="Arial" w:cs="Arial"/>
          <w:sz w:val="22"/>
          <w:szCs w:val="22"/>
        </w:rPr>
        <w:t>We</w:t>
      </w:r>
      <w:proofErr w:type="gramEnd"/>
      <w:r w:rsidR="00421A74">
        <w:rPr>
          <w:rFonts w:ascii="Arial" w:hAnsi="Arial" w:cs="Arial"/>
          <w:sz w:val="22"/>
          <w:szCs w:val="22"/>
        </w:rPr>
        <w:t xml:space="preserve"> will assess whether the panel of molecular </w:t>
      </w:r>
      <w:r w:rsidR="00757A7E">
        <w:rPr>
          <w:rFonts w:ascii="Arial" w:hAnsi="Arial" w:cs="Arial"/>
          <w:sz w:val="22"/>
          <w:szCs w:val="22"/>
        </w:rPr>
        <w:t>markers partitions patients into</w:t>
      </w:r>
      <w:r w:rsidR="00421A74">
        <w:rPr>
          <w:rFonts w:ascii="Arial" w:hAnsi="Arial" w:cs="Arial"/>
          <w:sz w:val="22"/>
          <w:szCs w:val="22"/>
        </w:rPr>
        <w:t xml:space="preserve"> significant subgroups within any o</w:t>
      </w:r>
      <w:r w:rsidR="00E9372B">
        <w:rPr>
          <w:rFonts w:ascii="Arial" w:hAnsi="Arial" w:cs="Arial"/>
          <w:sz w:val="22"/>
          <w:szCs w:val="22"/>
        </w:rPr>
        <w:t>f the diseases investigated.</w:t>
      </w:r>
      <w:r w:rsidR="00C07FE3">
        <w:rPr>
          <w:rFonts w:ascii="Arial" w:hAnsi="Arial" w:cs="Arial"/>
          <w:sz w:val="22"/>
          <w:szCs w:val="22"/>
        </w:rPr>
        <w:t xml:space="preserve"> Importantly, we will validate an initial cross-validated predictive model for rheumatoid arthritis in an independent set of rheumatoid arthritis and matched controls.</w:t>
      </w:r>
      <w:r w:rsidR="00C025A5">
        <w:rPr>
          <w:rFonts w:ascii="Arial" w:hAnsi="Arial" w:cs="Arial"/>
          <w:sz w:val="22"/>
          <w:szCs w:val="22"/>
        </w:rPr>
        <w:t xml:space="preserve"> In potential situations where we cannot develop a viable, cross-validated predictive model, then we will have generated evidence of either the lack of classifier signal from the combined action of exome genetics, dynamic biomarkers and antibodies for our sample sizes and disease definitions and/or the machine learning algorithms employed. Such negative results would suggest that new approaches to disease prediction are needed.   </w:t>
      </w:r>
      <w:r w:rsidR="00E9372B">
        <w:rPr>
          <w:rFonts w:ascii="Arial" w:hAnsi="Arial" w:cs="Arial"/>
          <w:sz w:val="22"/>
          <w:szCs w:val="22"/>
        </w:rPr>
        <w:t xml:space="preserve"> </w:t>
      </w:r>
      <w:r w:rsidR="00266B7C">
        <w:rPr>
          <w:rFonts w:ascii="Arial" w:hAnsi="Arial" w:cs="Arial"/>
          <w:sz w:val="22"/>
          <w:szCs w:val="22"/>
        </w:rPr>
        <w:t xml:space="preserve">   </w:t>
      </w:r>
      <w:r w:rsidR="00C70337">
        <w:rPr>
          <w:rFonts w:ascii="Arial" w:hAnsi="Arial" w:cs="Arial"/>
          <w:sz w:val="22"/>
          <w:szCs w:val="22"/>
        </w:rPr>
        <w:t xml:space="preserve">  </w:t>
      </w:r>
      <w:r w:rsidR="003D68B7">
        <w:rPr>
          <w:rFonts w:ascii="Arial" w:hAnsi="Arial" w:cs="Arial"/>
          <w:sz w:val="22"/>
          <w:szCs w:val="22"/>
        </w:rPr>
        <w:t xml:space="preserve"> </w:t>
      </w:r>
    </w:p>
    <w:p w:rsidR="00F44B38" w:rsidRDefault="00F44B38" w:rsidP="00FA262F">
      <w:pPr>
        <w:spacing w:line="120" w:lineRule="auto"/>
        <w:jc w:val="both"/>
        <w:rPr>
          <w:rFonts w:ascii="Arial" w:hAnsi="Arial" w:cs="Arial"/>
          <w:b/>
          <w:sz w:val="22"/>
          <w:szCs w:val="22"/>
        </w:rPr>
      </w:pPr>
    </w:p>
    <w:p w:rsidR="00426B52" w:rsidRPr="00C025A5" w:rsidRDefault="00267A0A" w:rsidP="00C025A5">
      <w:pPr>
        <w:jc w:val="both"/>
        <w:rPr>
          <w:rFonts w:ascii="Arial" w:hAnsi="Arial" w:cs="Arial"/>
          <w:b/>
          <w:sz w:val="22"/>
          <w:szCs w:val="22"/>
        </w:rPr>
      </w:pPr>
      <w:r>
        <w:rPr>
          <w:rFonts w:ascii="Arial" w:hAnsi="Arial" w:cs="Arial"/>
          <w:b/>
          <w:sz w:val="22"/>
          <w:szCs w:val="22"/>
        </w:rPr>
        <w:t>A5. Potential implications:</w:t>
      </w:r>
      <w:r w:rsidR="00611646">
        <w:rPr>
          <w:rFonts w:ascii="Arial" w:hAnsi="Arial" w:cs="Arial"/>
          <w:b/>
          <w:sz w:val="22"/>
          <w:szCs w:val="22"/>
        </w:rPr>
        <w:t xml:space="preserve"> </w:t>
      </w:r>
      <w:r w:rsidR="00145580">
        <w:rPr>
          <w:rFonts w:ascii="Arial" w:hAnsi="Arial" w:cs="Arial"/>
          <w:sz w:val="22"/>
          <w:szCs w:val="22"/>
        </w:rPr>
        <w:t>T</w:t>
      </w:r>
      <w:r w:rsidR="00EF096E">
        <w:rPr>
          <w:rFonts w:ascii="Arial" w:hAnsi="Arial" w:cs="Arial"/>
          <w:sz w:val="22"/>
          <w:szCs w:val="22"/>
        </w:rPr>
        <w:t xml:space="preserve">here has been a rapid adoption of the use of large patient populations with linked electronic medical records for the purpose of understanding the molecular </w:t>
      </w:r>
      <w:r w:rsidR="005F5326">
        <w:rPr>
          <w:rFonts w:ascii="Arial" w:hAnsi="Arial" w:cs="Arial"/>
          <w:sz w:val="22"/>
          <w:szCs w:val="22"/>
        </w:rPr>
        <w:t>pathogenesis and pathophysiology</w:t>
      </w:r>
      <w:r w:rsidR="00EF096E">
        <w:rPr>
          <w:rFonts w:ascii="Arial" w:hAnsi="Arial" w:cs="Arial"/>
          <w:sz w:val="22"/>
          <w:szCs w:val="22"/>
        </w:rPr>
        <w:t xml:space="preserve"> across a spectrum of d</w:t>
      </w:r>
      <w:r w:rsidR="00145580">
        <w:rPr>
          <w:rFonts w:ascii="Arial" w:hAnsi="Arial" w:cs="Arial"/>
          <w:sz w:val="22"/>
          <w:szCs w:val="22"/>
        </w:rPr>
        <w:t>isease phenotypes. T</w:t>
      </w:r>
      <w:r w:rsidR="00CA0E12">
        <w:rPr>
          <w:rFonts w:ascii="Arial" w:hAnsi="Arial" w:cs="Arial"/>
          <w:sz w:val="22"/>
          <w:szCs w:val="22"/>
        </w:rPr>
        <w:t>his work</w:t>
      </w:r>
      <w:r w:rsidR="007212DA">
        <w:rPr>
          <w:rFonts w:ascii="Arial" w:hAnsi="Arial" w:cs="Arial"/>
          <w:sz w:val="22"/>
          <w:szCs w:val="22"/>
        </w:rPr>
        <w:t xml:space="preserve"> will demonstrate how </w:t>
      </w:r>
      <w:r w:rsidR="00145580">
        <w:rPr>
          <w:rFonts w:ascii="Arial" w:hAnsi="Arial" w:cs="Arial"/>
          <w:sz w:val="22"/>
          <w:szCs w:val="22"/>
        </w:rPr>
        <w:t xml:space="preserve">studies utilizing these resources </w:t>
      </w:r>
      <w:r w:rsidR="007212DA">
        <w:rPr>
          <w:rFonts w:ascii="Arial" w:hAnsi="Arial" w:cs="Arial"/>
          <w:sz w:val="22"/>
          <w:szCs w:val="22"/>
        </w:rPr>
        <w:t xml:space="preserve">can serve to better understand </w:t>
      </w:r>
      <w:r w:rsidR="00CA0E12">
        <w:rPr>
          <w:rFonts w:ascii="Arial" w:hAnsi="Arial" w:cs="Arial"/>
          <w:sz w:val="22"/>
          <w:szCs w:val="22"/>
        </w:rPr>
        <w:t xml:space="preserve">how to </w:t>
      </w:r>
      <w:r w:rsidR="00145580">
        <w:rPr>
          <w:rFonts w:ascii="Arial" w:hAnsi="Arial" w:cs="Arial"/>
          <w:sz w:val="22"/>
          <w:szCs w:val="22"/>
        </w:rPr>
        <w:t xml:space="preserve">create </w:t>
      </w:r>
      <w:r w:rsidR="00CA0E12">
        <w:rPr>
          <w:rFonts w:ascii="Arial" w:hAnsi="Arial" w:cs="Arial"/>
          <w:sz w:val="22"/>
          <w:szCs w:val="22"/>
        </w:rPr>
        <w:t>predict</w:t>
      </w:r>
      <w:r w:rsidR="00145580">
        <w:rPr>
          <w:rFonts w:ascii="Arial" w:hAnsi="Arial" w:cs="Arial"/>
          <w:sz w:val="22"/>
          <w:szCs w:val="22"/>
        </w:rPr>
        <w:t>ive models for diseases</w:t>
      </w:r>
      <w:r w:rsidR="00CA0E12">
        <w:rPr>
          <w:rFonts w:ascii="Arial" w:hAnsi="Arial" w:cs="Arial"/>
          <w:sz w:val="22"/>
          <w:szCs w:val="22"/>
        </w:rPr>
        <w:t>.</w:t>
      </w:r>
      <w:r w:rsidR="00145580">
        <w:rPr>
          <w:rFonts w:ascii="Arial" w:hAnsi="Arial" w:cs="Arial"/>
          <w:sz w:val="22"/>
          <w:szCs w:val="22"/>
        </w:rPr>
        <w:t xml:space="preserve"> Once predictive models for early disease states are validated, implementation in clinical settings will enable physicians to identify individuals early in their disease course and provide timely therapeutic interventions. </w:t>
      </w:r>
      <w:r w:rsidR="00CA0E12">
        <w:rPr>
          <w:rFonts w:ascii="Arial" w:hAnsi="Arial" w:cs="Arial"/>
          <w:sz w:val="22"/>
          <w:szCs w:val="22"/>
        </w:rPr>
        <w:t xml:space="preserve"> </w:t>
      </w:r>
    </w:p>
    <w:p w:rsidR="00F44B38" w:rsidRDefault="00F44B38" w:rsidP="00FA262F">
      <w:pPr>
        <w:spacing w:line="120" w:lineRule="auto"/>
        <w:ind w:left="360"/>
        <w:jc w:val="both"/>
        <w:rPr>
          <w:rFonts w:ascii="Arial" w:hAnsi="Arial" w:cs="Arial"/>
          <w:b/>
          <w:sz w:val="22"/>
          <w:szCs w:val="22"/>
        </w:rPr>
      </w:pPr>
    </w:p>
    <w:p w:rsidR="00267A0A" w:rsidRDefault="00267A0A" w:rsidP="007F76B4">
      <w:pPr>
        <w:pStyle w:val="ListParagraph"/>
        <w:numPr>
          <w:ilvl w:val="0"/>
          <w:numId w:val="6"/>
        </w:numPr>
        <w:jc w:val="both"/>
        <w:rPr>
          <w:rFonts w:ascii="Arial" w:hAnsi="Arial" w:cs="Arial"/>
          <w:b/>
          <w:sz w:val="22"/>
          <w:szCs w:val="22"/>
        </w:rPr>
      </w:pPr>
      <w:r w:rsidRPr="00267A0A">
        <w:rPr>
          <w:rFonts w:ascii="Arial" w:hAnsi="Arial" w:cs="Arial"/>
          <w:b/>
          <w:sz w:val="22"/>
          <w:szCs w:val="22"/>
        </w:rPr>
        <w:t>INNOVATION</w:t>
      </w:r>
    </w:p>
    <w:p w:rsidR="00267A0A" w:rsidRDefault="00C70337" w:rsidP="007F76B4">
      <w:pPr>
        <w:jc w:val="both"/>
        <w:rPr>
          <w:rFonts w:ascii="Arial" w:hAnsi="Arial" w:cs="Arial"/>
          <w:sz w:val="22"/>
          <w:szCs w:val="22"/>
        </w:rPr>
      </w:pPr>
      <w:r w:rsidRPr="00C70337">
        <w:rPr>
          <w:rFonts w:ascii="Arial" w:hAnsi="Arial" w:cs="Arial"/>
          <w:sz w:val="22"/>
          <w:szCs w:val="22"/>
        </w:rPr>
        <w:t xml:space="preserve">The </w:t>
      </w:r>
      <w:r>
        <w:rPr>
          <w:rFonts w:ascii="Arial" w:hAnsi="Arial" w:cs="Arial"/>
          <w:sz w:val="22"/>
          <w:szCs w:val="22"/>
        </w:rPr>
        <w:t xml:space="preserve">proposed study </w:t>
      </w:r>
      <w:r w:rsidR="00196262">
        <w:rPr>
          <w:rFonts w:ascii="Arial" w:hAnsi="Arial" w:cs="Arial"/>
          <w:sz w:val="22"/>
          <w:szCs w:val="22"/>
        </w:rPr>
        <w:t>has several i</w:t>
      </w:r>
      <w:r w:rsidR="00437956">
        <w:rPr>
          <w:rFonts w:ascii="Arial" w:hAnsi="Arial" w:cs="Arial"/>
          <w:sz w:val="22"/>
          <w:szCs w:val="22"/>
        </w:rPr>
        <w:t>mportant</w:t>
      </w:r>
      <w:r w:rsidR="00196262">
        <w:rPr>
          <w:rFonts w:ascii="Arial" w:hAnsi="Arial" w:cs="Arial"/>
          <w:sz w:val="22"/>
          <w:szCs w:val="22"/>
        </w:rPr>
        <w:t xml:space="preserve"> aspects</w:t>
      </w:r>
      <w:r w:rsidR="00437956">
        <w:rPr>
          <w:rFonts w:ascii="Arial" w:hAnsi="Arial" w:cs="Arial"/>
          <w:sz w:val="22"/>
          <w:szCs w:val="22"/>
        </w:rPr>
        <w:t xml:space="preserve"> that, in combination, result in a highly innovative study</w:t>
      </w:r>
      <w:r w:rsidR="00196262">
        <w:rPr>
          <w:rFonts w:ascii="Arial" w:hAnsi="Arial" w:cs="Arial"/>
          <w:sz w:val="22"/>
          <w:szCs w:val="22"/>
        </w:rPr>
        <w:t xml:space="preserve">. </w:t>
      </w:r>
      <w:r w:rsidR="00794912">
        <w:rPr>
          <w:rFonts w:ascii="Arial" w:hAnsi="Arial" w:cs="Arial"/>
          <w:sz w:val="22"/>
          <w:szCs w:val="22"/>
        </w:rPr>
        <w:t xml:space="preserve">Our group is well-positioned and experienced to harness of three key advances to create molecular-based predictive models for </w:t>
      </w:r>
      <w:r w:rsidR="00FE72A6">
        <w:rPr>
          <w:rFonts w:ascii="Arial" w:hAnsi="Arial" w:cs="Arial"/>
          <w:sz w:val="22"/>
          <w:szCs w:val="22"/>
        </w:rPr>
        <w:t>the diseases studied here. (</w:t>
      </w:r>
      <w:proofErr w:type="spellStart"/>
      <w:r w:rsidR="00FE72A6">
        <w:rPr>
          <w:rFonts w:ascii="Arial" w:hAnsi="Arial" w:cs="Arial"/>
          <w:sz w:val="22"/>
          <w:szCs w:val="22"/>
        </w:rPr>
        <w:t>i</w:t>
      </w:r>
      <w:proofErr w:type="spellEnd"/>
      <w:r w:rsidR="00FE72A6">
        <w:rPr>
          <w:rFonts w:ascii="Arial" w:hAnsi="Arial" w:cs="Arial"/>
          <w:sz w:val="22"/>
          <w:szCs w:val="22"/>
        </w:rPr>
        <w:t xml:space="preserve">) We have access to 20,000 </w:t>
      </w:r>
      <w:proofErr w:type="spellStart"/>
      <w:r w:rsidR="00FE72A6">
        <w:rPr>
          <w:rFonts w:ascii="Arial" w:hAnsi="Arial" w:cs="Arial"/>
          <w:sz w:val="22"/>
          <w:szCs w:val="22"/>
        </w:rPr>
        <w:t>biobanked</w:t>
      </w:r>
      <w:proofErr w:type="spellEnd"/>
      <w:r w:rsidR="00FE72A6">
        <w:rPr>
          <w:rFonts w:ascii="Arial" w:hAnsi="Arial" w:cs="Arial"/>
          <w:sz w:val="22"/>
          <w:szCs w:val="22"/>
        </w:rPr>
        <w:t xml:space="preserve"> samples with linked longitudinal electronic medical records (PMRP). As the patients for th</w:t>
      </w:r>
      <w:r w:rsidR="009D0E72">
        <w:rPr>
          <w:rFonts w:ascii="Arial" w:hAnsi="Arial" w:cs="Arial"/>
          <w:sz w:val="22"/>
          <w:szCs w:val="22"/>
        </w:rPr>
        <w:t>e biobank were recruited over 14</w:t>
      </w:r>
      <w:r w:rsidR="00FE72A6">
        <w:rPr>
          <w:rFonts w:ascii="Arial" w:hAnsi="Arial" w:cs="Arial"/>
          <w:sz w:val="22"/>
          <w:szCs w:val="22"/>
        </w:rPr>
        <w:t xml:space="preserve"> years ago and the average individual has in excess of 34 years of electronic medical record data, these samples enable us to utilize molecular profiles from samples obtained prior to disease diagnosis. (ii) The recent and explosive growth of high-throughput genomic and proteomic technologies has enabled cost-effective large-scale screens of important types of molecular markers. The exome genotyping array, applied to the PMRP samples, interrogates </w:t>
      </w:r>
      <w:r w:rsidR="00F16BAC">
        <w:rPr>
          <w:rFonts w:ascii="Arial" w:hAnsi="Arial" w:cs="Arial"/>
          <w:sz w:val="22"/>
          <w:szCs w:val="22"/>
        </w:rPr>
        <w:t xml:space="preserve">the large majority of genome-wide significant SNPs, identify-by-descent polymorphisms, ancestry informative SNPs, and </w:t>
      </w:r>
      <w:r w:rsidR="00D40EE4">
        <w:rPr>
          <w:rFonts w:ascii="Arial" w:hAnsi="Arial" w:cs="Arial"/>
          <w:sz w:val="22"/>
          <w:szCs w:val="22"/>
        </w:rPr>
        <w:t>~25</w:t>
      </w:r>
      <w:r w:rsidR="00F16BAC">
        <w:rPr>
          <w:rFonts w:ascii="Arial" w:hAnsi="Arial" w:cs="Arial"/>
          <w:sz w:val="22"/>
          <w:szCs w:val="22"/>
        </w:rPr>
        <w:t xml:space="preserve">0k </w:t>
      </w:r>
      <w:r w:rsidR="00D40EE4">
        <w:rPr>
          <w:rFonts w:ascii="Arial" w:hAnsi="Arial" w:cs="Arial"/>
          <w:sz w:val="22"/>
          <w:szCs w:val="22"/>
        </w:rPr>
        <w:t xml:space="preserve">nonsynonymous </w:t>
      </w:r>
      <w:r w:rsidR="00F16BAC">
        <w:rPr>
          <w:rFonts w:ascii="Arial" w:hAnsi="Arial" w:cs="Arial"/>
          <w:sz w:val="22"/>
          <w:szCs w:val="22"/>
        </w:rPr>
        <w:t>coding variants. Th</w:t>
      </w:r>
      <w:r w:rsidR="007C7A53">
        <w:rPr>
          <w:rFonts w:ascii="Arial" w:hAnsi="Arial" w:cs="Arial"/>
          <w:sz w:val="22"/>
          <w:szCs w:val="22"/>
        </w:rPr>
        <w:t xml:space="preserve">e </w:t>
      </w:r>
      <w:proofErr w:type="spellStart"/>
      <w:r w:rsidR="004D0FEE">
        <w:rPr>
          <w:rFonts w:ascii="Arial" w:hAnsi="Arial" w:cs="Arial"/>
          <w:sz w:val="22"/>
          <w:szCs w:val="22"/>
        </w:rPr>
        <w:t>Luminex</w:t>
      </w:r>
      <w:proofErr w:type="spellEnd"/>
      <w:r w:rsidR="004D0FEE">
        <w:rPr>
          <w:rFonts w:ascii="Arial" w:hAnsi="Arial" w:cs="Arial"/>
          <w:sz w:val="22"/>
          <w:szCs w:val="22"/>
        </w:rPr>
        <w:t xml:space="preserve"> multiplex</w:t>
      </w:r>
      <w:r w:rsidR="007C7A53">
        <w:rPr>
          <w:rFonts w:ascii="Arial" w:hAnsi="Arial" w:cs="Arial"/>
          <w:sz w:val="22"/>
          <w:szCs w:val="22"/>
        </w:rPr>
        <w:t xml:space="preserve"> </w:t>
      </w:r>
      <w:r w:rsidR="004D0FEE">
        <w:rPr>
          <w:rFonts w:ascii="Arial" w:hAnsi="Arial" w:cs="Arial"/>
          <w:sz w:val="22"/>
          <w:szCs w:val="22"/>
        </w:rPr>
        <w:t xml:space="preserve">immunoassay </w:t>
      </w:r>
      <w:r w:rsidR="007C7A53">
        <w:rPr>
          <w:rFonts w:ascii="Arial" w:hAnsi="Arial" w:cs="Arial"/>
          <w:sz w:val="22"/>
          <w:szCs w:val="22"/>
        </w:rPr>
        <w:t>technology</w:t>
      </w:r>
      <w:r w:rsidR="00F16BAC">
        <w:rPr>
          <w:rFonts w:ascii="Arial" w:hAnsi="Arial" w:cs="Arial"/>
          <w:sz w:val="22"/>
          <w:szCs w:val="22"/>
        </w:rPr>
        <w:t xml:space="preserve"> enables </w:t>
      </w:r>
      <w:r w:rsidR="007C7A53">
        <w:rPr>
          <w:rFonts w:ascii="Arial" w:hAnsi="Arial" w:cs="Arial"/>
          <w:sz w:val="22"/>
          <w:szCs w:val="22"/>
        </w:rPr>
        <w:t>the</w:t>
      </w:r>
      <w:r w:rsidR="00F16BAC">
        <w:rPr>
          <w:rFonts w:ascii="Arial" w:hAnsi="Arial" w:cs="Arial"/>
          <w:sz w:val="22"/>
          <w:szCs w:val="22"/>
        </w:rPr>
        <w:t xml:space="preserve"> </w:t>
      </w:r>
      <w:r w:rsidR="007C7A53">
        <w:rPr>
          <w:rFonts w:ascii="Arial" w:hAnsi="Arial" w:cs="Arial"/>
          <w:sz w:val="22"/>
          <w:szCs w:val="22"/>
        </w:rPr>
        <w:t xml:space="preserve">concurrent </w:t>
      </w:r>
      <w:r w:rsidR="00F16BAC">
        <w:rPr>
          <w:rFonts w:ascii="Arial" w:hAnsi="Arial" w:cs="Arial"/>
          <w:sz w:val="22"/>
          <w:szCs w:val="22"/>
        </w:rPr>
        <w:t xml:space="preserve">measurement of dozens of key inflammatory cytokines, chemokines and metabolic proteins with high sensitivity and wide dynamic range. The </w:t>
      </w:r>
      <w:r w:rsidR="00087441">
        <w:rPr>
          <w:rFonts w:ascii="Arial" w:hAnsi="Arial" w:cs="Arial"/>
          <w:sz w:val="22"/>
          <w:szCs w:val="22"/>
        </w:rPr>
        <w:t xml:space="preserve">Antigen Discovery platform provides a method to interrogate circulating antibodies to hundreds of different autoantigens and pathogen </w:t>
      </w:r>
      <w:r w:rsidR="009D0E72">
        <w:rPr>
          <w:rFonts w:ascii="Arial" w:hAnsi="Arial" w:cs="Arial"/>
          <w:sz w:val="22"/>
          <w:szCs w:val="22"/>
        </w:rPr>
        <w:t>epitopes</w:t>
      </w:r>
      <w:r w:rsidR="00087441">
        <w:rPr>
          <w:rFonts w:ascii="Arial" w:hAnsi="Arial" w:cs="Arial"/>
          <w:sz w:val="22"/>
          <w:szCs w:val="22"/>
        </w:rPr>
        <w:t xml:space="preserve">. </w:t>
      </w:r>
      <w:r w:rsidR="00F16BAC">
        <w:rPr>
          <w:rFonts w:ascii="Arial" w:hAnsi="Arial" w:cs="Arial"/>
          <w:sz w:val="22"/>
          <w:szCs w:val="22"/>
        </w:rPr>
        <w:t xml:space="preserve">Lastly, (iii) the </w:t>
      </w:r>
      <w:r w:rsidR="0015408F">
        <w:rPr>
          <w:rFonts w:ascii="Arial" w:hAnsi="Arial" w:cs="Arial"/>
          <w:sz w:val="22"/>
          <w:szCs w:val="22"/>
        </w:rPr>
        <w:t xml:space="preserve">recent </w:t>
      </w:r>
      <w:r w:rsidR="008867E0">
        <w:rPr>
          <w:rFonts w:ascii="Arial" w:hAnsi="Arial" w:cs="Arial"/>
          <w:sz w:val="22"/>
          <w:szCs w:val="22"/>
        </w:rPr>
        <w:t>advances in computational statistics and machine learning</w:t>
      </w:r>
      <w:r w:rsidR="00437956">
        <w:rPr>
          <w:rFonts w:ascii="Arial" w:hAnsi="Arial" w:cs="Arial"/>
          <w:sz w:val="22"/>
          <w:szCs w:val="22"/>
        </w:rPr>
        <w:t xml:space="preserve"> algorithms allows for the rigorous development of robust and accurate predictive models from high dimensional data sets. The team assembled will consolidate all three aspects into a study that dives deeper into extensive molecular profile data to produce predictive models of early disease using data obtained prior to diagnosis.</w:t>
      </w:r>
      <w:r w:rsidR="008867E0">
        <w:rPr>
          <w:rFonts w:ascii="Arial" w:hAnsi="Arial" w:cs="Arial"/>
          <w:sz w:val="22"/>
          <w:szCs w:val="22"/>
        </w:rPr>
        <w:t xml:space="preserve">  </w:t>
      </w:r>
      <w:r w:rsidR="00F16BAC">
        <w:rPr>
          <w:rFonts w:ascii="Arial" w:hAnsi="Arial" w:cs="Arial"/>
          <w:sz w:val="22"/>
          <w:szCs w:val="22"/>
        </w:rPr>
        <w:t xml:space="preserve"> </w:t>
      </w:r>
      <w:r w:rsidR="00FE72A6">
        <w:rPr>
          <w:rFonts w:ascii="Arial" w:hAnsi="Arial" w:cs="Arial"/>
          <w:sz w:val="22"/>
          <w:szCs w:val="22"/>
        </w:rPr>
        <w:t xml:space="preserve">  </w:t>
      </w:r>
      <w:r w:rsidR="00794912">
        <w:rPr>
          <w:rFonts w:ascii="Arial" w:hAnsi="Arial" w:cs="Arial"/>
          <w:sz w:val="22"/>
          <w:szCs w:val="22"/>
        </w:rPr>
        <w:t xml:space="preserve">  </w:t>
      </w:r>
    </w:p>
    <w:p w:rsidR="00F44B38" w:rsidRDefault="00F44B38" w:rsidP="00FA262F">
      <w:pPr>
        <w:spacing w:line="120" w:lineRule="auto"/>
        <w:jc w:val="both"/>
        <w:rPr>
          <w:rFonts w:ascii="Arial" w:hAnsi="Arial" w:cs="Arial"/>
          <w:b/>
          <w:sz w:val="22"/>
          <w:szCs w:val="22"/>
        </w:rPr>
      </w:pPr>
    </w:p>
    <w:p w:rsidR="00267A0A" w:rsidRDefault="00267A0A" w:rsidP="007F76B4">
      <w:pPr>
        <w:jc w:val="both"/>
        <w:rPr>
          <w:rFonts w:ascii="Arial" w:hAnsi="Arial" w:cs="Arial"/>
          <w:b/>
          <w:sz w:val="22"/>
          <w:szCs w:val="22"/>
        </w:rPr>
      </w:pPr>
      <w:r>
        <w:rPr>
          <w:rFonts w:ascii="Arial" w:hAnsi="Arial" w:cs="Arial"/>
          <w:b/>
          <w:sz w:val="22"/>
          <w:szCs w:val="22"/>
        </w:rPr>
        <w:t>B1. Shift in current research paradigm through novel approaches</w:t>
      </w:r>
    </w:p>
    <w:p w:rsidR="00CF7BE7" w:rsidRDefault="0004399F" w:rsidP="00EF5EC4">
      <w:pPr>
        <w:jc w:val="both"/>
        <w:rPr>
          <w:rFonts w:ascii="Arial" w:hAnsi="Arial" w:cs="Arial"/>
          <w:sz w:val="22"/>
          <w:szCs w:val="22"/>
        </w:rPr>
      </w:pPr>
      <w:r>
        <w:rPr>
          <w:rFonts w:ascii="Arial" w:hAnsi="Arial" w:cs="Arial"/>
          <w:sz w:val="22"/>
          <w:szCs w:val="22"/>
        </w:rPr>
        <w:t>Often, with dynamic biomarkers</w:t>
      </w:r>
      <w:r w:rsidR="00212A03">
        <w:rPr>
          <w:rFonts w:ascii="Arial" w:hAnsi="Arial" w:cs="Arial"/>
          <w:sz w:val="22"/>
          <w:szCs w:val="22"/>
        </w:rPr>
        <w:t xml:space="preserve"> such as the inflammatory cytokine and metabolic protein panels proposed here</w:t>
      </w:r>
      <w:r>
        <w:rPr>
          <w:rFonts w:ascii="Arial" w:hAnsi="Arial" w:cs="Arial"/>
          <w:sz w:val="22"/>
          <w:szCs w:val="22"/>
        </w:rPr>
        <w:t>, retrospec</w:t>
      </w:r>
      <w:r w:rsidR="002947D7">
        <w:rPr>
          <w:rFonts w:ascii="Arial" w:hAnsi="Arial" w:cs="Arial"/>
          <w:sz w:val="22"/>
          <w:szCs w:val="22"/>
        </w:rPr>
        <w:t>tive studies can face difficulties</w:t>
      </w:r>
      <w:r>
        <w:rPr>
          <w:rFonts w:ascii="Arial" w:hAnsi="Arial" w:cs="Arial"/>
          <w:sz w:val="22"/>
          <w:szCs w:val="22"/>
        </w:rPr>
        <w:t xml:space="preserve"> in delineating </w:t>
      </w:r>
      <w:r w:rsidR="002947D7">
        <w:rPr>
          <w:rFonts w:ascii="Arial" w:hAnsi="Arial" w:cs="Arial"/>
          <w:sz w:val="22"/>
          <w:szCs w:val="22"/>
        </w:rPr>
        <w:t xml:space="preserve">the </w:t>
      </w:r>
      <w:r>
        <w:rPr>
          <w:rFonts w:ascii="Arial" w:hAnsi="Arial" w:cs="Arial"/>
          <w:sz w:val="22"/>
          <w:szCs w:val="22"/>
        </w:rPr>
        <w:t xml:space="preserve">effects of molecular pathogenesis from effects generated by the disease process and/or </w:t>
      </w:r>
      <w:r w:rsidR="00FE64D5">
        <w:rPr>
          <w:rFonts w:ascii="Arial" w:hAnsi="Arial" w:cs="Arial"/>
          <w:sz w:val="22"/>
          <w:szCs w:val="22"/>
        </w:rPr>
        <w:t xml:space="preserve">medical </w:t>
      </w:r>
      <w:r>
        <w:rPr>
          <w:rFonts w:ascii="Arial" w:hAnsi="Arial" w:cs="Arial"/>
          <w:sz w:val="22"/>
          <w:szCs w:val="22"/>
        </w:rPr>
        <w:t xml:space="preserve">treatment. </w:t>
      </w:r>
      <w:r w:rsidR="002922AE">
        <w:rPr>
          <w:rFonts w:ascii="Arial" w:hAnsi="Arial" w:cs="Arial"/>
          <w:sz w:val="22"/>
          <w:szCs w:val="22"/>
        </w:rPr>
        <w:t xml:space="preserve">This issue hinders the mechanistic interpretation of biomarkers and may reduce the robustness of predictive models using these markers. </w:t>
      </w:r>
      <w:r w:rsidR="00E32ED4">
        <w:rPr>
          <w:rFonts w:ascii="Arial" w:hAnsi="Arial" w:cs="Arial"/>
          <w:sz w:val="22"/>
          <w:szCs w:val="22"/>
        </w:rPr>
        <w:t>T</w:t>
      </w:r>
      <w:r w:rsidR="002922AE">
        <w:rPr>
          <w:rFonts w:ascii="Arial" w:hAnsi="Arial" w:cs="Arial"/>
          <w:sz w:val="22"/>
          <w:szCs w:val="22"/>
        </w:rPr>
        <w:t xml:space="preserve">he experimental design proposed here </w:t>
      </w:r>
      <w:r w:rsidR="00E32ED4">
        <w:rPr>
          <w:rFonts w:ascii="Arial" w:hAnsi="Arial" w:cs="Arial"/>
          <w:sz w:val="22"/>
          <w:szCs w:val="22"/>
        </w:rPr>
        <w:t xml:space="preserve">is </w:t>
      </w:r>
      <w:r w:rsidR="007103CB">
        <w:rPr>
          <w:rFonts w:ascii="Arial" w:hAnsi="Arial" w:cs="Arial"/>
          <w:sz w:val="22"/>
          <w:szCs w:val="22"/>
        </w:rPr>
        <w:t>q</w:t>
      </w:r>
      <w:r w:rsidR="003B6764">
        <w:rPr>
          <w:rFonts w:ascii="Arial" w:hAnsi="Arial" w:cs="Arial"/>
          <w:sz w:val="22"/>
          <w:szCs w:val="22"/>
        </w:rPr>
        <w:t>uasi-</w:t>
      </w:r>
      <w:r w:rsidR="007103CB">
        <w:rPr>
          <w:rFonts w:ascii="Arial" w:hAnsi="Arial" w:cs="Arial"/>
          <w:sz w:val="22"/>
          <w:szCs w:val="22"/>
        </w:rPr>
        <w:t>p</w:t>
      </w:r>
      <w:r w:rsidR="003B75D2">
        <w:rPr>
          <w:rFonts w:ascii="Arial" w:hAnsi="Arial" w:cs="Arial"/>
          <w:sz w:val="22"/>
          <w:szCs w:val="22"/>
        </w:rPr>
        <w:t>rospective</w:t>
      </w:r>
      <w:r w:rsidR="002922AE">
        <w:rPr>
          <w:rFonts w:ascii="Arial" w:hAnsi="Arial" w:cs="Arial"/>
          <w:sz w:val="22"/>
          <w:szCs w:val="22"/>
        </w:rPr>
        <w:t xml:space="preserve"> in that </w:t>
      </w:r>
      <w:r w:rsidR="003A270F">
        <w:rPr>
          <w:rFonts w:ascii="Arial" w:hAnsi="Arial" w:cs="Arial"/>
          <w:sz w:val="22"/>
          <w:szCs w:val="22"/>
        </w:rPr>
        <w:t>plasma samples fr</w:t>
      </w:r>
      <w:r w:rsidR="00FE64D5">
        <w:rPr>
          <w:rFonts w:ascii="Arial" w:hAnsi="Arial" w:cs="Arial"/>
          <w:sz w:val="22"/>
          <w:szCs w:val="22"/>
        </w:rPr>
        <w:t>om the biobank were obtained ~14</w:t>
      </w:r>
      <w:r w:rsidR="003A270F">
        <w:rPr>
          <w:rFonts w:ascii="Arial" w:hAnsi="Arial" w:cs="Arial"/>
          <w:sz w:val="22"/>
          <w:szCs w:val="22"/>
        </w:rPr>
        <w:t xml:space="preserve"> years ago and subsequent disease diagnosis occurred in a substantial fraction of those with </w:t>
      </w:r>
      <w:r w:rsidR="00FE64D5">
        <w:rPr>
          <w:rFonts w:ascii="Arial" w:hAnsi="Arial" w:cs="Arial"/>
          <w:sz w:val="22"/>
          <w:szCs w:val="22"/>
        </w:rPr>
        <w:t>the diseases studied.  Hence, w</w:t>
      </w:r>
      <w:r w:rsidR="003A270F">
        <w:rPr>
          <w:rFonts w:ascii="Arial" w:hAnsi="Arial" w:cs="Arial"/>
          <w:sz w:val="22"/>
          <w:szCs w:val="22"/>
        </w:rPr>
        <w:t xml:space="preserve">e are restricting our analyses to those cases that had samples collected prior to clinical diagnosis. While not truly a prospective design, this design reduces identifying case/control molecular differences that result from disease treatment or the molecular perturbations that occur with advanced disease states. </w:t>
      </w:r>
      <w:r w:rsidR="00CF7BE7">
        <w:rPr>
          <w:rFonts w:ascii="Arial" w:hAnsi="Arial" w:cs="Arial"/>
          <w:sz w:val="22"/>
          <w:szCs w:val="22"/>
        </w:rPr>
        <w:t xml:space="preserve">By adopting such an experimental design, we are better positioned to interrogate molecular effects in dynamic biomarkers more likely to underlie pathogenesis. </w:t>
      </w:r>
      <w:r w:rsidR="00691CD4">
        <w:rPr>
          <w:rFonts w:ascii="Arial" w:hAnsi="Arial" w:cs="Arial"/>
          <w:sz w:val="22"/>
          <w:szCs w:val="22"/>
        </w:rPr>
        <w:t>While still correlative, w</w:t>
      </w:r>
      <w:r w:rsidR="00187FA8">
        <w:rPr>
          <w:rFonts w:ascii="Arial" w:hAnsi="Arial" w:cs="Arial"/>
          <w:sz w:val="22"/>
          <w:szCs w:val="22"/>
        </w:rPr>
        <w:t>e argue</w:t>
      </w:r>
      <w:r w:rsidR="00691CD4">
        <w:rPr>
          <w:rFonts w:ascii="Arial" w:hAnsi="Arial" w:cs="Arial"/>
          <w:sz w:val="22"/>
          <w:szCs w:val="22"/>
        </w:rPr>
        <w:t xml:space="preserve"> that results from this quasi-prospective approach yield more reliable evidence for causal relationships than purely retrospective designs. </w:t>
      </w:r>
      <w:r w:rsidR="00141CBD">
        <w:rPr>
          <w:rFonts w:ascii="Arial" w:hAnsi="Arial" w:cs="Arial"/>
          <w:sz w:val="22"/>
          <w:szCs w:val="22"/>
        </w:rPr>
        <w:t>We have generated data for metabolic dysfunction using this design, interrogating immuno-metabolic markers. Our results show that, for example, C-peptide is dramatically increased (54%, on average) in individuals who were undiagnosed with type 2 diabetes at the time of measurement, but have subsequently transitioned to type 2 diabetes following enrollment in PMRP (P=1.18E-13).</w:t>
      </w:r>
    </w:p>
    <w:p w:rsidR="00DA4D20" w:rsidRDefault="00CF7BE7" w:rsidP="00EF5EC4">
      <w:pPr>
        <w:jc w:val="both"/>
        <w:rPr>
          <w:rFonts w:ascii="Arial" w:hAnsi="Arial" w:cs="Arial"/>
          <w:sz w:val="22"/>
          <w:szCs w:val="22"/>
        </w:rPr>
      </w:pPr>
      <w:r>
        <w:rPr>
          <w:rFonts w:ascii="Arial" w:hAnsi="Arial" w:cs="Arial"/>
          <w:sz w:val="22"/>
          <w:szCs w:val="22"/>
        </w:rPr>
        <w:lastRenderedPageBreak/>
        <w:tab/>
        <w:t xml:space="preserve">Another advance that this study </w:t>
      </w:r>
      <w:r w:rsidR="00F43273">
        <w:rPr>
          <w:rFonts w:ascii="Arial" w:hAnsi="Arial" w:cs="Arial"/>
          <w:sz w:val="22"/>
          <w:szCs w:val="22"/>
        </w:rPr>
        <w:t>employs</w:t>
      </w:r>
      <w:r>
        <w:rPr>
          <w:rFonts w:ascii="Arial" w:hAnsi="Arial" w:cs="Arial"/>
          <w:sz w:val="22"/>
          <w:szCs w:val="22"/>
        </w:rPr>
        <w:t xml:space="preserve"> is the concurrent measurement of ‘multi-omics’ data on individuals studied. For complex diseases, sole reliance on single types of molecular data can produce limited results for predictive models. </w:t>
      </w:r>
      <w:r w:rsidR="00711F49">
        <w:rPr>
          <w:rFonts w:ascii="Arial" w:hAnsi="Arial" w:cs="Arial"/>
          <w:sz w:val="22"/>
          <w:szCs w:val="22"/>
        </w:rPr>
        <w:t>For example, reliance o</w:t>
      </w:r>
      <w:r w:rsidR="00F43273">
        <w:rPr>
          <w:rFonts w:ascii="Arial" w:hAnsi="Arial" w:cs="Arial"/>
          <w:sz w:val="22"/>
          <w:szCs w:val="22"/>
        </w:rPr>
        <w:t>n GWAS-significant SNPs</w:t>
      </w:r>
      <w:r w:rsidR="00711F49">
        <w:rPr>
          <w:rFonts w:ascii="Arial" w:hAnsi="Arial" w:cs="Arial"/>
          <w:sz w:val="22"/>
          <w:szCs w:val="22"/>
        </w:rPr>
        <w:t xml:space="preserve"> for disease pred</w:t>
      </w:r>
      <w:r w:rsidR="00E74624">
        <w:rPr>
          <w:rFonts w:ascii="Arial" w:hAnsi="Arial" w:cs="Arial"/>
          <w:sz w:val="22"/>
          <w:szCs w:val="22"/>
        </w:rPr>
        <w:t>iction has repeatedly shown limited</w:t>
      </w:r>
      <w:r w:rsidR="00711F49">
        <w:rPr>
          <w:rFonts w:ascii="Arial" w:hAnsi="Arial" w:cs="Arial"/>
          <w:sz w:val="22"/>
          <w:szCs w:val="22"/>
        </w:rPr>
        <w:t xml:space="preserve"> diagnostic utility.</w:t>
      </w:r>
      <w:r w:rsidR="00711F49" w:rsidRPr="00711F49">
        <w:rPr>
          <w:rFonts w:ascii="Arial" w:hAnsi="Arial" w:cs="Arial"/>
          <w:sz w:val="22"/>
          <w:szCs w:val="22"/>
          <w:vertAlign w:val="superscript"/>
        </w:rPr>
        <w:t>21</w:t>
      </w:r>
      <w:r w:rsidR="00711F49">
        <w:rPr>
          <w:rFonts w:ascii="Arial" w:hAnsi="Arial" w:cs="Arial"/>
          <w:sz w:val="22"/>
          <w:szCs w:val="22"/>
        </w:rPr>
        <w:t xml:space="preserve"> </w:t>
      </w:r>
      <w:proofErr w:type="gramStart"/>
      <w:r>
        <w:rPr>
          <w:rFonts w:ascii="Arial" w:hAnsi="Arial" w:cs="Arial"/>
          <w:sz w:val="22"/>
          <w:szCs w:val="22"/>
        </w:rPr>
        <w:t>By</w:t>
      </w:r>
      <w:proofErr w:type="gramEnd"/>
      <w:r>
        <w:rPr>
          <w:rFonts w:ascii="Arial" w:hAnsi="Arial" w:cs="Arial"/>
          <w:sz w:val="22"/>
          <w:szCs w:val="22"/>
        </w:rPr>
        <w:t xml:space="preserve"> </w:t>
      </w:r>
      <w:r w:rsidR="00711F49">
        <w:rPr>
          <w:rFonts w:ascii="Arial" w:hAnsi="Arial" w:cs="Arial"/>
          <w:sz w:val="22"/>
          <w:szCs w:val="22"/>
        </w:rPr>
        <w:t>expanding the investigation to include</w:t>
      </w:r>
      <w:r>
        <w:rPr>
          <w:rFonts w:ascii="Arial" w:hAnsi="Arial" w:cs="Arial"/>
          <w:sz w:val="22"/>
          <w:szCs w:val="22"/>
        </w:rPr>
        <w:t xml:space="preserve"> key inflammatory cytokines, critically important metabolic markers, antibody binding to hundreds of antigens, and exome data, we harness predictive signal from disparate biochemical processes and susceptibility factors. </w:t>
      </w:r>
      <w:r w:rsidR="00D94D42">
        <w:rPr>
          <w:rFonts w:ascii="Arial" w:hAnsi="Arial" w:cs="Arial"/>
          <w:sz w:val="22"/>
          <w:szCs w:val="22"/>
        </w:rPr>
        <w:t>This technique has recently produced</w:t>
      </w:r>
      <w:r w:rsidR="00E74624">
        <w:rPr>
          <w:rFonts w:ascii="Arial" w:hAnsi="Arial" w:cs="Arial"/>
          <w:sz w:val="22"/>
          <w:szCs w:val="22"/>
        </w:rPr>
        <w:t xml:space="preserve"> several insights into</w:t>
      </w:r>
      <w:r w:rsidR="00D94D42">
        <w:rPr>
          <w:rFonts w:ascii="Arial" w:hAnsi="Arial" w:cs="Arial"/>
          <w:sz w:val="22"/>
          <w:szCs w:val="22"/>
        </w:rPr>
        <w:t xml:space="preserve"> </w:t>
      </w:r>
      <w:r w:rsidR="00E74624">
        <w:rPr>
          <w:rFonts w:ascii="Arial" w:hAnsi="Arial" w:cs="Arial"/>
          <w:sz w:val="22"/>
          <w:szCs w:val="22"/>
        </w:rPr>
        <w:t>various clinical traits, including</w:t>
      </w:r>
      <w:r w:rsidR="00D94D42">
        <w:rPr>
          <w:rFonts w:ascii="Arial" w:hAnsi="Arial" w:cs="Arial"/>
          <w:sz w:val="22"/>
          <w:szCs w:val="22"/>
        </w:rPr>
        <w:t xml:space="preserve"> hepatocellular carcinoma</w:t>
      </w:r>
      <w:r w:rsidR="00D94D42" w:rsidRPr="00D94D42">
        <w:rPr>
          <w:rFonts w:ascii="Arial" w:hAnsi="Arial" w:cs="Arial"/>
          <w:sz w:val="22"/>
          <w:szCs w:val="22"/>
          <w:vertAlign w:val="superscript"/>
        </w:rPr>
        <w:t>32</w:t>
      </w:r>
      <w:r w:rsidR="00D94D42">
        <w:rPr>
          <w:rFonts w:ascii="Arial" w:hAnsi="Arial" w:cs="Arial"/>
          <w:sz w:val="22"/>
          <w:szCs w:val="22"/>
        </w:rPr>
        <w:t>, Alzheimer’s disease</w:t>
      </w:r>
      <w:r w:rsidR="00D94D42" w:rsidRPr="00D94D42">
        <w:rPr>
          <w:rFonts w:ascii="Arial" w:hAnsi="Arial" w:cs="Arial"/>
          <w:sz w:val="22"/>
          <w:szCs w:val="22"/>
          <w:vertAlign w:val="superscript"/>
        </w:rPr>
        <w:t>33</w:t>
      </w:r>
      <w:r w:rsidR="00D94D42">
        <w:rPr>
          <w:rFonts w:ascii="Arial" w:hAnsi="Arial" w:cs="Arial"/>
          <w:sz w:val="22"/>
          <w:szCs w:val="22"/>
        </w:rPr>
        <w:t>, and optimal nutrition.</w:t>
      </w:r>
      <w:r w:rsidR="00D94D42" w:rsidRPr="00D94D42">
        <w:rPr>
          <w:rFonts w:ascii="Arial" w:hAnsi="Arial" w:cs="Arial"/>
          <w:sz w:val="22"/>
          <w:szCs w:val="22"/>
          <w:vertAlign w:val="superscript"/>
        </w:rPr>
        <w:t>34</w:t>
      </w:r>
      <w:r w:rsidR="003A3E0A">
        <w:rPr>
          <w:rFonts w:ascii="Arial" w:hAnsi="Arial" w:cs="Arial"/>
          <w:sz w:val="22"/>
          <w:szCs w:val="22"/>
        </w:rPr>
        <w:t xml:space="preserve"> </w:t>
      </w:r>
      <w:r w:rsidR="00187FA8">
        <w:rPr>
          <w:rFonts w:ascii="Arial" w:hAnsi="Arial" w:cs="Arial"/>
          <w:sz w:val="22"/>
          <w:szCs w:val="22"/>
        </w:rPr>
        <w:t xml:space="preserve">As preliminary data for </w:t>
      </w:r>
      <w:r w:rsidR="005D6041">
        <w:rPr>
          <w:rFonts w:ascii="Arial" w:hAnsi="Arial" w:cs="Arial"/>
          <w:sz w:val="22"/>
          <w:szCs w:val="22"/>
        </w:rPr>
        <w:t xml:space="preserve">our ability to assay </w:t>
      </w:r>
      <w:r w:rsidR="00187FA8">
        <w:rPr>
          <w:rFonts w:ascii="Arial" w:hAnsi="Arial" w:cs="Arial"/>
          <w:sz w:val="22"/>
          <w:szCs w:val="22"/>
        </w:rPr>
        <w:t xml:space="preserve">protein </w:t>
      </w:r>
      <w:r w:rsidR="005D6041">
        <w:rPr>
          <w:rFonts w:ascii="Arial" w:hAnsi="Arial" w:cs="Arial"/>
          <w:sz w:val="22"/>
          <w:szCs w:val="22"/>
        </w:rPr>
        <w:t xml:space="preserve">levels </w:t>
      </w:r>
      <w:r w:rsidR="00187FA8">
        <w:rPr>
          <w:rFonts w:ascii="Arial" w:hAnsi="Arial" w:cs="Arial"/>
          <w:sz w:val="22"/>
          <w:szCs w:val="22"/>
        </w:rPr>
        <w:t xml:space="preserve">and </w:t>
      </w:r>
      <w:r w:rsidR="005D6041">
        <w:rPr>
          <w:rFonts w:ascii="Arial" w:hAnsi="Arial" w:cs="Arial"/>
          <w:sz w:val="22"/>
          <w:szCs w:val="22"/>
        </w:rPr>
        <w:t>measure genome-wide genetics</w:t>
      </w:r>
      <w:r w:rsidR="0095522A">
        <w:rPr>
          <w:rFonts w:ascii="Arial" w:hAnsi="Arial" w:cs="Arial"/>
          <w:sz w:val="22"/>
          <w:szCs w:val="22"/>
        </w:rPr>
        <w:t xml:space="preserve">, we </w:t>
      </w:r>
      <w:r w:rsidR="00187FA8">
        <w:rPr>
          <w:rFonts w:ascii="Arial" w:hAnsi="Arial" w:cs="Arial"/>
          <w:sz w:val="22"/>
          <w:szCs w:val="22"/>
        </w:rPr>
        <w:t xml:space="preserve">measured </w:t>
      </w:r>
      <w:r w:rsidR="005D6041">
        <w:rPr>
          <w:rFonts w:ascii="Arial" w:hAnsi="Arial" w:cs="Arial"/>
          <w:sz w:val="22"/>
          <w:szCs w:val="22"/>
        </w:rPr>
        <w:t xml:space="preserve">9 </w:t>
      </w:r>
      <w:r w:rsidR="00187FA8">
        <w:rPr>
          <w:rFonts w:ascii="Arial" w:hAnsi="Arial" w:cs="Arial"/>
          <w:sz w:val="22"/>
          <w:szCs w:val="22"/>
        </w:rPr>
        <w:t xml:space="preserve">inflammatory cytokines in stored plasma samples of over 2,000 </w:t>
      </w:r>
      <w:r w:rsidR="00E74624">
        <w:rPr>
          <w:rFonts w:ascii="Arial" w:hAnsi="Arial" w:cs="Arial"/>
          <w:sz w:val="22"/>
          <w:szCs w:val="22"/>
        </w:rPr>
        <w:t xml:space="preserve">PMRP </w:t>
      </w:r>
      <w:r w:rsidR="00187FA8">
        <w:rPr>
          <w:rFonts w:ascii="Arial" w:hAnsi="Arial" w:cs="Arial"/>
          <w:sz w:val="22"/>
          <w:szCs w:val="22"/>
        </w:rPr>
        <w:t>individuals. Our results show, for example, that (</w:t>
      </w:r>
      <w:proofErr w:type="spellStart"/>
      <w:r w:rsidR="00187FA8">
        <w:rPr>
          <w:rFonts w:ascii="Arial" w:hAnsi="Arial" w:cs="Arial"/>
          <w:sz w:val="22"/>
          <w:szCs w:val="22"/>
        </w:rPr>
        <w:t>i</w:t>
      </w:r>
      <w:proofErr w:type="spellEnd"/>
      <w:r w:rsidR="00187FA8">
        <w:rPr>
          <w:rFonts w:ascii="Arial" w:hAnsi="Arial" w:cs="Arial"/>
          <w:sz w:val="22"/>
          <w:szCs w:val="22"/>
        </w:rPr>
        <w:t xml:space="preserve">) a polymorphism in the </w:t>
      </w:r>
      <w:r w:rsidR="00187FA8" w:rsidRPr="00187FA8">
        <w:rPr>
          <w:rFonts w:ascii="Arial" w:hAnsi="Arial" w:cs="Arial"/>
          <w:i/>
          <w:sz w:val="22"/>
          <w:szCs w:val="22"/>
        </w:rPr>
        <w:t>LAIR1</w:t>
      </w:r>
      <w:r w:rsidR="00187FA8">
        <w:rPr>
          <w:rFonts w:ascii="Arial" w:hAnsi="Arial" w:cs="Arial"/>
          <w:sz w:val="22"/>
          <w:szCs w:val="22"/>
        </w:rPr>
        <w:t xml:space="preserve"> gene, an inhibitory receptor expressed on PBMCs and reportedly involved in systemic lupus erythematosus</w:t>
      </w:r>
      <w:r w:rsidR="00187FA8" w:rsidRPr="00187FA8">
        <w:rPr>
          <w:rFonts w:ascii="Arial" w:hAnsi="Arial" w:cs="Arial"/>
          <w:sz w:val="22"/>
          <w:szCs w:val="22"/>
          <w:vertAlign w:val="superscript"/>
        </w:rPr>
        <w:t>35</w:t>
      </w:r>
      <w:r w:rsidR="00187FA8">
        <w:rPr>
          <w:rFonts w:ascii="Arial" w:hAnsi="Arial" w:cs="Arial"/>
          <w:sz w:val="22"/>
          <w:szCs w:val="22"/>
        </w:rPr>
        <w:t>, is strongly</w:t>
      </w:r>
      <w:r w:rsidR="00F2188F">
        <w:rPr>
          <w:rFonts w:ascii="Arial" w:hAnsi="Arial" w:cs="Arial"/>
          <w:sz w:val="22"/>
          <w:szCs w:val="22"/>
        </w:rPr>
        <w:t xml:space="preserve"> associated with IL-17A levels (P=1.33E-08)</w:t>
      </w:r>
      <w:r w:rsidR="005D6041">
        <w:rPr>
          <w:rFonts w:ascii="Arial" w:hAnsi="Arial" w:cs="Arial"/>
          <w:sz w:val="22"/>
          <w:szCs w:val="22"/>
        </w:rPr>
        <w:t>.</w:t>
      </w:r>
      <w:r w:rsidR="00F2188F">
        <w:rPr>
          <w:rFonts w:ascii="Arial" w:hAnsi="Arial" w:cs="Arial"/>
          <w:sz w:val="22"/>
          <w:szCs w:val="22"/>
        </w:rPr>
        <w:t xml:space="preserve"> Further, </w:t>
      </w:r>
      <w:r w:rsidR="005D6041">
        <w:rPr>
          <w:rFonts w:ascii="Arial" w:hAnsi="Arial" w:cs="Arial"/>
          <w:sz w:val="22"/>
          <w:szCs w:val="22"/>
        </w:rPr>
        <w:t xml:space="preserve">we have shown interesting co-regulatory </w:t>
      </w:r>
      <w:r w:rsidR="0095522A">
        <w:rPr>
          <w:rFonts w:ascii="Arial" w:hAnsi="Arial" w:cs="Arial"/>
          <w:sz w:val="22"/>
          <w:szCs w:val="22"/>
        </w:rPr>
        <w:t xml:space="preserve">cytokine </w:t>
      </w:r>
      <w:r w:rsidR="005D6041">
        <w:rPr>
          <w:rFonts w:ascii="Arial" w:hAnsi="Arial" w:cs="Arial"/>
          <w:sz w:val="22"/>
          <w:szCs w:val="22"/>
        </w:rPr>
        <w:t>pa</w:t>
      </w:r>
      <w:r w:rsidR="0095522A">
        <w:rPr>
          <w:rFonts w:ascii="Arial" w:hAnsi="Arial" w:cs="Arial"/>
          <w:sz w:val="22"/>
          <w:szCs w:val="22"/>
        </w:rPr>
        <w:t>tterns</w:t>
      </w:r>
      <w:r w:rsidR="005D6041">
        <w:rPr>
          <w:rFonts w:ascii="Arial" w:hAnsi="Arial" w:cs="Arial"/>
          <w:sz w:val="22"/>
          <w:szCs w:val="22"/>
        </w:rPr>
        <w:t>, such as IL-10 levels are highly correlated wi</w:t>
      </w:r>
      <w:r w:rsidR="0095522A">
        <w:rPr>
          <w:rFonts w:ascii="Arial" w:hAnsi="Arial" w:cs="Arial"/>
          <w:sz w:val="22"/>
          <w:szCs w:val="22"/>
        </w:rPr>
        <w:t xml:space="preserve">th IL-12p70 levels (P-value </w:t>
      </w:r>
      <w:r w:rsidR="005D6041">
        <w:rPr>
          <w:rFonts w:ascii="Arial" w:hAnsi="Arial" w:cs="Arial"/>
          <w:sz w:val="22"/>
          <w:szCs w:val="22"/>
        </w:rPr>
        <w:t xml:space="preserve">Spearman’s rho = 1.91E-67).  </w:t>
      </w:r>
      <w:r w:rsidR="00187FA8">
        <w:rPr>
          <w:rFonts w:ascii="Arial" w:hAnsi="Arial" w:cs="Arial"/>
          <w:sz w:val="22"/>
          <w:szCs w:val="22"/>
        </w:rPr>
        <w:t xml:space="preserve">   </w:t>
      </w:r>
    </w:p>
    <w:p w:rsidR="006E5F4F" w:rsidRDefault="003A3E0A" w:rsidP="00B542EE">
      <w:pPr>
        <w:ind w:firstLine="720"/>
        <w:jc w:val="both"/>
        <w:rPr>
          <w:rFonts w:ascii="Arial" w:hAnsi="Arial" w:cs="Arial"/>
          <w:sz w:val="22"/>
          <w:szCs w:val="22"/>
        </w:rPr>
      </w:pPr>
      <w:r>
        <w:rPr>
          <w:rFonts w:ascii="Arial" w:hAnsi="Arial" w:cs="Arial"/>
          <w:sz w:val="22"/>
          <w:szCs w:val="22"/>
        </w:rPr>
        <w:t xml:space="preserve">Moreover, </w:t>
      </w:r>
      <w:r w:rsidR="0095522A">
        <w:rPr>
          <w:rFonts w:ascii="Arial" w:hAnsi="Arial" w:cs="Arial"/>
          <w:sz w:val="22"/>
          <w:szCs w:val="22"/>
        </w:rPr>
        <w:t xml:space="preserve">our predictive models </w:t>
      </w:r>
      <w:r>
        <w:rPr>
          <w:rFonts w:ascii="Arial" w:hAnsi="Arial" w:cs="Arial"/>
          <w:sz w:val="22"/>
          <w:szCs w:val="22"/>
        </w:rPr>
        <w:t xml:space="preserve">will use </w:t>
      </w:r>
      <w:r w:rsidR="00EC0258">
        <w:rPr>
          <w:rFonts w:ascii="Arial" w:hAnsi="Arial" w:cs="Arial"/>
          <w:sz w:val="22"/>
          <w:szCs w:val="22"/>
        </w:rPr>
        <w:t>all exome array data instead of focusing on simply the GWAS-significant markers.</w:t>
      </w:r>
      <w:r w:rsidR="00E26D69">
        <w:rPr>
          <w:rFonts w:ascii="Arial" w:hAnsi="Arial" w:cs="Arial"/>
          <w:sz w:val="22"/>
          <w:szCs w:val="22"/>
        </w:rPr>
        <w:t xml:space="preserve"> </w:t>
      </w:r>
      <w:r w:rsidR="00C43F43">
        <w:rPr>
          <w:rFonts w:ascii="Arial" w:hAnsi="Arial" w:cs="Arial"/>
          <w:sz w:val="22"/>
          <w:szCs w:val="22"/>
        </w:rPr>
        <w:t>Theoretical and empirical r</w:t>
      </w:r>
      <w:r w:rsidR="0095522A">
        <w:rPr>
          <w:rFonts w:ascii="Arial" w:hAnsi="Arial" w:cs="Arial"/>
          <w:sz w:val="22"/>
          <w:szCs w:val="22"/>
        </w:rPr>
        <w:t>esearch in</w:t>
      </w:r>
      <w:r w:rsidR="006E5F4F">
        <w:rPr>
          <w:rFonts w:ascii="Arial" w:hAnsi="Arial" w:cs="Arial"/>
          <w:sz w:val="22"/>
          <w:szCs w:val="22"/>
        </w:rPr>
        <w:t xml:space="preserve"> livestock and crop phen</w:t>
      </w:r>
      <w:r w:rsidR="00AA019F">
        <w:rPr>
          <w:rFonts w:ascii="Arial" w:hAnsi="Arial" w:cs="Arial"/>
          <w:sz w:val="22"/>
          <w:szCs w:val="22"/>
        </w:rPr>
        <w:t>ot</w:t>
      </w:r>
      <w:r w:rsidR="006E5F4F">
        <w:rPr>
          <w:rFonts w:ascii="Arial" w:hAnsi="Arial" w:cs="Arial"/>
          <w:sz w:val="22"/>
          <w:szCs w:val="22"/>
        </w:rPr>
        <w:t xml:space="preserve">ypic traits and breeding values had suggested that using genome-wide SNP data </w:t>
      </w:r>
      <w:r w:rsidR="00E856B4">
        <w:rPr>
          <w:rFonts w:ascii="Arial" w:hAnsi="Arial" w:cs="Arial"/>
          <w:sz w:val="22"/>
          <w:szCs w:val="22"/>
        </w:rPr>
        <w:t>with generalized linear mixed models (e.g., best linear unbiased prediction) approach has considerable merit.</w:t>
      </w:r>
      <w:r w:rsidR="00F2188F">
        <w:rPr>
          <w:rFonts w:ascii="Arial" w:hAnsi="Arial" w:cs="Arial"/>
          <w:sz w:val="22"/>
          <w:szCs w:val="22"/>
          <w:vertAlign w:val="superscript"/>
        </w:rPr>
        <w:t>36</w:t>
      </w:r>
      <w:r w:rsidR="006E5F4F" w:rsidRPr="00E856B4">
        <w:rPr>
          <w:rFonts w:ascii="Arial" w:hAnsi="Arial" w:cs="Arial"/>
          <w:sz w:val="22"/>
          <w:szCs w:val="22"/>
          <w:vertAlign w:val="superscript"/>
        </w:rPr>
        <w:t>-3</w:t>
      </w:r>
      <w:r w:rsidR="00F2188F">
        <w:rPr>
          <w:rFonts w:ascii="Arial" w:hAnsi="Arial" w:cs="Arial"/>
          <w:sz w:val="22"/>
          <w:szCs w:val="22"/>
          <w:vertAlign w:val="superscript"/>
        </w:rPr>
        <w:t>8</w:t>
      </w:r>
      <w:r w:rsidR="00C43F43">
        <w:rPr>
          <w:rFonts w:ascii="Arial" w:hAnsi="Arial" w:cs="Arial"/>
          <w:sz w:val="22"/>
          <w:szCs w:val="22"/>
        </w:rPr>
        <w:t xml:space="preserve"> </w:t>
      </w:r>
      <w:r w:rsidR="00B542EE">
        <w:rPr>
          <w:rFonts w:ascii="Arial" w:hAnsi="Arial" w:cs="Arial"/>
          <w:sz w:val="22"/>
          <w:szCs w:val="22"/>
        </w:rPr>
        <w:t>Building on this work, researchers in human genetics have provided evidence that the prediction of traits in humans is well-informed by</w:t>
      </w:r>
      <w:r w:rsidR="0095522A">
        <w:rPr>
          <w:rFonts w:ascii="Arial" w:hAnsi="Arial" w:cs="Arial"/>
          <w:sz w:val="22"/>
          <w:szCs w:val="22"/>
        </w:rPr>
        <w:t xml:space="preserve"> using all SNPs across the genome</w:t>
      </w:r>
      <w:r w:rsidR="00B542EE">
        <w:rPr>
          <w:rFonts w:ascii="Arial" w:hAnsi="Arial" w:cs="Arial"/>
          <w:sz w:val="22"/>
          <w:szCs w:val="22"/>
        </w:rPr>
        <w:t>.</w:t>
      </w:r>
      <w:r w:rsidR="00F2188F">
        <w:rPr>
          <w:rFonts w:ascii="Arial" w:hAnsi="Arial" w:cs="Arial"/>
          <w:sz w:val="22"/>
          <w:szCs w:val="22"/>
          <w:vertAlign w:val="superscript"/>
        </w:rPr>
        <w:t>39</w:t>
      </w:r>
      <w:r w:rsidR="00B542EE" w:rsidRPr="00B542EE">
        <w:rPr>
          <w:rFonts w:ascii="Arial" w:hAnsi="Arial" w:cs="Arial"/>
          <w:sz w:val="22"/>
          <w:szCs w:val="22"/>
          <w:vertAlign w:val="superscript"/>
        </w:rPr>
        <w:t>-4</w:t>
      </w:r>
      <w:r w:rsidR="00F2188F">
        <w:rPr>
          <w:rFonts w:ascii="Arial" w:hAnsi="Arial" w:cs="Arial"/>
          <w:sz w:val="22"/>
          <w:szCs w:val="22"/>
          <w:vertAlign w:val="superscript"/>
        </w:rPr>
        <w:t>1</w:t>
      </w:r>
      <w:r w:rsidR="00B542EE">
        <w:rPr>
          <w:rFonts w:ascii="Arial" w:hAnsi="Arial" w:cs="Arial"/>
          <w:sz w:val="22"/>
          <w:szCs w:val="22"/>
        </w:rPr>
        <w:t xml:space="preserve"> </w:t>
      </w:r>
      <w:r w:rsidR="00EC0761">
        <w:rPr>
          <w:rFonts w:ascii="Arial" w:hAnsi="Arial" w:cs="Arial"/>
          <w:sz w:val="22"/>
          <w:szCs w:val="22"/>
        </w:rPr>
        <w:t>Logistic regression with adaptive Lasso (one of the two classification methods proposed) is an approach that can utilize all o</w:t>
      </w:r>
      <w:r w:rsidR="0095522A">
        <w:rPr>
          <w:rFonts w:ascii="Arial" w:hAnsi="Arial" w:cs="Arial"/>
          <w:sz w:val="22"/>
          <w:szCs w:val="22"/>
        </w:rPr>
        <w:t>f the data on the exome array</w:t>
      </w:r>
      <w:r w:rsidR="00EC0761">
        <w:rPr>
          <w:rFonts w:ascii="Arial" w:hAnsi="Arial" w:cs="Arial"/>
          <w:sz w:val="22"/>
          <w:szCs w:val="22"/>
        </w:rPr>
        <w:t xml:space="preserve"> in combination with </w:t>
      </w:r>
      <w:r w:rsidR="00EE07BC">
        <w:rPr>
          <w:rFonts w:ascii="Arial" w:hAnsi="Arial" w:cs="Arial"/>
          <w:sz w:val="22"/>
          <w:szCs w:val="22"/>
        </w:rPr>
        <w:t>the circulating protein and antibody data.</w:t>
      </w:r>
      <w:r w:rsidR="00EC0761">
        <w:rPr>
          <w:rFonts w:ascii="Arial" w:hAnsi="Arial" w:cs="Arial"/>
          <w:sz w:val="22"/>
          <w:szCs w:val="22"/>
        </w:rPr>
        <w:t xml:space="preserve"> </w:t>
      </w:r>
    </w:p>
    <w:p w:rsidR="00F44B38" w:rsidRDefault="00F44B38" w:rsidP="00FA262F">
      <w:pPr>
        <w:spacing w:line="120" w:lineRule="auto"/>
        <w:jc w:val="both"/>
        <w:rPr>
          <w:rFonts w:ascii="Arial" w:hAnsi="Arial" w:cs="Arial"/>
          <w:b/>
          <w:sz w:val="22"/>
          <w:szCs w:val="22"/>
        </w:rPr>
      </w:pPr>
    </w:p>
    <w:p w:rsidR="00267A0A" w:rsidRDefault="00267A0A" w:rsidP="007F76B4">
      <w:pPr>
        <w:jc w:val="both"/>
        <w:rPr>
          <w:rFonts w:ascii="Arial" w:hAnsi="Arial" w:cs="Arial"/>
          <w:b/>
          <w:sz w:val="22"/>
          <w:szCs w:val="22"/>
        </w:rPr>
      </w:pPr>
      <w:r>
        <w:rPr>
          <w:rFonts w:ascii="Arial" w:hAnsi="Arial" w:cs="Arial"/>
          <w:b/>
          <w:sz w:val="22"/>
          <w:szCs w:val="22"/>
        </w:rPr>
        <w:t>B2. Shift in current research paradigm through methodology</w:t>
      </w:r>
    </w:p>
    <w:p w:rsidR="00267A0A" w:rsidRDefault="00176FD2" w:rsidP="007F76B4">
      <w:pPr>
        <w:jc w:val="both"/>
        <w:rPr>
          <w:rFonts w:ascii="Arial" w:hAnsi="Arial" w:cs="Arial"/>
          <w:sz w:val="22"/>
          <w:szCs w:val="22"/>
        </w:rPr>
      </w:pPr>
      <w:r>
        <w:rPr>
          <w:rFonts w:ascii="Arial" w:hAnsi="Arial" w:cs="Arial"/>
          <w:sz w:val="22"/>
          <w:szCs w:val="22"/>
        </w:rPr>
        <w:t xml:space="preserve">Several </w:t>
      </w:r>
      <w:r w:rsidR="0011467C">
        <w:rPr>
          <w:rFonts w:ascii="Arial" w:hAnsi="Arial" w:cs="Arial"/>
          <w:sz w:val="22"/>
          <w:szCs w:val="22"/>
        </w:rPr>
        <w:t xml:space="preserve">types of statistical methods and machine learning algorithms will be used in this study. </w:t>
      </w:r>
      <w:r w:rsidR="00E63927">
        <w:rPr>
          <w:rFonts w:ascii="Arial" w:hAnsi="Arial" w:cs="Arial"/>
          <w:sz w:val="22"/>
          <w:szCs w:val="22"/>
        </w:rPr>
        <w:t>Three researchers involved in the study, Drs. Maadooliat</w:t>
      </w:r>
      <w:r w:rsidR="005F745D">
        <w:rPr>
          <w:rFonts w:ascii="Arial" w:hAnsi="Arial" w:cs="Arial"/>
          <w:sz w:val="22"/>
          <w:szCs w:val="22"/>
        </w:rPr>
        <w:t>,</w:t>
      </w:r>
      <w:r w:rsidR="00621C21">
        <w:rPr>
          <w:rFonts w:ascii="Arial" w:hAnsi="Arial" w:cs="Arial"/>
          <w:sz w:val="22"/>
          <w:szCs w:val="22"/>
        </w:rPr>
        <w:t xml:space="preserve"> Schrodi and Guo</w:t>
      </w:r>
      <w:r w:rsidR="00E63927">
        <w:rPr>
          <w:rFonts w:ascii="Arial" w:hAnsi="Arial" w:cs="Arial"/>
          <w:sz w:val="22"/>
          <w:szCs w:val="22"/>
        </w:rPr>
        <w:t xml:space="preserve">, have expertise in </w:t>
      </w:r>
      <w:r w:rsidR="005F745D">
        <w:rPr>
          <w:rFonts w:ascii="Arial" w:hAnsi="Arial" w:cs="Arial"/>
          <w:sz w:val="22"/>
          <w:szCs w:val="22"/>
        </w:rPr>
        <w:t xml:space="preserve">the development of a variety of </w:t>
      </w:r>
      <w:r w:rsidR="00E63927">
        <w:rPr>
          <w:rFonts w:ascii="Arial" w:hAnsi="Arial" w:cs="Arial"/>
          <w:sz w:val="22"/>
          <w:szCs w:val="22"/>
        </w:rPr>
        <w:t xml:space="preserve">quantitative </w:t>
      </w:r>
      <w:r w:rsidR="005F745D">
        <w:rPr>
          <w:rFonts w:ascii="Arial" w:hAnsi="Arial" w:cs="Arial"/>
          <w:sz w:val="22"/>
          <w:szCs w:val="22"/>
        </w:rPr>
        <w:t>methods</w:t>
      </w:r>
      <w:r w:rsidR="0051651D">
        <w:rPr>
          <w:rFonts w:ascii="Arial" w:hAnsi="Arial" w:cs="Arial"/>
          <w:sz w:val="22"/>
          <w:szCs w:val="22"/>
        </w:rPr>
        <w:t xml:space="preserve"> including Bayesian networks and</w:t>
      </w:r>
      <w:r w:rsidR="00A726C5">
        <w:rPr>
          <w:rFonts w:ascii="Arial" w:hAnsi="Arial" w:cs="Arial"/>
          <w:sz w:val="22"/>
          <w:szCs w:val="22"/>
        </w:rPr>
        <w:t xml:space="preserve"> regression methods</w:t>
      </w:r>
      <w:r w:rsidR="0051651D">
        <w:rPr>
          <w:rFonts w:ascii="Arial" w:hAnsi="Arial" w:cs="Arial"/>
          <w:sz w:val="22"/>
          <w:szCs w:val="22"/>
        </w:rPr>
        <w:t>, multiplicity approaches, transforms, permutation methods, functional data analysis, Monte Carlo simulations, clustering methods, resampling methods, and general linear mixed models</w:t>
      </w:r>
      <w:r w:rsidR="00E63927">
        <w:rPr>
          <w:rFonts w:ascii="Arial" w:hAnsi="Arial" w:cs="Arial"/>
          <w:sz w:val="22"/>
          <w:szCs w:val="22"/>
        </w:rPr>
        <w:t>.</w:t>
      </w:r>
      <w:r w:rsidR="002D5553">
        <w:rPr>
          <w:rFonts w:ascii="Arial" w:hAnsi="Arial" w:cs="Arial"/>
          <w:sz w:val="22"/>
          <w:szCs w:val="22"/>
          <w:vertAlign w:val="superscript"/>
        </w:rPr>
        <w:t>29,30,4</w:t>
      </w:r>
      <w:r w:rsidR="008E4CC9" w:rsidRPr="008E4CC9">
        <w:rPr>
          <w:rFonts w:ascii="Arial" w:hAnsi="Arial" w:cs="Arial"/>
          <w:sz w:val="22"/>
          <w:szCs w:val="22"/>
          <w:vertAlign w:val="superscript"/>
        </w:rPr>
        <w:t>2-5</w:t>
      </w:r>
      <w:r w:rsidR="002D5553">
        <w:rPr>
          <w:rFonts w:ascii="Arial" w:hAnsi="Arial" w:cs="Arial"/>
          <w:sz w:val="22"/>
          <w:szCs w:val="22"/>
          <w:vertAlign w:val="superscript"/>
        </w:rPr>
        <w:t>2</w:t>
      </w:r>
      <w:r w:rsidR="00A726C5">
        <w:rPr>
          <w:rFonts w:ascii="Arial" w:hAnsi="Arial" w:cs="Arial"/>
          <w:sz w:val="22"/>
          <w:szCs w:val="22"/>
        </w:rPr>
        <w:t xml:space="preserve"> Aside from the use of </w:t>
      </w:r>
      <w:r w:rsidR="00E63927">
        <w:rPr>
          <w:rFonts w:ascii="Arial" w:hAnsi="Arial" w:cs="Arial"/>
          <w:sz w:val="22"/>
          <w:szCs w:val="22"/>
        </w:rPr>
        <w:t xml:space="preserve">standard methods across the study, three areas of methodology research will be investigated: 1) </w:t>
      </w:r>
      <w:r w:rsidR="00E37F0E">
        <w:rPr>
          <w:rFonts w:ascii="Arial" w:hAnsi="Arial" w:cs="Arial"/>
          <w:sz w:val="22"/>
          <w:szCs w:val="22"/>
        </w:rPr>
        <w:t>Due to heavy reliance on observations of gross physiol</w:t>
      </w:r>
      <w:r w:rsidR="00A726C5">
        <w:rPr>
          <w:rFonts w:ascii="Arial" w:hAnsi="Arial" w:cs="Arial"/>
          <w:sz w:val="22"/>
          <w:szCs w:val="22"/>
        </w:rPr>
        <w:t xml:space="preserve">ogy in a clinical setting, </w:t>
      </w:r>
      <w:r w:rsidR="00E37F0E">
        <w:rPr>
          <w:rFonts w:ascii="Arial" w:hAnsi="Arial" w:cs="Arial"/>
          <w:sz w:val="22"/>
          <w:szCs w:val="22"/>
        </w:rPr>
        <w:t>the correspondence between molecular pathogenic effects and clinical disease states is not a one-to-one mapping for common, complex diseases. Indeed, there are multiple examples of molecular etiologies that were previously classified as single disease entities (e.g., breast cancer can meaningfully subdivided into estrogen receptor positive/negative disease, with profound implications for prognosis, trajectory, and treatment decisions).</w:t>
      </w:r>
      <w:r w:rsidR="00E37F0E" w:rsidRPr="00E37F0E">
        <w:rPr>
          <w:rFonts w:ascii="Arial" w:hAnsi="Arial" w:cs="Arial"/>
          <w:sz w:val="22"/>
          <w:szCs w:val="22"/>
          <w:vertAlign w:val="superscript"/>
        </w:rPr>
        <w:t>53-55</w:t>
      </w:r>
      <w:r w:rsidR="00E37F0E">
        <w:rPr>
          <w:rFonts w:ascii="Arial" w:hAnsi="Arial" w:cs="Arial"/>
          <w:sz w:val="22"/>
          <w:szCs w:val="22"/>
        </w:rPr>
        <w:t xml:space="preserve"> </w:t>
      </w:r>
      <w:r w:rsidR="00E63927">
        <w:rPr>
          <w:rFonts w:ascii="Arial" w:hAnsi="Arial" w:cs="Arial"/>
          <w:sz w:val="22"/>
          <w:szCs w:val="22"/>
        </w:rPr>
        <w:t xml:space="preserve">To better identify molecular-based disease subgroups within each disease examined, we will </w:t>
      </w:r>
      <w:r w:rsidR="00527509">
        <w:rPr>
          <w:rFonts w:ascii="Arial" w:hAnsi="Arial" w:cs="Arial"/>
          <w:sz w:val="22"/>
          <w:szCs w:val="22"/>
        </w:rPr>
        <w:t>use an</w:t>
      </w:r>
      <w:r w:rsidR="0051651D">
        <w:rPr>
          <w:rFonts w:ascii="Arial" w:hAnsi="Arial" w:cs="Arial"/>
          <w:sz w:val="22"/>
          <w:szCs w:val="22"/>
        </w:rPr>
        <w:t>d</w:t>
      </w:r>
      <w:r w:rsidR="00527509">
        <w:rPr>
          <w:rFonts w:ascii="Arial" w:hAnsi="Arial" w:cs="Arial"/>
          <w:sz w:val="22"/>
          <w:szCs w:val="22"/>
        </w:rPr>
        <w:t xml:space="preserve"> extend binary PCA and </w:t>
      </w:r>
      <w:proofErr w:type="spellStart"/>
      <w:r w:rsidR="00527509">
        <w:rPr>
          <w:rFonts w:ascii="Arial" w:hAnsi="Arial" w:cs="Arial"/>
          <w:sz w:val="22"/>
          <w:szCs w:val="22"/>
        </w:rPr>
        <w:t>biclustering</w:t>
      </w:r>
      <w:proofErr w:type="spellEnd"/>
      <w:r w:rsidR="00527509">
        <w:rPr>
          <w:rFonts w:ascii="Arial" w:hAnsi="Arial" w:cs="Arial"/>
          <w:sz w:val="22"/>
          <w:szCs w:val="22"/>
        </w:rPr>
        <w:t xml:space="preserve"> methods.</w:t>
      </w:r>
      <w:r w:rsidR="00E55E6D">
        <w:rPr>
          <w:rFonts w:ascii="Arial" w:hAnsi="Arial" w:cs="Arial"/>
          <w:sz w:val="22"/>
          <w:szCs w:val="22"/>
          <w:vertAlign w:val="superscript"/>
        </w:rPr>
        <w:t>56</w:t>
      </w:r>
      <w:r w:rsidR="00527509" w:rsidRPr="00527509">
        <w:rPr>
          <w:rFonts w:ascii="Arial" w:hAnsi="Arial" w:cs="Arial"/>
          <w:sz w:val="22"/>
          <w:szCs w:val="22"/>
          <w:vertAlign w:val="superscript"/>
        </w:rPr>
        <w:t>,</w:t>
      </w:r>
      <w:r w:rsidR="002D5553">
        <w:rPr>
          <w:rFonts w:ascii="Arial" w:hAnsi="Arial" w:cs="Arial"/>
          <w:sz w:val="22"/>
          <w:szCs w:val="22"/>
          <w:vertAlign w:val="superscript"/>
        </w:rPr>
        <w:t>5</w:t>
      </w:r>
      <w:r w:rsidR="00E55E6D">
        <w:rPr>
          <w:rFonts w:ascii="Arial" w:hAnsi="Arial" w:cs="Arial"/>
          <w:sz w:val="22"/>
          <w:szCs w:val="22"/>
          <w:vertAlign w:val="superscript"/>
        </w:rPr>
        <w:t>7</w:t>
      </w:r>
      <w:r w:rsidR="00527509">
        <w:rPr>
          <w:rFonts w:ascii="Arial" w:hAnsi="Arial" w:cs="Arial"/>
          <w:sz w:val="22"/>
          <w:szCs w:val="22"/>
        </w:rPr>
        <w:t xml:space="preserve"> 2)</w:t>
      </w:r>
      <w:r w:rsidR="00D62002">
        <w:rPr>
          <w:rFonts w:ascii="Arial" w:hAnsi="Arial" w:cs="Arial"/>
          <w:sz w:val="22"/>
          <w:szCs w:val="22"/>
        </w:rPr>
        <w:t xml:space="preserve"> The use of multiple ‘omics’ data types in predictive models necessitates sophisticated machine learning approaches. </w:t>
      </w:r>
      <w:r w:rsidR="00DF6E68">
        <w:rPr>
          <w:rFonts w:ascii="Arial" w:hAnsi="Arial" w:cs="Arial"/>
          <w:sz w:val="22"/>
          <w:szCs w:val="22"/>
        </w:rPr>
        <w:t>We will refine and tailor</w:t>
      </w:r>
      <w:r w:rsidR="00505F06">
        <w:rPr>
          <w:rFonts w:ascii="Arial" w:hAnsi="Arial" w:cs="Arial"/>
          <w:sz w:val="22"/>
          <w:szCs w:val="22"/>
        </w:rPr>
        <w:t xml:space="preserve"> a Sure Independence Screening (SIS) procedure for </w:t>
      </w:r>
      <w:r w:rsidR="0030095D">
        <w:rPr>
          <w:rFonts w:ascii="Arial" w:hAnsi="Arial" w:cs="Arial"/>
          <w:sz w:val="22"/>
          <w:szCs w:val="22"/>
        </w:rPr>
        <w:t xml:space="preserve">priming data for </w:t>
      </w:r>
      <w:r w:rsidR="00505F06">
        <w:rPr>
          <w:rFonts w:ascii="Arial" w:hAnsi="Arial" w:cs="Arial"/>
          <w:sz w:val="22"/>
          <w:szCs w:val="22"/>
        </w:rPr>
        <w:t>feature selection from these molecular data. SIS is a simple and elegant tool that is widely used to reduce the dimensionality of data to a manageable scale.</w:t>
      </w:r>
      <w:r w:rsidR="00505F06" w:rsidRPr="00505F06">
        <w:rPr>
          <w:rFonts w:ascii="Arial" w:hAnsi="Arial" w:cs="Arial"/>
          <w:sz w:val="22"/>
          <w:szCs w:val="22"/>
          <w:vertAlign w:val="superscript"/>
        </w:rPr>
        <w:t>58</w:t>
      </w:r>
      <w:r w:rsidR="00505F06">
        <w:rPr>
          <w:rFonts w:ascii="Arial" w:hAnsi="Arial" w:cs="Arial"/>
          <w:sz w:val="22"/>
          <w:szCs w:val="22"/>
        </w:rPr>
        <w:t xml:space="preserve"> </w:t>
      </w:r>
      <w:proofErr w:type="gramStart"/>
      <w:r w:rsidR="00505F06">
        <w:rPr>
          <w:rFonts w:ascii="Arial" w:hAnsi="Arial" w:cs="Arial"/>
          <w:sz w:val="22"/>
          <w:szCs w:val="22"/>
        </w:rPr>
        <w:t>It</w:t>
      </w:r>
      <w:proofErr w:type="gramEnd"/>
      <w:r w:rsidR="00505F06">
        <w:rPr>
          <w:rFonts w:ascii="Arial" w:hAnsi="Arial" w:cs="Arial"/>
          <w:sz w:val="22"/>
          <w:szCs w:val="22"/>
        </w:rPr>
        <w:t xml:space="preserve"> is well known that the screening and commonly used penalties (e.g., adaptive Lasso, Elastic net, and SCAD) can produce valuable results for variable selection in high dimensional frameworks. SIS and its extensions are useful techniques to improve the computational efficiency</w:t>
      </w:r>
      <w:r w:rsidR="0030095D">
        <w:rPr>
          <w:rFonts w:ascii="Arial" w:hAnsi="Arial" w:cs="Arial"/>
          <w:sz w:val="22"/>
          <w:szCs w:val="22"/>
        </w:rPr>
        <w:t xml:space="preserve"> of these feature selection algorithms</w:t>
      </w:r>
      <w:r w:rsidR="00505F06">
        <w:rPr>
          <w:rFonts w:ascii="Arial" w:hAnsi="Arial" w:cs="Arial"/>
          <w:sz w:val="22"/>
          <w:szCs w:val="22"/>
        </w:rPr>
        <w:t>, as well as the accuracy in extracting informative signals from very large bio</w:t>
      </w:r>
      <w:r w:rsidR="0030095D">
        <w:rPr>
          <w:rFonts w:ascii="Arial" w:hAnsi="Arial" w:cs="Arial"/>
          <w:sz w:val="22"/>
          <w:szCs w:val="22"/>
        </w:rPr>
        <w:t>logical datasets. Using the SIS/Elastic Net-determined</w:t>
      </w:r>
      <w:r w:rsidR="00505F06">
        <w:rPr>
          <w:rFonts w:ascii="Arial" w:hAnsi="Arial" w:cs="Arial"/>
          <w:sz w:val="22"/>
          <w:szCs w:val="22"/>
        </w:rPr>
        <w:t xml:space="preserve"> features, we will construct Bayesian Network-based classifiers</w:t>
      </w:r>
      <w:r w:rsidR="00505F06" w:rsidRPr="00505F06">
        <w:rPr>
          <w:rFonts w:ascii="Arial" w:hAnsi="Arial" w:cs="Arial"/>
          <w:sz w:val="22"/>
          <w:szCs w:val="22"/>
          <w:vertAlign w:val="superscript"/>
        </w:rPr>
        <w:t>59</w:t>
      </w:r>
      <w:proofErr w:type="gramStart"/>
      <w:r w:rsidR="00505F06">
        <w:rPr>
          <w:rFonts w:ascii="Arial" w:hAnsi="Arial" w:cs="Arial"/>
          <w:sz w:val="22"/>
          <w:szCs w:val="22"/>
          <w:vertAlign w:val="superscript"/>
        </w:rPr>
        <w:t>,60</w:t>
      </w:r>
      <w:proofErr w:type="gramEnd"/>
      <w:r w:rsidR="00DF6E68">
        <w:rPr>
          <w:rFonts w:ascii="Arial" w:hAnsi="Arial" w:cs="Arial"/>
          <w:sz w:val="22"/>
          <w:szCs w:val="22"/>
        </w:rPr>
        <w:t xml:space="preserve"> for use on the genera</w:t>
      </w:r>
      <w:r w:rsidR="00A726C5">
        <w:rPr>
          <w:rFonts w:ascii="Arial" w:hAnsi="Arial" w:cs="Arial"/>
          <w:sz w:val="22"/>
          <w:szCs w:val="22"/>
        </w:rPr>
        <w:t>ted exome genotype data</w:t>
      </w:r>
      <w:r w:rsidR="00DF6E68">
        <w:rPr>
          <w:rFonts w:ascii="Arial" w:hAnsi="Arial" w:cs="Arial"/>
          <w:sz w:val="22"/>
          <w:szCs w:val="22"/>
        </w:rPr>
        <w:t>,</w:t>
      </w:r>
      <w:r w:rsidR="00065DC4">
        <w:rPr>
          <w:rFonts w:ascii="Arial" w:hAnsi="Arial" w:cs="Arial"/>
          <w:sz w:val="22"/>
          <w:szCs w:val="22"/>
        </w:rPr>
        <w:t xml:space="preserve"> protei</w:t>
      </w:r>
      <w:r w:rsidR="00505F06">
        <w:rPr>
          <w:rFonts w:ascii="Arial" w:hAnsi="Arial" w:cs="Arial"/>
          <w:sz w:val="22"/>
          <w:szCs w:val="22"/>
        </w:rPr>
        <w:t>n biomarkers, and antibody data.</w:t>
      </w:r>
      <w:r w:rsidR="007E765B">
        <w:rPr>
          <w:rFonts w:ascii="Arial" w:hAnsi="Arial" w:cs="Arial"/>
          <w:sz w:val="22"/>
          <w:szCs w:val="22"/>
        </w:rPr>
        <w:t xml:space="preserve"> </w:t>
      </w:r>
      <w:r w:rsidR="00505F06">
        <w:rPr>
          <w:rFonts w:ascii="Arial" w:hAnsi="Arial" w:cs="Arial"/>
          <w:sz w:val="22"/>
          <w:szCs w:val="22"/>
        </w:rPr>
        <w:t>Bayesian Networks</w:t>
      </w:r>
      <w:r w:rsidR="00A37CC3">
        <w:rPr>
          <w:rFonts w:ascii="Arial" w:hAnsi="Arial" w:cs="Arial"/>
          <w:sz w:val="22"/>
          <w:szCs w:val="22"/>
        </w:rPr>
        <w:t xml:space="preserve"> are widely considered to produce highly competitive predictive performance when compared to other approaches. In addition, </w:t>
      </w:r>
      <w:r w:rsidR="003659D0">
        <w:rPr>
          <w:rFonts w:ascii="Arial" w:hAnsi="Arial" w:cs="Arial"/>
          <w:sz w:val="22"/>
          <w:szCs w:val="22"/>
        </w:rPr>
        <w:t>Bayesian Networks can (</w:t>
      </w:r>
      <w:proofErr w:type="spellStart"/>
      <w:r w:rsidR="003659D0">
        <w:rPr>
          <w:rFonts w:ascii="Arial" w:hAnsi="Arial" w:cs="Arial"/>
          <w:sz w:val="22"/>
          <w:szCs w:val="22"/>
        </w:rPr>
        <w:t>i</w:t>
      </w:r>
      <w:proofErr w:type="spellEnd"/>
      <w:r w:rsidR="003659D0">
        <w:rPr>
          <w:rFonts w:ascii="Arial" w:hAnsi="Arial" w:cs="Arial"/>
          <w:sz w:val="22"/>
          <w:szCs w:val="22"/>
        </w:rPr>
        <w:t>) be easily motivated by first principles of probabilistic laws applied to graphs, and (ii) produce highly transparent results showing the level at which each feature drives the classification and the correlative structure between features.</w:t>
      </w:r>
      <w:r w:rsidR="00505F06">
        <w:rPr>
          <w:rFonts w:ascii="Arial" w:hAnsi="Arial" w:cs="Arial"/>
          <w:sz w:val="22"/>
          <w:szCs w:val="22"/>
        </w:rPr>
        <w:t xml:space="preserve"> </w:t>
      </w:r>
      <w:r w:rsidR="005201AB">
        <w:rPr>
          <w:rFonts w:ascii="Arial" w:hAnsi="Arial" w:cs="Arial"/>
          <w:sz w:val="22"/>
          <w:szCs w:val="22"/>
        </w:rPr>
        <w:t xml:space="preserve">In addition to Bayesian Networks, we will also evaluate high dimensional logistic regression with adaptive Lasso as an alternative classifier. </w:t>
      </w:r>
      <w:r w:rsidR="007E765B">
        <w:rPr>
          <w:rFonts w:ascii="Arial" w:hAnsi="Arial" w:cs="Arial"/>
          <w:sz w:val="22"/>
          <w:szCs w:val="22"/>
        </w:rPr>
        <w:t>3) Character</w:t>
      </w:r>
      <w:r w:rsidR="003C3BB5">
        <w:rPr>
          <w:rFonts w:ascii="Arial" w:hAnsi="Arial" w:cs="Arial"/>
          <w:sz w:val="22"/>
          <w:szCs w:val="22"/>
        </w:rPr>
        <w:t xml:space="preserve">izing results from </w:t>
      </w:r>
      <w:r w:rsidR="007E765B">
        <w:rPr>
          <w:rFonts w:ascii="Arial" w:hAnsi="Arial" w:cs="Arial"/>
          <w:sz w:val="22"/>
          <w:szCs w:val="22"/>
        </w:rPr>
        <w:t xml:space="preserve">machine learning classifiers in a way that both </w:t>
      </w:r>
      <w:proofErr w:type="gramStart"/>
      <w:r w:rsidR="007E765B">
        <w:rPr>
          <w:rFonts w:ascii="Arial" w:hAnsi="Arial" w:cs="Arial"/>
          <w:sz w:val="22"/>
          <w:szCs w:val="22"/>
        </w:rPr>
        <w:t>captures</w:t>
      </w:r>
      <w:proofErr w:type="gramEnd"/>
      <w:r w:rsidR="007E765B">
        <w:rPr>
          <w:rFonts w:ascii="Arial" w:hAnsi="Arial" w:cs="Arial"/>
          <w:sz w:val="22"/>
          <w:szCs w:val="22"/>
        </w:rPr>
        <w:t xml:space="preserve"> the </w:t>
      </w:r>
      <w:r w:rsidR="003C3BB5">
        <w:rPr>
          <w:rFonts w:ascii="Arial" w:hAnsi="Arial" w:cs="Arial"/>
          <w:sz w:val="22"/>
          <w:szCs w:val="22"/>
        </w:rPr>
        <w:t xml:space="preserve">performance of the prediction as well as the clinical utility </w:t>
      </w:r>
      <w:r w:rsidR="007E765B">
        <w:rPr>
          <w:rFonts w:ascii="Arial" w:hAnsi="Arial" w:cs="Arial"/>
          <w:sz w:val="22"/>
          <w:szCs w:val="22"/>
        </w:rPr>
        <w:t>is challenging.</w:t>
      </w:r>
      <w:r w:rsidR="003C3BB5">
        <w:rPr>
          <w:rFonts w:ascii="Arial" w:hAnsi="Arial" w:cs="Arial"/>
          <w:sz w:val="22"/>
          <w:szCs w:val="22"/>
        </w:rPr>
        <w:t xml:space="preserve"> While we will use the standard area under the Receiver Operating Characteristic curve (AUC)</w:t>
      </w:r>
      <w:r w:rsidR="006C205E">
        <w:rPr>
          <w:rFonts w:ascii="Arial" w:hAnsi="Arial" w:cs="Arial"/>
          <w:sz w:val="22"/>
          <w:szCs w:val="22"/>
          <w:vertAlign w:val="superscript"/>
        </w:rPr>
        <w:t>61</w:t>
      </w:r>
      <w:r w:rsidR="003C3BB5">
        <w:rPr>
          <w:rFonts w:ascii="Arial" w:hAnsi="Arial" w:cs="Arial"/>
          <w:sz w:val="22"/>
          <w:szCs w:val="22"/>
        </w:rPr>
        <w:t xml:space="preserve"> (by averaging AUC values over 10-fold cross validations) to evaluate classifier performance, we will also explore the use of the posterior probability of disease</w:t>
      </w:r>
      <w:r w:rsidR="00EE0D74">
        <w:rPr>
          <w:rFonts w:ascii="Arial" w:hAnsi="Arial" w:cs="Arial"/>
          <w:sz w:val="22"/>
          <w:szCs w:val="22"/>
        </w:rPr>
        <w:t xml:space="preserve"> (PPD)</w:t>
      </w:r>
      <w:r w:rsidR="003C3BB5">
        <w:rPr>
          <w:rFonts w:ascii="Arial" w:hAnsi="Arial" w:cs="Arial"/>
          <w:sz w:val="22"/>
          <w:szCs w:val="22"/>
        </w:rPr>
        <w:t xml:space="preserve"> (</w:t>
      </w:r>
      <w:r w:rsidR="00EE0D74">
        <w:rPr>
          <w:rFonts w:ascii="Arial" w:hAnsi="Arial" w:cs="Arial"/>
          <w:sz w:val="22"/>
          <w:szCs w:val="22"/>
        </w:rPr>
        <w:t xml:space="preserve">probability of disease </w:t>
      </w:r>
      <w:r w:rsidR="003C3BB5">
        <w:rPr>
          <w:rFonts w:ascii="Arial" w:hAnsi="Arial" w:cs="Arial"/>
          <w:sz w:val="22"/>
          <w:szCs w:val="22"/>
        </w:rPr>
        <w:t>conditioned on the molecular</w:t>
      </w:r>
      <w:r w:rsidR="00EE0D74">
        <w:rPr>
          <w:rFonts w:ascii="Arial" w:hAnsi="Arial" w:cs="Arial"/>
          <w:sz w:val="22"/>
          <w:szCs w:val="22"/>
        </w:rPr>
        <w:t xml:space="preserve"> features used in the predictive model), where we investigate metrics that compare the probability mass of the PPD that exceeds a high threshold and the probability mass</w:t>
      </w:r>
      <w:r w:rsidR="003C3BB5">
        <w:rPr>
          <w:rFonts w:ascii="Arial" w:hAnsi="Arial" w:cs="Arial"/>
          <w:sz w:val="22"/>
          <w:szCs w:val="22"/>
        </w:rPr>
        <w:t xml:space="preserve"> </w:t>
      </w:r>
      <w:r w:rsidR="00EE0D74">
        <w:rPr>
          <w:rFonts w:ascii="Arial" w:hAnsi="Arial" w:cs="Arial"/>
          <w:sz w:val="22"/>
          <w:szCs w:val="22"/>
        </w:rPr>
        <w:t>of PPD below a low threshold.</w:t>
      </w:r>
      <w:r w:rsidR="006C205E" w:rsidRPr="006C205E">
        <w:rPr>
          <w:rFonts w:ascii="Arial" w:hAnsi="Arial" w:cs="Arial"/>
          <w:sz w:val="22"/>
          <w:szCs w:val="22"/>
          <w:vertAlign w:val="superscript"/>
        </w:rPr>
        <w:t>21</w:t>
      </w:r>
      <w:r w:rsidR="00EE0D74">
        <w:rPr>
          <w:rFonts w:ascii="Arial" w:hAnsi="Arial" w:cs="Arial"/>
          <w:sz w:val="22"/>
          <w:szCs w:val="22"/>
        </w:rPr>
        <w:t xml:space="preserve"> We believe this type of analysis method both measures the performance of a classifier and </w:t>
      </w:r>
      <w:r w:rsidR="00EE0D74">
        <w:rPr>
          <w:rFonts w:ascii="Arial" w:hAnsi="Arial" w:cs="Arial"/>
          <w:sz w:val="22"/>
          <w:szCs w:val="22"/>
        </w:rPr>
        <w:lastRenderedPageBreak/>
        <w:t xml:space="preserve">has direct applicability in a clinical setting as physicians often tailor clinical decisions based on whether they believe an individual’s probability of disease exceeds a particular value. </w:t>
      </w:r>
      <w:r w:rsidR="003C3BB5">
        <w:rPr>
          <w:rFonts w:ascii="Arial" w:hAnsi="Arial" w:cs="Arial"/>
          <w:sz w:val="22"/>
          <w:szCs w:val="22"/>
        </w:rPr>
        <w:t xml:space="preserve">  </w:t>
      </w:r>
      <w:r w:rsidR="007E765B">
        <w:rPr>
          <w:rFonts w:ascii="Arial" w:hAnsi="Arial" w:cs="Arial"/>
          <w:sz w:val="22"/>
          <w:szCs w:val="22"/>
        </w:rPr>
        <w:t xml:space="preserve">  </w:t>
      </w:r>
      <w:r w:rsidR="00DF6E68">
        <w:rPr>
          <w:rFonts w:ascii="Arial" w:hAnsi="Arial" w:cs="Arial"/>
          <w:sz w:val="22"/>
          <w:szCs w:val="22"/>
        </w:rPr>
        <w:t xml:space="preserve"> </w:t>
      </w:r>
      <w:r w:rsidR="00D62002">
        <w:rPr>
          <w:rFonts w:ascii="Arial" w:hAnsi="Arial" w:cs="Arial"/>
          <w:sz w:val="22"/>
          <w:szCs w:val="22"/>
        </w:rPr>
        <w:t xml:space="preserve"> </w:t>
      </w:r>
      <w:r w:rsidR="0029411E">
        <w:rPr>
          <w:rFonts w:ascii="Arial" w:hAnsi="Arial" w:cs="Arial"/>
          <w:sz w:val="22"/>
          <w:szCs w:val="22"/>
        </w:rPr>
        <w:t xml:space="preserve"> </w:t>
      </w:r>
      <w:r w:rsidR="005F745D">
        <w:rPr>
          <w:rFonts w:ascii="Arial" w:hAnsi="Arial" w:cs="Arial"/>
          <w:sz w:val="22"/>
          <w:szCs w:val="22"/>
        </w:rPr>
        <w:t xml:space="preserve"> </w:t>
      </w:r>
      <w:r w:rsidR="00527509">
        <w:rPr>
          <w:rFonts w:ascii="Arial" w:hAnsi="Arial" w:cs="Arial"/>
          <w:sz w:val="22"/>
          <w:szCs w:val="22"/>
        </w:rPr>
        <w:t xml:space="preserve">  </w:t>
      </w:r>
      <w:r w:rsidR="00E63927">
        <w:rPr>
          <w:rFonts w:ascii="Arial" w:hAnsi="Arial" w:cs="Arial"/>
          <w:sz w:val="22"/>
          <w:szCs w:val="22"/>
        </w:rPr>
        <w:t xml:space="preserve"> </w:t>
      </w:r>
    </w:p>
    <w:p w:rsidR="00050E6E" w:rsidRDefault="00050E6E" w:rsidP="006F3C86">
      <w:pPr>
        <w:spacing w:line="120" w:lineRule="auto"/>
        <w:jc w:val="both"/>
        <w:rPr>
          <w:rFonts w:ascii="Arial" w:hAnsi="Arial" w:cs="Arial"/>
          <w:b/>
          <w:sz w:val="22"/>
          <w:szCs w:val="22"/>
        </w:rPr>
      </w:pPr>
    </w:p>
    <w:p w:rsidR="004157E8" w:rsidRDefault="00267A0A" w:rsidP="004157E8">
      <w:pPr>
        <w:pStyle w:val="ListParagraph"/>
        <w:numPr>
          <w:ilvl w:val="0"/>
          <w:numId w:val="6"/>
        </w:numPr>
        <w:jc w:val="both"/>
        <w:rPr>
          <w:rFonts w:ascii="Arial" w:hAnsi="Arial" w:cs="Arial"/>
          <w:b/>
          <w:sz w:val="22"/>
          <w:szCs w:val="22"/>
        </w:rPr>
      </w:pPr>
      <w:r>
        <w:rPr>
          <w:rFonts w:ascii="Arial" w:hAnsi="Arial" w:cs="Arial"/>
          <w:b/>
          <w:sz w:val="22"/>
          <w:szCs w:val="22"/>
        </w:rPr>
        <w:t>APPROACH</w:t>
      </w:r>
    </w:p>
    <w:p w:rsidR="00970AB5" w:rsidRPr="00970AB5" w:rsidRDefault="00970AB5" w:rsidP="00970AB5">
      <w:pPr>
        <w:pStyle w:val="ListParagraph"/>
        <w:spacing w:line="120" w:lineRule="auto"/>
        <w:ind w:left="360"/>
        <w:jc w:val="both"/>
        <w:rPr>
          <w:rFonts w:ascii="Arial" w:hAnsi="Arial" w:cs="Arial"/>
          <w:b/>
          <w:sz w:val="22"/>
          <w:szCs w:val="22"/>
        </w:rPr>
      </w:pPr>
    </w:p>
    <w:p w:rsidR="00570405" w:rsidRDefault="0073027D" w:rsidP="00970AB5">
      <w:pPr>
        <w:jc w:val="both"/>
        <w:rPr>
          <w:rFonts w:ascii="Arial" w:hAnsi="Arial" w:cs="Arial"/>
          <w:b/>
          <w:sz w:val="22"/>
          <w:szCs w:val="22"/>
        </w:rPr>
      </w:pPr>
      <w:r w:rsidRPr="0073027D">
        <w:rPr>
          <w:rFonts w:ascii="Arial" w:hAnsi="Arial" w:cs="Arial"/>
          <w:b/>
          <w:sz w:val="22"/>
          <w:szCs w:val="22"/>
        </w:rPr>
        <w:t>Experimental Design</w:t>
      </w:r>
      <w:r w:rsidR="00F02471">
        <w:rPr>
          <w:rFonts w:ascii="Arial" w:hAnsi="Arial" w:cs="Arial"/>
          <w:b/>
          <w:sz w:val="22"/>
          <w:szCs w:val="22"/>
        </w:rPr>
        <w:t xml:space="preserve"> Overview</w:t>
      </w:r>
    </w:p>
    <w:p w:rsidR="00AA019F" w:rsidRDefault="003F786E" w:rsidP="006F3C86">
      <w:pPr>
        <w:spacing w:line="120" w:lineRule="auto"/>
        <w:jc w:val="both"/>
        <w:rPr>
          <w:rFonts w:ascii="Arial" w:hAnsi="Arial" w:cs="Arial"/>
          <w:b/>
          <w:sz w:val="22"/>
          <w:szCs w:val="22"/>
        </w:rPr>
      </w:pPr>
      <w:r>
        <w:rPr>
          <w:rFonts w:ascii="Arial" w:hAnsi="Arial" w:cs="Arial"/>
          <w:b/>
          <w:noProof/>
          <w:sz w:val="22"/>
          <w:szCs w:val="22"/>
        </w:rPr>
        <w:drawing>
          <wp:inline distT="0" distB="0" distL="0" distR="0">
            <wp:extent cx="5981700" cy="4486275"/>
            <wp:effectExtent l="0" t="0" r="0" b="952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Design.jpg"/>
                    <pic:cNvPicPr/>
                  </pic:nvPicPr>
                  <pic:blipFill>
                    <a:blip r:embed="rId6">
                      <a:extLst>
                        <a:ext uri="{28A0092B-C50C-407E-A947-70E740481C1C}">
                          <a14:useLocalDpi xmlns:a14="http://schemas.microsoft.com/office/drawing/2010/main" val="0"/>
                        </a:ext>
                      </a:extLst>
                    </a:blip>
                    <a:stretch>
                      <a:fillRect/>
                    </a:stretch>
                  </pic:blipFill>
                  <pic:spPr>
                    <a:xfrm>
                      <a:off x="0" y="0"/>
                      <a:ext cx="5981700" cy="4486275"/>
                    </a:xfrm>
                    <a:prstGeom prst="rect">
                      <a:avLst/>
                    </a:prstGeom>
                  </pic:spPr>
                </pic:pic>
              </a:graphicData>
            </a:graphic>
          </wp:inline>
        </w:drawing>
      </w:r>
    </w:p>
    <w:p w:rsidR="00050E6E" w:rsidRPr="00C94387" w:rsidRDefault="00970AB5" w:rsidP="007B0FDC">
      <w:pPr>
        <w:jc w:val="both"/>
        <w:rPr>
          <w:rFonts w:ascii="Arial" w:hAnsi="Arial" w:cs="Arial"/>
          <w:sz w:val="22"/>
          <w:szCs w:val="22"/>
        </w:rPr>
      </w:pPr>
      <w:r w:rsidRPr="005F2A30">
        <w:rPr>
          <w:rFonts w:ascii="Arial" w:hAnsi="Arial" w:cs="Arial"/>
          <w:sz w:val="22"/>
          <w:szCs w:val="22"/>
        </w:rPr>
        <w:t xml:space="preserve">The first step in the experimental design is to utilize the </w:t>
      </w:r>
      <w:r w:rsidR="007B0FDC">
        <w:rPr>
          <w:rFonts w:ascii="Arial" w:hAnsi="Arial" w:cs="Arial"/>
          <w:sz w:val="22"/>
          <w:szCs w:val="22"/>
        </w:rPr>
        <w:t xml:space="preserve">panel of </w:t>
      </w:r>
      <w:r w:rsidRPr="005F2A30">
        <w:rPr>
          <w:rFonts w:ascii="Arial" w:hAnsi="Arial" w:cs="Arial"/>
          <w:sz w:val="22"/>
          <w:szCs w:val="22"/>
        </w:rPr>
        <w:t xml:space="preserve">ancestry informative markers on the </w:t>
      </w:r>
      <w:r w:rsidR="007B0FDC">
        <w:rPr>
          <w:rFonts w:ascii="Arial" w:hAnsi="Arial" w:cs="Arial"/>
          <w:sz w:val="22"/>
          <w:szCs w:val="22"/>
        </w:rPr>
        <w:t xml:space="preserve">exome </w:t>
      </w:r>
      <w:proofErr w:type="spellStart"/>
      <w:r w:rsidR="007B0FDC">
        <w:rPr>
          <w:rFonts w:ascii="Arial" w:hAnsi="Arial" w:cs="Arial"/>
          <w:sz w:val="22"/>
          <w:szCs w:val="22"/>
        </w:rPr>
        <w:t>beadchip</w:t>
      </w:r>
      <w:proofErr w:type="spellEnd"/>
      <w:r w:rsidR="007B0FDC">
        <w:rPr>
          <w:rFonts w:ascii="Arial" w:hAnsi="Arial" w:cs="Arial"/>
          <w:sz w:val="22"/>
          <w:szCs w:val="22"/>
        </w:rPr>
        <w:t xml:space="preserve"> to conduct a PCA analysis </w:t>
      </w:r>
      <w:r w:rsidR="006F3C86">
        <w:rPr>
          <w:rFonts w:ascii="Arial" w:hAnsi="Arial" w:cs="Arial"/>
          <w:sz w:val="22"/>
          <w:szCs w:val="22"/>
        </w:rPr>
        <w:t>removing</w:t>
      </w:r>
      <w:r w:rsidR="007B0FDC">
        <w:rPr>
          <w:rFonts w:ascii="Arial" w:hAnsi="Arial" w:cs="Arial"/>
          <w:sz w:val="22"/>
          <w:szCs w:val="22"/>
        </w:rPr>
        <w:t xml:space="preserve"> genetic-background outliers within the set of 20,000 PMRP individuals. </w:t>
      </w:r>
      <w:r w:rsidR="006F3C86">
        <w:rPr>
          <w:rFonts w:ascii="Arial" w:hAnsi="Arial" w:cs="Arial"/>
          <w:sz w:val="22"/>
          <w:szCs w:val="22"/>
        </w:rPr>
        <w:t>From the resulting</w:t>
      </w:r>
      <w:r w:rsidR="009075F8">
        <w:rPr>
          <w:rFonts w:ascii="Arial" w:hAnsi="Arial" w:cs="Arial"/>
          <w:sz w:val="22"/>
          <w:szCs w:val="22"/>
        </w:rPr>
        <w:t xml:space="preserve"> set of individuals, we will identify individuals from each of the diseases studied using the electronic medical record information. We have found that for many diseases using solely ICD9 codes can often generate inaccurate identification (i.e., low concordance rates with manual adjudication from clinical professionals). Ther</w:t>
      </w:r>
      <w:r w:rsidR="00D065BD">
        <w:rPr>
          <w:rFonts w:ascii="Arial" w:hAnsi="Arial" w:cs="Arial"/>
          <w:sz w:val="22"/>
          <w:szCs w:val="22"/>
        </w:rPr>
        <w:t>efore, multiple</w:t>
      </w:r>
      <w:r w:rsidR="009075F8">
        <w:rPr>
          <w:rFonts w:ascii="Arial" w:hAnsi="Arial" w:cs="Arial"/>
          <w:sz w:val="22"/>
          <w:szCs w:val="22"/>
        </w:rPr>
        <w:t xml:space="preserve"> incidences of ICD9 codes (not simply one instance of a code) coupled with laboratory </w:t>
      </w:r>
      <w:r w:rsidR="00C94387">
        <w:rPr>
          <w:rFonts w:ascii="Arial" w:hAnsi="Arial" w:cs="Arial"/>
          <w:sz w:val="22"/>
          <w:szCs w:val="22"/>
        </w:rPr>
        <w:t xml:space="preserve">test, </w:t>
      </w:r>
      <w:r w:rsidR="009075F8">
        <w:rPr>
          <w:rFonts w:ascii="Arial" w:hAnsi="Arial" w:cs="Arial"/>
          <w:sz w:val="22"/>
          <w:szCs w:val="22"/>
        </w:rPr>
        <w:t>prescription data</w:t>
      </w:r>
      <w:r w:rsidR="00C94387">
        <w:rPr>
          <w:rFonts w:ascii="Arial" w:hAnsi="Arial" w:cs="Arial"/>
          <w:sz w:val="22"/>
          <w:szCs w:val="22"/>
        </w:rPr>
        <w:t>, and/or imaging data</w:t>
      </w:r>
      <w:r w:rsidR="009075F8">
        <w:rPr>
          <w:rFonts w:ascii="Arial" w:hAnsi="Arial" w:cs="Arial"/>
          <w:sz w:val="22"/>
          <w:szCs w:val="22"/>
        </w:rPr>
        <w:t xml:space="preserve"> </w:t>
      </w:r>
      <w:r w:rsidR="00E8157D">
        <w:rPr>
          <w:rFonts w:ascii="Arial" w:hAnsi="Arial" w:cs="Arial"/>
          <w:sz w:val="22"/>
          <w:szCs w:val="22"/>
        </w:rPr>
        <w:t>is used to identify cases.</w:t>
      </w:r>
      <w:r w:rsidR="009075F8">
        <w:rPr>
          <w:rFonts w:ascii="Arial" w:hAnsi="Arial" w:cs="Arial"/>
          <w:sz w:val="22"/>
          <w:szCs w:val="22"/>
        </w:rPr>
        <w:t xml:space="preserve"> </w:t>
      </w:r>
      <w:r w:rsidR="00C94387">
        <w:rPr>
          <w:rFonts w:ascii="Arial" w:hAnsi="Arial" w:cs="Arial"/>
          <w:sz w:val="22"/>
          <w:szCs w:val="22"/>
        </w:rPr>
        <w:t>The impact of the number of ICD9 instances on the power of genetic association studies has been previously investigated and has informed this work.</w:t>
      </w:r>
      <w:r w:rsidR="00C94387" w:rsidRPr="00C94387">
        <w:rPr>
          <w:rFonts w:ascii="Arial" w:hAnsi="Arial" w:cs="Arial"/>
          <w:sz w:val="22"/>
          <w:szCs w:val="22"/>
          <w:vertAlign w:val="superscript"/>
        </w:rPr>
        <w:t>62</w:t>
      </w:r>
      <w:r w:rsidR="00C94387">
        <w:rPr>
          <w:rFonts w:ascii="Arial" w:hAnsi="Arial" w:cs="Arial"/>
          <w:sz w:val="22"/>
          <w:szCs w:val="22"/>
        </w:rPr>
        <w:t xml:space="preserve"> </w:t>
      </w:r>
      <w:proofErr w:type="gramStart"/>
      <w:r w:rsidR="00E8157D">
        <w:rPr>
          <w:rFonts w:ascii="Arial" w:hAnsi="Arial" w:cs="Arial"/>
          <w:sz w:val="22"/>
          <w:szCs w:val="22"/>
        </w:rPr>
        <w:t>Much</w:t>
      </w:r>
      <w:proofErr w:type="gramEnd"/>
      <w:r w:rsidR="00E8157D">
        <w:rPr>
          <w:rFonts w:ascii="Arial" w:hAnsi="Arial" w:cs="Arial"/>
          <w:sz w:val="22"/>
          <w:szCs w:val="22"/>
        </w:rPr>
        <w:t xml:space="preserve"> of the identification of cases from the eight diseases investigated has been performed by as part of a different study</w:t>
      </w:r>
      <w:r w:rsidR="00F00B54">
        <w:rPr>
          <w:rFonts w:ascii="Arial" w:hAnsi="Arial" w:cs="Arial"/>
          <w:sz w:val="22"/>
          <w:szCs w:val="22"/>
        </w:rPr>
        <w:t xml:space="preserve"> from Schrodi, Maadooliat and Guo</w:t>
      </w:r>
      <w:r w:rsidR="00E8157D">
        <w:rPr>
          <w:rFonts w:ascii="Arial" w:hAnsi="Arial" w:cs="Arial"/>
          <w:sz w:val="22"/>
          <w:szCs w:val="22"/>
        </w:rPr>
        <w:t xml:space="preserve">. </w:t>
      </w:r>
      <w:r w:rsidR="00D95703">
        <w:rPr>
          <w:rFonts w:ascii="Arial" w:hAnsi="Arial" w:cs="Arial"/>
          <w:sz w:val="22"/>
          <w:szCs w:val="22"/>
        </w:rPr>
        <w:t xml:space="preserve">Manual adjudication of </w:t>
      </w:r>
      <w:r w:rsidR="00B0085D">
        <w:rPr>
          <w:rFonts w:ascii="Arial" w:hAnsi="Arial" w:cs="Arial"/>
          <w:sz w:val="22"/>
          <w:szCs w:val="22"/>
        </w:rPr>
        <w:t xml:space="preserve">cases </w:t>
      </w:r>
      <w:r w:rsidR="00F02471">
        <w:rPr>
          <w:rFonts w:ascii="Arial" w:hAnsi="Arial" w:cs="Arial"/>
          <w:sz w:val="22"/>
          <w:szCs w:val="22"/>
        </w:rPr>
        <w:t xml:space="preserve">defined in this manner </w:t>
      </w:r>
      <w:r w:rsidR="00B0085D">
        <w:rPr>
          <w:rFonts w:ascii="Arial" w:hAnsi="Arial" w:cs="Arial"/>
          <w:sz w:val="22"/>
          <w:szCs w:val="22"/>
        </w:rPr>
        <w:t xml:space="preserve">has seen very high validation rates (100% for multiple sclerosis and &gt;96% in other phenotypes). </w:t>
      </w:r>
      <w:r w:rsidR="00776F61">
        <w:rPr>
          <w:rFonts w:ascii="Arial" w:hAnsi="Arial" w:cs="Arial"/>
          <w:sz w:val="22"/>
          <w:szCs w:val="22"/>
        </w:rPr>
        <w:t>Further, these have been used in genetic studies whe</w:t>
      </w:r>
      <w:r w:rsidR="001716FB">
        <w:rPr>
          <w:rFonts w:ascii="Arial" w:hAnsi="Arial" w:cs="Arial"/>
          <w:sz w:val="22"/>
          <w:szCs w:val="22"/>
        </w:rPr>
        <w:t>re known positive controls</w:t>
      </w:r>
      <w:r w:rsidR="00776F61">
        <w:rPr>
          <w:rFonts w:ascii="Arial" w:hAnsi="Arial" w:cs="Arial"/>
          <w:sz w:val="22"/>
          <w:szCs w:val="22"/>
        </w:rPr>
        <w:t xml:space="preserve"> (e.g., </w:t>
      </w:r>
      <w:r w:rsidR="001716FB">
        <w:rPr>
          <w:rFonts w:ascii="Arial" w:hAnsi="Arial" w:cs="Arial"/>
          <w:sz w:val="22"/>
          <w:szCs w:val="22"/>
        </w:rPr>
        <w:t>HLA-DRB1 in RA) are</w:t>
      </w:r>
      <w:r w:rsidR="00776F61">
        <w:rPr>
          <w:rFonts w:ascii="Arial" w:hAnsi="Arial" w:cs="Arial"/>
          <w:sz w:val="22"/>
          <w:szCs w:val="22"/>
        </w:rPr>
        <w:t xml:space="preserve"> significant</w:t>
      </w:r>
      <w:r w:rsidR="001716FB">
        <w:rPr>
          <w:rFonts w:ascii="Arial" w:hAnsi="Arial" w:cs="Arial"/>
          <w:sz w:val="22"/>
          <w:szCs w:val="22"/>
        </w:rPr>
        <w:t>ly associated</w:t>
      </w:r>
      <w:r w:rsidR="00776F61">
        <w:rPr>
          <w:rFonts w:ascii="Arial" w:hAnsi="Arial" w:cs="Arial"/>
          <w:sz w:val="22"/>
          <w:szCs w:val="22"/>
        </w:rPr>
        <w:t xml:space="preserve">. </w:t>
      </w:r>
      <w:r w:rsidR="00C94387">
        <w:rPr>
          <w:rFonts w:ascii="Arial" w:hAnsi="Arial" w:cs="Arial"/>
          <w:sz w:val="22"/>
          <w:szCs w:val="22"/>
        </w:rPr>
        <w:t xml:space="preserve">Controls will be defined as those individuals without any evidence of the disease </w:t>
      </w:r>
      <w:r w:rsidR="00F47A3E">
        <w:rPr>
          <w:rFonts w:ascii="Arial" w:hAnsi="Arial" w:cs="Arial"/>
          <w:sz w:val="22"/>
          <w:szCs w:val="22"/>
        </w:rPr>
        <w:t xml:space="preserve">studied or similar diseases </w:t>
      </w:r>
      <w:r w:rsidR="00C94387">
        <w:rPr>
          <w:rFonts w:ascii="Arial" w:hAnsi="Arial" w:cs="Arial"/>
          <w:sz w:val="22"/>
          <w:szCs w:val="22"/>
        </w:rPr>
        <w:t>and matched based on age and sex. Dr. Smith will provi</w:t>
      </w:r>
      <w:r w:rsidR="001716FB">
        <w:rPr>
          <w:rFonts w:ascii="Arial" w:hAnsi="Arial" w:cs="Arial"/>
          <w:sz w:val="22"/>
          <w:szCs w:val="22"/>
        </w:rPr>
        <w:t xml:space="preserve">de clinical expertise </w:t>
      </w:r>
      <w:r w:rsidR="00C94387">
        <w:rPr>
          <w:rFonts w:ascii="Arial" w:hAnsi="Arial" w:cs="Arial"/>
          <w:sz w:val="22"/>
          <w:szCs w:val="22"/>
        </w:rPr>
        <w:t>aid</w:t>
      </w:r>
      <w:r w:rsidR="001716FB">
        <w:rPr>
          <w:rFonts w:ascii="Arial" w:hAnsi="Arial" w:cs="Arial"/>
          <w:sz w:val="22"/>
          <w:szCs w:val="22"/>
        </w:rPr>
        <w:t>ing in determining case/</w:t>
      </w:r>
      <w:r w:rsidR="00C94387">
        <w:rPr>
          <w:rFonts w:ascii="Arial" w:hAnsi="Arial" w:cs="Arial"/>
          <w:sz w:val="22"/>
          <w:szCs w:val="22"/>
        </w:rPr>
        <w:t xml:space="preserve">control definitions. </w:t>
      </w:r>
      <w:r w:rsidR="00570405" w:rsidRPr="00570405">
        <w:rPr>
          <w:rFonts w:ascii="Arial" w:hAnsi="Arial" w:cs="Arial"/>
          <w:sz w:val="22"/>
          <w:szCs w:val="22"/>
        </w:rPr>
        <w:t>Below is an example timeline of the medical trajectory of an individual diag</w:t>
      </w:r>
      <w:r w:rsidR="00C94387">
        <w:rPr>
          <w:rFonts w:ascii="Arial" w:hAnsi="Arial" w:cs="Arial"/>
          <w:sz w:val="22"/>
          <w:szCs w:val="22"/>
        </w:rPr>
        <w:t xml:space="preserve">nosed with </w:t>
      </w:r>
      <w:r w:rsidR="00F47A3E">
        <w:rPr>
          <w:rFonts w:ascii="Arial" w:hAnsi="Arial" w:cs="Arial"/>
          <w:sz w:val="22"/>
          <w:szCs w:val="22"/>
        </w:rPr>
        <w:t>RA</w:t>
      </w:r>
      <w:r w:rsidR="00C94387">
        <w:rPr>
          <w:rFonts w:ascii="Arial" w:hAnsi="Arial" w:cs="Arial"/>
          <w:sz w:val="22"/>
          <w:szCs w:val="22"/>
        </w:rPr>
        <w:t>:</w:t>
      </w:r>
    </w:p>
    <w:p w:rsidR="002C7227" w:rsidRDefault="00D308C5" w:rsidP="00383522">
      <w:pPr>
        <w:rPr>
          <w:rFonts w:ascii="Arial" w:hAnsi="Arial" w:cs="Arial"/>
          <w:b/>
          <w:sz w:val="22"/>
          <w:szCs w:val="22"/>
        </w:rPr>
      </w:pPr>
      <w:r>
        <w:rPr>
          <w:rFonts w:ascii="Arial" w:hAnsi="Arial" w:cs="Arial"/>
          <w:b/>
          <w:noProof/>
          <w:sz w:val="22"/>
          <w:szCs w:val="22"/>
        </w:rPr>
        <w:drawing>
          <wp:inline distT="0" distB="0" distL="0" distR="0" wp14:anchorId="08144206" wp14:editId="0C358533">
            <wp:extent cx="5400675" cy="1347720"/>
            <wp:effectExtent l="0" t="0" r="0" b="5080"/>
            <wp:docPr id="8" name="Picture 8" descr="C:\Users\schrodis\Desktop\RO1 2017 Prediction\PMRP_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chrodis\Desktop\RO1 2017 Prediction\PMRP_exampl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3279" cy="1358352"/>
                    </a:xfrm>
                    <a:prstGeom prst="rect">
                      <a:avLst/>
                    </a:prstGeom>
                    <a:noFill/>
                    <a:ln>
                      <a:noFill/>
                    </a:ln>
                  </pic:spPr>
                </pic:pic>
              </a:graphicData>
            </a:graphic>
          </wp:inline>
        </w:drawing>
      </w:r>
    </w:p>
    <w:p w:rsidR="0016479E" w:rsidRPr="0016479E" w:rsidRDefault="000C50AA" w:rsidP="0016479E">
      <w:pPr>
        <w:jc w:val="both"/>
        <w:rPr>
          <w:rFonts w:ascii="Arial" w:hAnsi="Arial" w:cs="Arial"/>
          <w:sz w:val="22"/>
          <w:szCs w:val="22"/>
        </w:rPr>
      </w:pPr>
      <w:r>
        <w:rPr>
          <w:rFonts w:ascii="Arial" w:hAnsi="Arial" w:cs="Arial"/>
          <w:sz w:val="22"/>
          <w:szCs w:val="22"/>
        </w:rPr>
        <w:lastRenderedPageBreak/>
        <w:t xml:space="preserve">Importantly, we will restrict the case definitions to those </w:t>
      </w:r>
      <w:r w:rsidR="004D230C">
        <w:rPr>
          <w:rFonts w:ascii="Arial" w:hAnsi="Arial" w:cs="Arial"/>
          <w:sz w:val="22"/>
          <w:szCs w:val="22"/>
        </w:rPr>
        <w:t>with clinical diagnoses occurring after sample collection/enrollment in PMRP. Once</w:t>
      </w:r>
      <w:r w:rsidR="00C94387">
        <w:rPr>
          <w:rFonts w:ascii="Arial" w:hAnsi="Arial" w:cs="Arial"/>
          <w:sz w:val="22"/>
          <w:szCs w:val="22"/>
        </w:rPr>
        <w:t xml:space="preserve"> case/control sets are identified, </w:t>
      </w:r>
      <w:r>
        <w:rPr>
          <w:rFonts w:ascii="Arial" w:hAnsi="Arial" w:cs="Arial"/>
          <w:sz w:val="22"/>
          <w:szCs w:val="22"/>
        </w:rPr>
        <w:t xml:space="preserve">stored </w:t>
      </w:r>
      <w:r w:rsidR="00C94387">
        <w:rPr>
          <w:rFonts w:ascii="Arial" w:hAnsi="Arial" w:cs="Arial"/>
          <w:sz w:val="22"/>
          <w:szCs w:val="22"/>
        </w:rPr>
        <w:t xml:space="preserve">plasma will be pulled and plated for </w:t>
      </w:r>
      <w:r w:rsidR="004D230C">
        <w:rPr>
          <w:rFonts w:ascii="Arial" w:hAnsi="Arial" w:cs="Arial"/>
          <w:sz w:val="22"/>
          <w:szCs w:val="22"/>
        </w:rPr>
        <w:t>interrogation for cytokines/</w:t>
      </w:r>
      <w:r w:rsidR="00776F61">
        <w:rPr>
          <w:rFonts w:ascii="Arial" w:hAnsi="Arial" w:cs="Arial"/>
          <w:sz w:val="22"/>
          <w:szCs w:val="22"/>
        </w:rPr>
        <w:t xml:space="preserve">chemokines and metabolic proteins on two </w:t>
      </w:r>
      <w:proofErr w:type="spellStart"/>
      <w:r w:rsidR="00776F61">
        <w:rPr>
          <w:rFonts w:ascii="Arial" w:hAnsi="Arial" w:cs="Arial"/>
          <w:sz w:val="22"/>
          <w:szCs w:val="22"/>
        </w:rPr>
        <w:t>Luminex</w:t>
      </w:r>
      <w:proofErr w:type="spellEnd"/>
      <w:r w:rsidR="00776F61">
        <w:rPr>
          <w:rFonts w:ascii="Arial" w:hAnsi="Arial" w:cs="Arial"/>
          <w:sz w:val="22"/>
          <w:szCs w:val="22"/>
        </w:rPr>
        <w:t xml:space="preserve"> multiplex assays by Eve Technologies (the 42-plex Human Cytokine Array/Chemokine Array and the Human Metabolic Hormone array 9-plex). </w:t>
      </w:r>
      <w:r w:rsidR="00D05BD2">
        <w:rPr>
          <w:rFonts w:ascii="Arial" w:hAnsi="Arial" w:cs="Arial"/>
          <w:sz w:val="22"/>
          <w:szCs w:val="22"/>
        </w:rPr>
        <w:t>To correct for total protein level variation across samples, we will run an inexpensive BSA-based total protein assay. This has already been accom</w:t>
      </w:r>
      <w:r w:rsidR="000727DE">
        <w:rPr>
          <w:rFonts w:ascii="Arial" w:hAnsi="Arial" w:cs="Arial"/>
          <w:sz w:val="22"/>
          <w:szCs w:val="22"/>
        </w:rPr>
        <w:t xml:space="preserve">plished for 1,000 PMRP samples where </w:t>
      </w:r>
      <w:r w:rsidR="004D230C">
        <w:rPr>
          <w:rFonts w:ascii="Arial" w:hAnsi="Arial" w:cs="Arial"/>
          <w:sz w:val="22"/>
          <w:szCs w:val="22"/>
        </w:rPr>
        <w:t>moderate</w:t>
      </w:r>
      <w:r w:rsidR="00D05BD2">
        <w:rPr>
          <w:rFonts w:ascii="Arial" w:hAnsi="Arial" w:cs="Arial"/>
          <w:sz w:val="22"/>
          <w:szCs w:val="22"/>
        </w:rPr>
        <w:t xml:space="preserve"> differences</w:t>
      </w:r>
      <w:r w:rsidR="0016479E">
        <w:rPr>
          <w:rFonts w:ascii="Arial" w:hAnsi="Arial" w:cs="Arial"/>
          <w:sz w:val="22"/>
          <w:szCs w:val="22"/>
        </w:rPr>
        <w:t xml:space="preserve"> were observed for results obtained under total protein-adjusted cytokine concentration values compared to unadjusted cytokine levels</w:t>
      </w:r>
      <w:r w:rsidR="000727DE">
        <w:rPr>
          <w:rFonts w:ascii="Arial" w:hAnsi="Arial" w:cs="Arial"/>
          <w:sz w:val="22"/>
          <w:szCs w:val="22"/>
        </w:rPr>
        <w:t>. G</w:t>
      </w:r>
      <w:r w:rsidR="004D230C">
        <w:rPr>
          <w:rFonts w:ascii="Arial" w:hAnsi="Arial" w:cs="Arial"/>
          <w:sz w:val="22"/>
          <w:szCs w:val="22"/>
        </w:rPr>
        <w:t>enes identified using the BSA-adjusted data were more likely to fall in pathways that corresponded to what is known about the biology of these cytokines</w:t>
      </w:r>
      <w:r w:rsidR="0016479E">
        <w:rPr>
          <w:rFonts w:ascii="Arial" w:hAnsi="Arial" w:cs="Arial"/>
          <w:sz w:val="22"/>
          <w:szCs w:val="22"/>
        </w:rPr>
        <w:t>.</w:t>
      </w:r>
      <w:r w:rsidR="00D05BD2">
        <w:rPr>
          <w:rFonts w:ascii="Arial" w:hAnsi="Arial" w:cs="Arial"/>
          <w:sz w:val="22"/>
          <w:szCs w:val="22"/>
        </w:rPr>
        <w:t xml:space="preserve"> </w:t>
      </w:r>
      <w:r w:rsidR="0016479E">
        <w:rPr>
          <w:rFonts w:ascii="Arial" w:hAnsi="Arial" w:cs="Arial"/>
          <w:sz w:val="22"/>
          <w:szCs w:val="22"/>
        </w:rPr>
        <w:t xml:space="preserve">Preliminary data on IL-6 and IL-17A cytokine concentrations for 2,015 </w:t>
      </w:r>
      <w:r w:rsidR="000727DE">
        <w:rPr>
          <w:rFonts w:ascii="Arial" w:hAnsi="Arial" w:cs="Arial"/>
          <w:sz w:val="22"/>
          <w:szCs w:val="22"/>
        </w:rPr>
        <w:t xml:space="preserve">PMRP </w:t>
      </w:r>
      <w:r w:rsidR="0016479E">
        <w:rPr>
          <w:rFonts w:ascii="Arial" w:hAnsi="Arial" w:cs="Arial"/>
          <w:sz w:val="22"/>
          <w:szCs w:val="22"/>
        </w:rPr>
        <w:t xml:space="preserve">samples are shown below. </w:t>
      </w:r>
    </w:p>
    <w:p w:rsidR="0016479E" w:rsidRDefault="00BC39AB" w:rsidP="000727DE">
      <w:pPr>
        <w:spacing w:line="96" w:lineRule="auto"/>
        <w:jc w:val="both"/>
        <w:rPr>
          <w:rFonts w:ascii="Palatino Linotype" w:hAnsi="Palatino Linotype" w:cs="Arial"/>
          <w:b/>
          <w:sz w:val="22"/>
          <w:szCs w:val="22"/>
        </w:rPr>
      </w:pPr>
      <w:r>
        <w:rPr>
          <w:noProof/>
        </w:rPr>
        <mc:AlternateContent>
          <mc:Choice Requires="wps">
            <w:drawing>
              <wp:anchor distT="0" distB="0" distL="114300" distR="114300" simplePos="0" relativeHeight="251679744" behindDoc="0" locked="0" layoutInCell="1" allowOverlap="1" wp14:anchorId="781515AB" wp14:editId="5BED4811">
                <wp:simplePos x="0" y="0"/>
                <wp:positionH relativeFrom="column">
                  <wp:posOffset>3838575</wp:posOffset>
                </wp:positionH>
                <wp:positionV relativeFrom="paragraph">
                  <wp:posOffset>22225</wp:posOffset>
                </wp:positionV>
                <wp:extent cx="3228975" cy="2657475"/>
                <wp:effectExtent l="0" t="0" r="9525" b="952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975" cy="2657475"/>
                        </a:xfrm>
                        <a:prstGeom prst="rect">
                          <a:avLst/>
                        </a:prstGeom>
                        <a:solidFill>
                          <a:srgbClr val="FFFFFF"/>
                        </a:solidFill>
                        <a:ln w="9525">
                          <a:noFill/>
                          <a:miter lim="800000"/>
                          <a:headEnd/>
                          <a:tailEnd/>
                        </a:ln>
                      </wps:spPr>
                      <wps:txbx>
                        <w:txbxContent>
                          <w:p w:rsidR="00BC39AB" w:rsidRPr="0016479E" w:rsidRDefault="00BC39AB" w:rsidP="00BC39AB">
                            <w:pPr>
                              <w:jc w:val="both"/>
                              <w:rPr>
                                <w:rFonts w:ascii="Arial" w:hAnsi="Arial" w:cs="Arial"/>
                                <w:sz w:val="22"/>
                                <w:szCs w:val="22"/>
                              </w:rPr>
                            </w:pPr>
                            <w:r>
                              <w:rPr>
                                <w:rFonts w:ascii="Arial" w:hAnsi="Arial" w:cs="Arial"/>
                                <w:sz w:val="22"/>
                                <w:szCs w:val="22"/>
                              </w:rPr>
                              <w:t xml:space="preserve">In addition, stored plasma for rheumatoid arthritis, systemic lupus erythematosus and controls will be sent to Antigen Discovery Inc. (ADI) to interrogate antibody reactivity to 800 autoantigens and pathogen antigens. ADI has produced a high throughput protein microarray for the identification of immune signatures of humoral response to hundreds of proteins on a single assay. The microarray is produced by coupled </w:t>
                            </w:r>
                            <w:r w:rsidRPr="00BC39AB">
                              <w:rPr>
                                <w:rFonts w:ascii="Arial" w:hAnsi="Arial" w:cs="Arial"/>
                                <w:i/>
                                <w:sz w:val="22"/>
                                <w:szCs w:val="22"/>
                              </w:rPr>
                              <w:t>in vitro</w:t>
                            </w:r>
                            <w:r>
                              <w:rPr>
                                <w:rFonts w:ascii="Arial" w:hAnsi="Arial" w:cs="Arial"/>
                                <w:sz w:val="22"/>
                                <w:szCs w:val="22"/>
                              </w:rPr>
                              <w:t xml:space="preserve"> transcription/translation of pathogen and human genetics, followed by printing onto nitrocellulose bonded to glass slides. ADI has demonstrated</w:t>
                            </w:r>
                            <w:r w:rsidR="00924985">
                              <w:rPr>
                                <w:rFonts w:ascii="Arial" w:hAnsi="Arial" w:cs="Arial"/>
                                <w:sz w:val="22"/>
                                <w:szCs w:val="22"/>
                              </w:rPr>
                              <w:t xml:space="preserve"> the utility of this platform.</w:t>
                            </w:r>
                            <w:r>
                              <w:rPr>
                                <w:rFonts w:ascii="Arial" w:hAnsi="Arial" w:cs="Arial"/>
                                <w:sz w:val="22"/>
                                <w:szCs w:val="22"/>
                              </w:rPr>
                              <w:t xml:space="preserve"> </w:t>
                            </w:r>
                            <w:r>
                              <w:rPr>
                                <w:rFonts w:ascii="Arial" w:hAnsi="Arial" w:cs="Arial"/>
                                <w:sz w:val="22"/>
                                <w:szCs w:val="22"/>
                              </w:rPr>
                              <w:t>Only a few microliters of plasma are necessary for screening. Proteins include established autoantigens &amp; pathogen epitopes.</w:t>
                            </w:r>
                          </w:p>
                          <w:p w:rsidR="0016479E" w:rsidRDefault="0016479E" w:rsidP="001647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02.25pt;margin-top:1.75pt;width:254.25pt;height:209.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" stroked="f">
                <v:textbox>
                  <w:txbxContent>
                    <w:p w:rsidR="00BC39AB" w:rsidRPr="0016479E" w:rsidRDefault="00BC39AB" w:rsidP="00BC39AB">
                      <w:pPr>
                        <w:jc w:val="both"/>
                        <w:rPr>
                          <w:rFonts w:ascii="Arial" w:hAnsi="Arial" w:cs="Arial"/>
                          <w:sz w:val="22"/>
                          <w:szCs w:val="22"/>
                        </w:rPr>
                      </w:pPr>
                      <w:r>
                        <w:rPr>
                          <w:rFonts w:ascii="Arial" w:hAnsi="Arial" w:cs="Arial"/>
                          <w:sz w:val="22"/>
                          <w:szCs w:val="22"/>
                        </w:rPr>
                        <w:t xml:space="preserve">In addition, stored plasma for rheumatoid arthritis, systemic lupus erythematosus and controls will be sent to Antigen Discovery Inc. (ADI) to interrogate antibody reactivity to 800 autoantigens and pathogen antigens. ADI has produced a high throughput protein microarray for the identification of immune signatures of humoral response to hundreds of proteins on a single assay. The microarray is produced by coupled </w:t>
                      </w:r>
                      <w:r w:rsidRPr="00BC39AB">
                        <w:rPr>
                          <w:rFonts w:ascii="Arial" w:hAnsi="Arial" w:cs="Arial"/>
                          <w:i/>
                          <w:sz w:val="22"/>
                          <w:szCs w:val="22"/>
                        </w:rPr>
                        <w:t>in vitro</w:t>
                      </w:r>
                      <w:r>
                        <w:rPr>
                          <w:rFonts w:ascii="Arial" w:hAnsi="Arial" w:cs="Arial"/>
                          <w:sz w:val="22"/>
                          <w:szCs w:val="22"/>
                        </w:rPr>
                        <w:t xml:space="preserve"> transcription/translation of pathogen and human genetics, followed by printing onto nitrocellulose bonded to glass slides. ADI has demonstrated</w:t>
                      </w:r>
                      <w:r w:rsidR="00924985">
                        <w:rPr>
                          <w:rFonts w:ascii="Arial" w:hAnsi="Arial" w:cs="Arial"/>
                          <w:sz w:val="22"/>
                          <w:szCs w:val="22"/>
                        </w:rPr>
                        <w:t xml:space="preserve"> the utility of this platform.</w:t>
                      </w:r>
                      <w:r>
                        <w:rPr>
                          <w:rFonts w:ascii="Arial" w:hAnsi="Arial" w:cs="Arial"/>
                          <w:sz w:val="22"/>
                          <w:szCs w:val="22"/>
                        </w:rPr>
                        <w:t xml:space="preserve"> </w:t>
                      </w:r>
                      <w:r>
                        <w:rPr>
                          <w:rFonts w:ascii="Arial" w:hAnsi="Arial" w:cs="Arial"/>
                          <w:sz w:val="22"/>
                          <w:szCs w:val="22"/>
                        </w:rPr>
                        <w:t>Only a few microliters of plasma are necessary for screening. Proteins include established autoantigens &amp; pathogen epitopes.</w:t>
                      </w:r>
                    </w:p>
                    <w:p w:rsidR="0016479E" w:rsidRDefault="0016479E" w:rsidP="0016479E"/>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3A50A51C" wp14:editId="42DAFD63">
                <wp:simplePos x="0" y="0"/>
                <wp:positionH relativeFrom="column">
                  <wp:posOffset>180975</wp:posOffset>
                </wp:positionH>
                <wp:positionV relativeFrom="paragraph">
                  <wp:posOffset>20320</wp:posOffset>
                </wp:positionV>
                <wp:extent cx="2114550" cy="276225"/>
                <wp:effectExtent l="0" t="0" r="0" b="952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276225"/>
                        </a:xfrm>
                        <a:prstGeom prst="rect">
                          <a:avLst/>
                        </a:prstGeom>
                        <a:solidFill>
                          <a:srgbClr val="FFFFFF"/>
                        </a:solidFill>
                        <a:ln w="9525">
                          <a:noFill/>
                          <a:miter lim="800000"/>
                          <a:headEnd/>
                          <a:tailEnd/>
                        </a:ln>
                      </wps:spPr>
                      <wps:txbx>
                        <w:txbxContent>
                          <w:p w:rsidR="0016479E" w:rsidRPr="003B584A" w:rsidRDefault="0016479E" w:rsidP="0016479E">
                            <w:pPr>
                              <w:rPr>
                                <w:rFonts w:ascii="Palatino Linotype" w:hAnsi="Palatino Linotype"/>
                                <w:b/>
                                <w:sz w:val="22"/>
                                <w:szCs w:val="22"/>
                              </w:rPr>
                            </w:pPr>
                            <w:r>
                              <w:rPr>
                                <w:rFonts w:ascii="Palatino Linotype" w:hAnsi="Palatino Linotype"/>
                                <w:b/>
                                <w:sz w:val="22"/>
                                <w:szCs w:val="22"/>
                              </w:rPr>
                              <w:t>IL-6</w:t>
                            </w:r>
                            <w:r w:rsidRPr="003B584A">
                              <w:rPr>
                                <w:rFonts w:ascii="Palatino Linotype" w:hAnsi="Palatino Linotype"/>
                                <w:b/>
                                <w:sz w:val="22"/>
                                <w:szCs w:val="22"/>
                              </w:rPr>
                              <w:t xml:space="preserve"> distribution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4.25pt;margin-top:1.6pt;width:166.5pt;height:21.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" stroked="f">
                <v:textbox>
                  <w:txbxContent>
                    <w:p w:rsidR="0016479E" w:rsidRPr="003B584A" w:rsidRDefault="0016479E" w:rsidP="0016479E">
                      <w:pPr>
                        <w:rPr>
                          <w:rFonts w:ascii="Palatino Linotype" w:hAnsi="Palatino Linotype"/>
                          <w:b/>
                          <w:sz w:val="22"/>
                          <w:szCs w:val="22"/>
                        </w:rPr>
                      </w:pPr>
                      <w:r>
                        <w:rPr>
                          <w:rFonts w:ascii="Palatino Linotype" w:hAnsi="Palatino Linotype"/>
                          <w:b/>
                          <w:sz w:val="22"/>
                          <w:szCs w:val="22"/>
                        </w:rPr>
                        <w:t>IL-6</w:t>
                      </w:r>
                      <w:r w:rsidRPr="003B584A">
                        <w:rPr>
                          <w:rFonts w:ascii="Palatino Linotype" w:hAnsi="Palatino Linotype"/>
                          <w:b/>
                          <w:sz w:val="22"/>
                          <w:szCs w:val="22"/>
                        </w:rPr>
                        <w:t xml:space="preserve"> distribution </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66378D1D" wp14:editId="7C2D7CAE">
                <wp:simplePos x="0" y="0"/>
                <wp:positionH relativeFrom="column">
                  <wp:posOffset>2114550</wp:posOffset>
                </wp:positionH>
                <wp:positionV relativeFrom="paragraph">
                  <wp:posOffset>50800</wp:posOffset>
                </wp:positionV>
                <wp:extent cx="1724025" cy="276225"/>
                <wp:effectExtent l="0" t="0" r="9525" b="952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276225"/>
                        </a:xfrm>
                        <a:prstGeom prst="rect">
                          <a:avLst/>
                        </a:prstGeom>
                        <a:solidFill>
                          <a:srgbClr val="FFFFFF"/>
                        </a:solidFill>
                        <a:ln w="9525">
                          <a:noFill/>
                          <a:miter lim="800000"/>
                          <a:headEnd/>
                          <a:tailEnd/>
                        </a:ln>
                      </wps:spPr>
                      <wps:txbx>
                        <w:txbxContent>
                          <w:p w:rsidR="0016479E" w:rsidRPr="003B584A" w:rsidRDefault="0016479E" w:rsidP="0016479E">
                            <w:pPr>
                              <w:rPr>
                                <w:rFonts w:ascii="Palatino Linotype" w:hAnsi="Palatino Linotype"/>
                                <w:b/>
                                <w:sz w:val="22"/>
                                <w:szCs w:val="22"/>
                              </w:rPr>
                            </w:pPr>
                            <w:r>
                              <w:rPr>
                                <w:rFonts w:ascii="Palatino Linotype" w:hAnsi="Palatino Linotype"/>
                                <w:b/>
                                <w:sz w:val="22"/>
                                <w:szCs w:val="22"/>
                              </w:rPr>
                              <w:t xml:space="preserve">    IL-17A</w:t>
                            </w:r>
                            <w:r w:rsidRPr="003B584A">
                              <w:rPr>
                                <w:rFonts w:ascii="Palatino Linotype" w:hAnsi="Palatino Linotype"/>
                                <w:b/>
                                <w:sz w:val="22"/>
                                <w:szCs w:val="22"/>
                              </w:rPr>
                              <w:t xml:space="preserve"> distribution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66.5pt;margin-top:4pt;width:135.75pt;height:2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" stroked="f">
                <v:textbox>
                  <w:txbxContent>
                    <w:p w:rsidR="0016479E" w:rsidRPr="003B584A" w:rsidRDefault="0016479E" w:rsidP="0016479E">
                      <w:pPr>
                        <w:rPr>
                          <w:rFonts w:ascii="Palatino Linotype" w:hAnsi="Palatino Linotype"/>
                          <w:b/>
                          <w:sz w:val="22"/>
                          <w:szCs w:val="22"/>
                        </w:rPr>
                      </w:pPr>
                      <w:r>
                        <w:rPr>
                          <w:rFonts w:ascii="Palatino Linotype" w:hAnsi="Palatino Linotype"/>
                          <w:b/>
                          <w:sz w:val="22"/>
                          <w:szCs w:val="22"/>
                        </w:rPr>
                        <w:t xml:space="preserve">    IL-17A</w:t>
                      </w:r>
                      <w:r w:rsidRPr="003B584A">
                        <w:rPr>
                          <w:rFonts w:ascii="Palatino Linotype" w:hAnsi="Palatino Linotype"/>
                          <w:b/>
                          <w:sz w:val="22"/>
                          <w:szCs w:val="22"/>
                        </w:rPr>
                        <w:t xml:space="preserve"> distribution </w:t>
                      </w:r>
                    </w:p>
                  </w:txbxContent>
                </v:textbox>
              </v:shape>
            </w:pict>
          </mc:Fallback>
        </mc:AlternateContent>
      </w:r>
    </w:p>
    <w:p w:rsidR="0016479E" w:rsidRDefault="000727DE" w:rsidP="0016479E">
      <w:pPr>
        <w:jc w:val="both"/>
        <w:rPr>
          <w:rFonts w:ascii="Palatino Linotype" w:hAnsi="Palatino Linotype" w:cs="Arial"/>
          <w:b/>
          <w:sz w:val="22"/>
          <w:szCs w:val="22"/>
        </w:rPr>
      </w:pPr>
      <w:r>
        <w:rPr>
          <w:noProof/>
        </w:rPr>
        <mc:AlternateContent>
          <mc:Choice Requires="wps">
            <w:drawing>
              <wp:anchor distT="0" distB="0" distL="114300" distR="114300" simplePos="0" relativeHeight="251678720" behindDoc="0" locked="0" layoutInCell="1" allowOverlap="1" wp14:anchorId="49787AAA" wp14:editId="2E0696FD">
                <wp:simplePos x="0" y="0"/>
                <wp:positionH relativeFrom="column">
                  <wp:posOffset>-161925</wp:posOffset>
                </wp:positionH>
                <wp:positionV relativeFrom="paragraph">
                  <wp:posOffset>175260</wp:posOffset>
                </wp:positionV>
                <wp:extent cx="1952625" cy="2133600"/>
                <wp:effectExtent l="0" t="0" r="9525"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2133600"/>
                        </a:xfrm>
                        <a:prstGeom prst="rect">
                          <a:avLst/>
                        </a:prstGeom>
                        <a:solidFill>
                          <a:srgbClr val="FFFFFF"/>
                        </a:solidFill>
                        <a:ln w="9525">
                          <a:noFill/>
                          <a:miter lim="800000"/>
                          <a:headEnd/>
                          <a:tailEnd/>
                        </a:ln>
                      </wps:spPr>
                      <wps:txbx>
                        <w:txbxContent>
                          <w:p w:rsidR="0016479E" w:rsidRDefault="00BC39AB" w:rsidP="0016479E">
                            <w:r w:rsidRPr="00A441DB">
                              <w:rPr>
                                <w:noProof/>
                              </w:rPr>
                              <w:drawing>
                                <wp:inline distT="0" distB="0" distL="0" distR="0" wp14:anchorId="7A46860D" wp14:editId="7E918B44">
                                  <wp:extent cx="2085975" cy="20859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2637" cy="208263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2.75pt;margin-top:13.8pt;width:153.75pt;height:16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" stroked="f">
                <v:textbox>
                  <w:txbxContent>
                    <w:p w:rsidR="0016479E" w:rsidRDefault="00BC39AB" w:rsidP="0016479E">
                      <w:r w:rsidRPr="00A441DB">
                        <w:rPr>
                          <w:noProof/>
                        </w:rPr>
                        <w:drawing>
                          <wp:inline distT="0" distB="0" distL="0" distR="0" wp14:anchorId="7A46860D" wp14:editId="7E918B44">
                            <wp:extent cx="2085975" cy="20859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2637" cy="2082637"/>
                                    </a:xfrm>
                                    <a:prstGeom prst="rect">
                                      <a:avLst/>
                                    </a:prstGeom>
                                    <a:noFill/>
                                    <a:ln>
                                      <a:noFill/>
                                    </a:ln>
                                  </pic:spPr>
                                </pic:pic>
                              </a:graphicData>
                            </a:graphic>
                          </wp:inline>
                        </w:drawing>
                      </w:r>
                    </w:p>
                  </w:txbxContent>
                </v:textbox>
              </v:shape>
            </w:pict>
          </mc:Fallback>
        </mc:AlternateContent>
      </w:r>
    </w:p>
    <w:p w:rsidR="0016479E" w:rsidRDefault="00BC39AB" w:rsidP="0016479E">
      <w:pPr>
        <w:jc w:val="both"/>
        <w:rPr>
          <w:rFonts w:ascii="Palatino Linotype" w:hAnsi="Palatino Linotype" w:cs="Arial"/>
          <w:b/>
          <w:sz w:val="22"/>
          <w:szCs w:val="22"/>
        </w:rPr>
      </w:pPr>
      <w:r>
        <w:rPr>
          <w:noProof/>
        </w:rPr>
        <mc:AlternateContent>
          <mc:Choice Requires="wps">
            <w:drawing>
              <wp:anchor distT="0" distB="0" distL="114300" distR="114300" simplePos="0" relativeHeight="251699200" behindDoc="0" locked="0" layoutInCell="1" allowOverlap="1" wp14:anchorId="16A6952C" wp14:editId="0FB580B2">
                <wp:simplePos x="0" y="0"/>
                <wp:positionH relativeFrom="column">
                  <wp:posOffset>1914525</wp:posOffset>
                </wp:positionH>
                <wp:positionV relativeFrom="paragraph">
                  <wp:posOffset>6350</wp:posOffset>
                </wp:positionV>
                <wp:extent cx="1952625" cy="2133600"/>
                <wp:effectExtent l="0" t="0" r="952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2133600"/>
                        </a:xfrm>
                        <a:prstGeom prst="rect">
                          <a:avLst/>
                        </a:prstGeom>
                        <a:solidFill>
                          <a:srgbClr val="FFFFFF"/>
                        </a:solidFill>
                        <a:ln w="9525">
                          <a:noFill/>
                          <a:miter lim="800000"/>
                          <a:headEnd/>
                          <a:tailEnd/>
                        </a:ln>
                      </wps:spPr>
                      <wps:txbx>
                        <w:txbxContent>
                          <w:p w:rsidR="00BC39AB" w:rsidRDefault="00BC39AB" w:rsidP="00BC39AB">
                            <w:r w:rsidRPr="00A441DB">
                              <w:rPr>
                                <w:noProof/>
                              </w:rPr>
                              <w:drawing>
                                <wp:inline distT="0" distB="0" distL="0" distR="0" wp14:anchorId="17EDFAA5" wp14:editId="1FB53A06">
                                  <wp:extent cx="1996470" cy="2092300"/>
                                  <wp:effectExtent l="0" t="0" r="3810" b="381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9448" cy="209542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50.75pt;margin-top:.5pt;width:153.75pt;height:16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" stroked="f">
                <v:textbox>
                  <w:txbxContent>
                    <w:p w:rsidR="00BC39AB" w:rsidRDefault="00BC39AB" w:rsidP="00BC39AB">
                      <w:r w:rsidRPr="00A441DB">
                        <w:rPr>
                          <w:noProof/>
                        </w:rPr>
                        <w:drawing>
                          <wp:inline distT="0" distB="0" distL="0" distR="0" wp14:anchorId="17EDFAA5" wp14:editId="1FB53A06">
                            <wp:extent cx="1996470" cy="2092300"/>
                            <wp:effectExtent l="0" t="0" r="3810" b="381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9448" cy="2095421"/>
                                    </a:xfrm>
                                    <a:prstGeom prst="rect">
                                      <a:avLst/>
                                    </a:prstGeom>
                                    <a:noFill/>
                                    <a:ln>
                                      <a:noFill/>
                                    </a:ln>
                                  </pic:spPr>
                                </pic:pic>
                              </a:graphicData>
                            </a:graphic>
                          </wp:inline>
                        </w:drawing>
                      </w:r>
                    </w:p>
                  </w:txbxContent>
                </v:textbox>
              </v:shape>
            </w:pict>
          </mc:Fallback>
        </mc:AlternateContent>
      </w:r>
    </w:p>
    <w:p w:rsidR="0016479E" w:rsidRDefault="0016479E" w:rsidP="0016479E">
      <w:pPr>
        <w:jc w:val="both"/>
        <w:rPr>
          <w:rFonts w:ascii="Palatino Linotype" w:hAnsi="Palatino Linotype" w:cs="Arial"/>
          <w:b/>
          <w:sz w:val="22"/>
          <w:szCs w:val="22"/>
        </w:rPr>
      </w:pPr>
    </w:p>
    <w:p w:rsidR="0016479E" w:rsidRDefault="0016479E" w:rsidP="0016479E">
      <w:pPr>
        <w:jc w:val="both"/>
        <w:rPr>
          <w:rFonts w:ascii="Palatino Linotype" w:hAnsi="Palatino Linotype" w:cs="Arial"/>
          <w:b/>
          <w:sz w:val="22"/>
          <w:szCs w:val="22"/>
        </w:rPr>
      </w:pPr>
    </w:p>
    <w:p w:rsidR="00BC39AB" w:rsidRDefault="00BC39AB" w:rsidP="0016479E">
      <w:pPr>
        <w:jc w:val="both"/>
        <w:rPr>
          <w:rFonts w:ascii="Palatino Linotype" w:hAnsi="Palatino Linotype" w:cs="Arial"/>
          <w:b/>
          <w:sz w:val="22"/>
          <w:szCs w:val="22"/>
        </w:rPr>
      </w:pPr>
    </w:p>
    <w:p w:rsidR="00BC39AB" w:rsidRDefault="00BC39AB" w:rsidP="0016479E">
      <w:pPr>
        <w:jc w:val="both"/>
        <w:rPr>
          <w:rFonts w:ascii="Palatino Linotype" w:hAnsi="Palatino Linotype" w:cs="Arial"/>
          <w:b/>
          <w:sz w:val="22"/>
          <w:szCs w:val="22"/>
        </w:rPr>
      </w:pPr>
    </w:p>
    <w:p w:rsidR="00BC39AB" w:rsidRDefault="00BC39AB" w:rsidP="0016479E">
      <w:pPr>
        <w:jc w:val="both"/>
        <w:rPr>
          <w:rFonts w:ascii="Palatino Linotype" w:hAnsi="Palatino Linotype" w:cs="Arial"/>
          <w:b/>
          <w:sz w:val="22"/>
          <w:szCs w:val="22"/>
        </w:rPr>
      </w:pPr>
    </w:p>
    <w:p w:rsidR="00BC39AB" w:rsidRDefault="00BC39AB" w:rsidP="0016479E">
      <w:pPr>
        <w:jc w:val="both"/>
        <w:rPr>
          <w:rFonts w:ascii="Palatino Linotype" w:hAnsi="Palatino Linotype" w:cs="Arial"/>
          <w:b/>
          <w:sz w:val="22"/>
          <w:szCs w:val="22"/>
        </w:rPr>
      </w:pPr>
    </w:p>
    <w:p w:rsidR="00BC39AB" w:rsidRDefault="00BC39AB" w:rsidP="0016479E">
      <w:pPr>
        <w:jc w:val="both"/>
        <w:rPr>
          <w:rFonts w:ascii="Palatino Linotype" w:hAnsi="Palatino Linotype" w:cs="Arial"/>
          <w:b/>
          <w:sz w:val="22"/>
          <w:szCs w:val="22"/>
        </w:rPr>
      </w:pPr>
    </w:p>
    <w:p w:rsidR="00BC39AB" w:rsidRDefault="00BC39AB" w:rsidP="0016479E">
      <w:pPr>
        <w:jc w:val="both"/>
        <w:rPr>
          <w:rFonts w:ascii="Palatino Linotype" w:hAnsi="Palatino Linotype" w:cs="Arial"/>
          <w:b/>
          <w:sz w:val="22"/>
          <w:szCs w:val="22"/>
        </w:rPr>
      </w:pPr>
    </w:p>
    <w:p w:rsidR="00BC39AB" w:rsidRDefault="00BC39AB" w:rsidP="0016479E">
      <w:pPr>
        <w:jc w:val="both"/>
        <w:rPr>
          <w:rFonts w:ascii="Palatino Linotype" w:hAnsi="Palatino Linotype" w:cs="Arial"/>
          <w:b/>
          <w:sz w:val="22"/>
          <w:szCs w:val="22"/>
        </w:rPr>
      </w:pPr>
    </w:p>
    <w:p w:rsidR="00BC39AB" w:rsidRDefault="00BC39AB" w:rsidP="0016479E">
      <w:pPr>
        <w:jc w:val="both"/>
        <w:rPr>
          <w:rFonts w:ascii="Palatino Linotype" w:hAnsi="Palatino Linotype" w:cs="Arial"/>
          <w:b/>
          <w:sz w:val="22"/>
          <w:szCs w:val="22"/>
        </w:rPr>
      </w:pPr>
    </w:p>
    <w:p w:rsidR="00BC39AB" w:rsidRDefault="00BC39AB" w:rsidP="0016479E">
      <w:pPr>
        <w:jc w:val="both"/>
        <w:rPr>
          <w:rFonts w:ascii="Palatino Linotype" w:hAnsi="Palatino Linotype" w:cs="Arial"/>
          <w:b/>
          <w:sz w:val="22"/>
          <w:szCs w:val="22"/>
        </w:rPr>
      </w:pPr>
    </w:p>
    <w:p w:rsidR="00125A6E" w:rsidRDefault="00125A6E" w:rsidP="00BC39AB">
      <w:pPr>
        <w:spacing w:line="192" w:lineRule="auto"/>
        <w:rPr>
          <w:rFonts w:ascii="Arial" w:hAnsi="Arial" w:cs="Arial"/>
          <w:b/>
          <w:sz w:val="22"/>
          <w:szCs w:val="22"/>
        </w:rPr>
      </w:pPr>
    </w:p>
    <w:p w:rsidR="00BC39AB" w:rsidRDefault="00BC39AB" w:rsidP="00BC39AB">
      <w:pPr>
        <w:jc w:val="both"/>
        <w:rPr>
          <w:rFonts w:ascii="Arial" w:hAnsi="Arial" w:cs="Arial"/>
          <w:sz w:val="22"/>
          <w:szCs w:val="22"/>
        </w:rPr>
      </w:pPr>
      <w:r w:rsidRPr="00BC39AB">
        <w:rPr>
          <w:rFonts w:ascii="Arial" w:hAnsi="Arial" w:cs="Arial"/>
          <w:sz w:val="22"/>
          <w:szCs w:val="22"/>
        </w:rPr>
        <w:t>Proteins with no known immune</w:t>
      </w:r>
      <w:r>
        <w:rPr>
          <w:rFonts w:ascii="Arial" w:hAnsi="Arial" w:cs="Arial"/>
          <w:sz w:val="22"/>
          <w:szCs w:val="22"/>
        </w:rPr>
        <w:t xml:space="preserve"> reactivity serve as technical controls. Using a fluorescence scanner, data from the microarrays is acquired and checked for quality, followed by statistical analysis. Drs. Liang and Trappl-Kimmons from ADI will be Co-Investigators on this study.</w:t>
      </w:r>
      <w:r w:rsidRPr="00BC39AB">
        <w:rPr>
          <w:rFonts w:ascii="Arial" w:hAnsi="Arial" w:cs="Arial"/>
          <w:sz w:val="22"/>
          <w:szCs w:val="22"/>
        </w:rPr>
        <w:t xml:space="preserve">  </w:t>
      </w:r>
    </w:p>
    <w:p w:rsidR="0019786D" w:rsidRPr="0019786D" w:rsidRDefault="0019786D" w:rsidP="0019786D">
      <w:pPr>
        <w:spacing w:line="72" w:lineRule="auto"/>
        <w:jc w:val="both"/>
        <w:rPr>
          <w:rFonts w:ascii="Arial" w:hAnsi="Arial" w:cs="Arial"/>
          <w:sz w:val="22"/>
          <w:szCs w:val="22"/>
        </w:rPr>
      </w:pPr>
    </w:p>
    <w:p w:rsidR="00125A6E" w:rsidRDefault="00125A6E" w:rsidP="00BC39AB">
      <w:pPr>
        <w:jc w:val="both"/>
        <w:rPr>
          <w:rFonts w:ascii="Arial" w:hAnsi="Arial" w:cs="Arial"/>
          <w:b/>
          <w:sz w:val="22"/>
          <w:szCs w:val="22"/>
        </w:rPr>
      </w:pPr>
      <w:r>
        <w:rPr>
          <w:rFonts w:ascii="Arial" w:hAnsi="Arial" w:cs="Arial"/>
          <w:b/>
          <w:sz w:val="22"/>
          <w:szCs w:val="22"/>
        </w:rPr>
        <w:t>Central Wisconsin Population and the PMRP</w:t>
      </w:r>
    </w:p>
    <w:p w:rsidR="00125A6E" w:rsidRPr="00125A6E" w:rsidRDefault="00125A6E" w:rsidP="00125A6E">
      <w:pPr>
        <w:jc w:val="both"/>
        <w:rPr>
          <w:rFonts w:ascii="Arial" w:hAnsi="Arial" w:cs="Arial"/>
          <w:sz w:val="22"/>
          <w:szCs w:val="22"/>
        </w:rPr>
      </w:pPr>
      <w:r>
        <w:rPr>
          <w:rFonts w:ascii="Arial" w:hAnsi="Arial" w:cs="Arial"/>
          <w:sz w:val="22"/>
          <w:szCs w:val="22"/>
        </w:rPr>
        <w:t xml:space="preserve">The genetically homogeneous population in rural Central Wisconsin is the </w:t>
      </w:r>
      <w:r w:rsidR="00242074">
        <w:rPr>
          <w:rFonts w:ascii="Arial" w:hAnsi="Arial" w:cs="Arial"/>
          <w:sz w:val="22"/>
          <w:szCs w:val="22"/>
        </w:rPr>
        <w:t>source population for the PMRP.</w:t>
      </w:r>
      <w:r w:rsidR="0016479E">
        <w:rPr>
          <w:rFonts w:ascii="Arial" w:hAnsi="Arial" w:cs="Arial"/>
          <w:sz w:val="22"/>
          <w:szCs w:val="22"/>
          <w:vertAlign w:val="superscript"/>
        </w:rPr>
        <w:t>63</w:t>
      </w:r>
      <w:r>
        <w:rPr>
          <w:rFonts w:ascii="Arial" w:hAnsi="Arial" w:cs="Arial"/>
          <w:sz w:val="22"/>
          <w:szCs w:val="22"/>
        </w:rPr>
        <w:t xml:space="preserve"> All PMRP participants are adults. This highly stationary population is largely derived from Bavarian migrants from the late 1800s and carried high utility for genetic and biomarker studies through avoidance of confounding by population stratification and reduction in allelic heterogeneity. Environmental exposures are through to be relatively uniform across this population and migration rates are low. The PMRP has been effectively used in numerous genetic and clinical r</w:t>
      </w:r>
      <w:r w:rsidR="00AF43C8">
        <w:rPr>
          <w:rFonts w:ascii="Arial" w:hAnsi="Arial" w:cs="Arial"/>
          <w:sz w:val="22"/>
          <w:szCs w:val="22"/>
        </w:rPr>
        <w:t>esearch</w:t>
      </w:r>
      <w:r w:rsidR="00242074">
        <w:rPr>
          <w:rFonts w:ascii="Arial" w:hAnsi="Arial" w:cs="Arial"/>
          <w:sz w:val="22"/>
          <w:szCs w:val="22"/>
        </w:rPr>
        <w:t xml:space="preserve"> studies including the NHGRI-funded </w:t>
      </w:r>
      <w:proofErr w:type="spellStart"/>
      <w:r w:rsidR="00242074">
        <w:rPr>
          <w:rFonts w:ascii="Arial" w:hAnsi="Arial" w:cs="Arial"/>
          <w:sz w:val="22"/>
          <w:szCs w:val="22"/>
        </w:rPr>
        <w:t>eMERGE</w:t>
      </w:r>
      <w:proofErr w:type="spellEnd"/>
      <w:r w:rsidR="00242074">
        <w:rPr>
          <w:rFonts w:ascii="Arial" w:hAnsi="Arial" w:cs="Arial"/>
          <w:sz w:val="22"/>
          <w:szCs w:val="22"/>
        </w:rPr>
        <w:t xml:space="preserve"> network.</w:t>
      </w:r>
      <w:r w:rsidR="0016479E">
        <w:rPr>
          <w:rFonts w:ascii="Arial" w:hAnsi="Arial" w:cs="Arial"/>
          <w:sz w:val="22"/>
          <w:szCs w:val="22"/>
          <w:vertAlign w:val="superscript"/>
        </w:rPr>
        <w:t>64</w:t>
      </w:r>
      <w:proofErr w:type="gramStart"/>
      <w:r w:rsidR="003F04C6">
        <w:rPr>
          <w:rFonts w:ascii="Arial" w:hAnsi="Arial" w:cs="Arial"/>
          <w:sz w:val="22"/>
          <w:szCs w:val="22"/>
          <w:vertAlign w:val="superscript"/>
        </w:rPr>
        <w:t>,</w:t>
      </w:r>
      <w:r w:rsidR="0016479E">
        <w:rPr>
          <w:rFonts w:ascii="Arial" w:hAnsi="Arial" w:cs="Arial"/>
          <w:sz w:val="22"/>
          <w:szCs w:val="22"/>
          <w:vertAlign w:val="superscript"/>
        </w:rPr>
        <w:t>65</w:t>
      </w:r>
      <w:proofErr w:type="gramEnd"/>
      <w:r>
        <w:rPr>
          <w:rFonts w:ascii="Arial" w:hAnsi="Arial" w:cs="Arial"/>
          <w:sz w:val="22"/>
          <w:szCs w:val="22"/>
        </w:rPr>
        <w:t xml:space="preserve"> </w:t>
      </w:r>
    </w:p>
    <w:p w:rsidR="00125A6E" w:rsidRDefault="00125A6E" w:rsidP="002A4FD6">
      <w:pPr>
        <w:spacing w:line="120" w:lineRule="auto"/>
        <w:jc w:val="both"/>
        <w:rPr>
          <w:rFonts w:ascii="Arial" w:hAnsi="Arial" w:cs="Arial"/>
          <w:b/>
          <w:sz w:val="22"/>
          <w:szCs w:val="22"/>
        </w:rPr>
      </w:pPr>
    </w:p>
    <w:p w:rsidR="00F56635" w:rsidRPr="001542A1" w:rsidRDefault="00F56635" w:rsidP="00F56635">
      <w:pPr>
        <w:jc w:val="both"/>
        <w:rPr>
          <w:rFonts w:ascii="Helvetica" w:hAnsi="Helvetica" w:cs="Arial"/>
          <w:b/>
          <w:sz w:val="22"/>
          <w:szCs w:val="22"/>
        </w:rPr>
      </w:pPr>
      <w:r w:rsidRPr="001542A1">
        <w:rPr>
          <w:rFonts w:ascii="Helvetica" w:hAnsi="Helvetica" w:cs="Arial"/>
          <w:b/>
          <w:sz w:val="22"/>
          <w:szCs w:val="22"/>
        </w:rPr>
        <w:t>Plasma Collection</w:t>
      </w:r>
    </w:p>
    <w:p w:rsidR="00F56635" w:rsidRPr="001542A1" w:rsidRDefault="00F56635" w:rsidP="00F56635">
      <w:pPr>
        <w:jc w:val="both"/>
        <w:rPr>
          <w:rFonts w:ascii="Helvetica" w:hAnsi="Helvetica" w:cs="Arial"/>
          <w:sz w:val="22"/>
          <w:szCs w:val="22"/>
        </w:rPr>
      </w:pPr>
      <w:r w:rsidRPr="001542A1">
        <w:rPr>
          <w:rFonts w:ascii="Helvetica" w:hAnsi="Helvetica" w:cs="Arial"/>
          <w:sz w:val="22"/>
          <w:szCs w:val="22"/>
        </w:rPr>
        <w:t>30mL (3x10mL K</w:t>
      </w:r>
      <w:r w:rsidRPr="001542A1">
        <w:rPr>
          <w:rFonts w:ascii="Helvetica" w:hAnsi="Helvetica" w:cs="Arial"/>
          <w:sz w:val="22"/>
          <w:szCs w:val="22"/>
          <w:vertAlign w:val="subscript"/>
        </w:rPr>
        <w:t>3</w:t>
      </w:r>
      <w:r w:rsidRPr="001542A1">
        <w:rPr>
          <w:rFonts w:ascii="Helvetica" w:hAnsi="Helvetica" w:cs="Arial"/>
          <w:sz w:val="22"/>
          <w:szCs w:val="22"/>
        </w:rPr>
        <w:t xml:space="preserve">EDTA purple-top tubes) of blood was collected for plasma from each PMRP participant. Tubes were immediately placed on ice or refrigerated before processing. Within 24 hours, plasma </w:t>
      </w:r>
      <w:proofErr w:type="spellStart"/>
      <w:r w:rsidRPr="001542A1">
        <w:rPr>
          <w:rFonts w:ascii="Helvetica" w:hAnsi="Helvetica" w:cs="Arial"/>
          <w:sz w:val="22"/>
          <w:szCs w:val="22"/>
        </w:rPr>
        <w:t>cryovials</w:t>
      </w:r>
      <w:proofErr w:type="spellEnd"/>
      <w:r w:rsidRPr="001542A1">
        <w:rPr>
          <w:rFonts w:ascii="Helvetica" w:hAnsi="Helvetica" w:cs="Arial"/>
          <w:sz w:val="22"/>
          <w:szCs w:val="22"/>
        </w:rPr>
        <w:t xml:space="preserve"> were stored at -80</w:t>
      </w:r>
      <w:r w:rsidRPr="001542A1">
        <w:rPr>
          <w:rFonts w:ascii="Helvetica" w:hAnsi="Helvetica"/>
          <w:vertAlign w:val="superscript"/>
        </w:rPr>
        <w:t>o</w:t>
      </w:r>
      <w:r w:rsidRPr="001542A1">
        <w:rPr>
          <w:rFonts w:ascii="Helvetica" w:hAnsi="Helvetica" w:cs="Arial"/>
          <w:sz w:val="22"/>
          <w:szCs w:val="22"/>
        </w:rPr>
        <w:t xml:space="preserve">C.    </w:t>
      </w:r>
    </w:p>
    <w:p w:rsidR="00F56635" w:rsidRDefault="00F56635" w:rsidP="002A4FD6">
      <w:pPr>
        <w:spacing w:line="120" w:lineRule="auto"/>
        <w:jc w:val="both"/>
        <w:rPr>
          <w:rFonts w:ascii="Arial" w:hAnsi="Arial" w:cs="Arial"/>
          <w:b/>
          <w:sz w:val="22"/>
          <w:szCs w:val="22"/>
        </w:rPr>
      </w:pPr>
    </w:p>
    <w:p w:rsidR="008E7E83" w:rsidRDefault="008E7E83" w:rsidP="00125A6E">
      <w:pPr>
        <w:jc w:val="both"/>
        <w:rPr>
          <w:rFonts w:ascii="Arial" w:hAnsi="Arial" w:cs="Arial"/>
          <w:b/>
          <w:sz w:val="22"/>
          <w:szCs w:val="22"/>
        </w:rPr>
      </w:pPr>
      <w:r>
        <w:rPr>
          <w:rFonts w:ascii="Arial" w:hAnsi="Arial" w:cs="Arial"/>
          <w:b/>
          <w:sz w:val="22"/>
          <w:szCs w:val="22"/>
        </w:rPr>
        <w:t>Selection of Study Individuals</w:t>
      </w:r>
    </w:p>
    <w:p w:rsidR="008E7E83" w:rsidRPr="007D638D" w:rsidRDefault="007D638D" w:rsidP="00125A6E">
      <w:pPr>
        <w:jc w:val="both"/>
        <w:rPr>
          <w:rFonts w:ascii="Arial" w:hAnsi="Arial" w:cs="Arial"/>
          <w:sz w:val="22"/>
          <w:szCs w:val="22"/>
        </w:rPr>
      </w:pPr>
      <w:r w:rsidRPr="007D638D">
        <w:rPr>
          <w:rFonts w:ascii="Arial" w:hAnsi="Arial" w:cs="Arial"/>
          <w:sz w:val="22"/>
          <w:szCs w:val="22"/>
        </w:rPr>
        <w:t xml:space="preserve">PMRP samples were collected </w:t>
      </w:r>
      <w:r w:rsidR="004913C4">
        <w:rPr>
          <w:rFonts w:ascii="Arial" w:hAnsi="Arial" w:cs="Arial"/>
          <w:sz w:val="22"/>
          <w:szCs w:val="22"/>
        </w:rPr>
        <w:t>~14 years ago</w:t>
      </w:r>
      <w:r w:rsidR="00F56635">
        <w:rPr>
          <w:rFonts w:ascii="Arial" w:hAnsi="Arial" w:cs="Arial"/>
          <w:sz w:val="22"/>
          <w:szCs w:val="22"/>
        </w:rPr>
        <w:t>.</w:t>
      </w:r>
      <w:r>
        <w:rPr>
          <w:rFonts w:ascii="Arial" w:hAnsi="Arial" w:cs="Arial"/>
          <w:sz w:val="22"/>
          <w:szCs w:val="22"/>
        </w:rPr>
        <w:t xml:space="preserve"> </w:t>
      </w:r>
      <w:r w:rsidR="004913C4">
        <w:rPr>
          <w:rFonts w:ascii="Arial" w:hAnsi="Arial" w:cs="Arial"/>
          <w:sz w:val="22"/>
          <w:szCs w:val="22"/>
        </w:rPr>
        <w:t>~19,000 individuals</w:t>
      </w:r>
      <w:r>
        <w:rPr>
          <w:rFonts w:ascii="Arial" w:hAnsi="Arial" w:cs="Arial"/>
          <w:sz w:val="22"/>
          <w:szCs w:val="22"/>
        </w:rPr>
        <w:t xml:space="preserve"> were </w:t>
      </w:r>
      <w:r w:rsidR="004913C4">
        <w:rPr>
          <w:rFonts w:ascii="Arial" w:hAnsi="Arial" w:cs="Arial"/>
          <w:sz w:val="22"/>
          <w:szCs w:val="22"/>
        </w:rPr>
        <w:t xml:space="preserve">recently </w:t>
      </w:r>
      <w:r>
        <w:rPr>
          <w:rFonts w:ascii="Arial" w:hAnsi="Arial" w:cs="Arial"/>
          <w:sz w:val="22"/>
          <w:szCs w:val="22"/>
        </w:rPr>
        <w:t xml:space="preserve">genotyped on the Illumina Human Exome + Human Core Exome </w:t>
      </w:r>
      <w:proofErr w:type="spellStart"/>
      <w:r>
        <w:rPr>
          <w:rFonts w:ascii="Arial" w:hAnsi="Arial" w:cs="Arial"/>
          <w:sz w:val="22"/>
          <w:szCs w:val="22"/>
        </w:rPr>
        <w:t>Beadchips</w:t>
      </w:r>
      <w:proofErr w:type="spellEnd"/>
      <w:r>
        <w:rPr>
          <w:rFonts w:ascii="Arial" w:hAnsi="Arial" w:cs="Arial"/>
          <w:sz w:val="22"/>
          <w:szCs w:val="22"/>
        </w:rPr>
        <w:t xml:space="preserve">.  </w:t>
      </w:r>
      <w:r w:rsidR="00571735">
        <w:rPr>
          <w:rFonts w:ascii="Arial" w:hAnsi="Arial" w:cs="Arial"/>
          <w:sz w:val="22"/>
          <w:szCs w:val="22"/>
        </w:rPr>
        <w:t xml:space="preserve">This genotyping platform has excellent coverage of coding variants across the exome and also has GWAS-significant markers. </w:t>
      </w:r>
      <w:r w:rsidR="0017132F">
        <w:rPr>
          <w:rFonts w:ascii="Arial" w:hAnsi="Arial" w:cs="Arial"/>
          <w:sz w:val="22"/>
          <w:szCs w:val="22"/>
        </w:rPr>
        <w:t xml:space="preserve">Sample randomization was used for plating samples for genotyping. </w:t>
      </w:r>
      <w:r w:rsidR="00860FE8">
        <w:rPr>
          <w:rFonts w:ascii="Arial" w:hAnsi="Arial" w:cs="Arial"/>
          <w:sz w:val="22"/>
          <w:szCs w:val="22"/>
        </w:rPr>
        <w:t xml:space="preserve">The exome genotyping </w:t>
      </w:r>
      <w:proofErr w:type="spellStart"/>
      <w:r w:rsidR="00860FE8">
        <w:rPr>
          <w:rFonts w:ascii="Arial" w:hAnsi="Arial" w:cs="Arial"/>
          <w:sz w:val="22"/>
          <w:szCs w:val="22"/>
        </w:rPr>
        <w:t>beadchips</w:t>
      </w:r>
      <w:proofErr w:type="spellEnd"/>
      <w:r w:rsidR="00860FE8">
        <w:rPr>
          <w:rFonts w:ascii="Arial" w:hAnsi="Arial" w:cs="Arial"/>
          <w:sz w:val="22"/>
          <w:szCs w:val="22"/>
        </w:rPr>
        <w:t xml:space="preserve"> used have ancestry informative marker </w:t>
      </w:r>
      <w:r w:rsidR="004913C4">
        <w:rPr>
          <w:rFonts w:ascii="Arial" w:hAnsi="Arial" w:cs="Arial"/>
          <w:sz w:val="22"/>
          <w:szCs w:val="22"/>
        </w:rPr>
        <w:t xml:space="preserve">(AIM) content. The Schrodi Lab used this set of AIMs </w:t>
      </w:r>
      <w:r w:rsidR="00D012E6">
        <w:rPr>
          <w:rFonts w:ascii="Arial" w:hAnsi="Arial" w:cs="Arial"/>
          <w:sz w:val="22"/>
          <w:szCs w:val="22"/>
        </w:rPr>
        <w:t>to run a st</w:t>
      </w:r>
      <w:r w:rsidR="004913C4">
        <w:rPr>
          <w:rFonts w:ascii="Arial" w:hAnsi="Arial" w:cs="Arial"/>
          <w:sz w:val="22"/>
          <w:szCs w:val="22"/>
        </w:rPr>
        <w:t>andard PCA on the full set of 19</w:t>
      </w:r>
      <w:r w:rsidR="00D012E6">
        <w:rPr>
          <w:rFonts w:ascii="Arial" w:hAnsi="Arial" w:cs="Arial"/>
          <w:sz w:val="22"/>
          <w:szCs w:val="22"/>
        </w:rPr>
        <w:t>,000 individuals and genetic backgroun</w:t>
      </w:r>
      <w:r w:rsidR="004913C4">
        <w:rPr>
          <w:rFonts w:ascii="Arial" w:hAnsi="Arial" w:cs="Arial"/>
          <w:sz w:val="22"/>
          <w:szCs w:val="22"/>
        </w:rPr>
        <w:t xml:space="preserve">d outliers (~180 individuals) based on the first 3 PCs were </w:t>
      </w:r>
      <w:r w:rsidR="00D012E6">
        <w:rPr>
          <w:rFonts w:ascii="Arial" w:hAnsi="Arial" w:cs="Arial"/>
          <w:sz w:val="22"/>
          <w:szCs w:val="22"/>
        </w:rPr>
        <w:t xml:space="preserve">removed from subsequent analyses. </w:t>
      </w:r>
      <w:r w:rsidR="00F56635">
        <w:rPr>
          <w:rFonts w:ascii="Arial" w:hAnsi="Arial" w:cs="Arial"/>
          <w:sz w:val="22"/>
          <w:szCs w:val="22"/>
        </w:rPr>
        <w:t>In an attempt to diminish effects from transient inflammation stimulated from acute infection, only individuals without evidence of acute infection +/- 2 weeks of PMRP enrollment will be included. Evidence of acute infection consisted of either a temperature reading of &gt;37.7</w:t>
      </w:r>
      <w:r w:rsidR="00F56635" w:rsidRPr="00F56635">
        <w:rPr>
          <w:rFonts w:ascii="Helvetica" w:hAnsi="Helvetica"/>
          <w:sz w:val="22"/>
          <w:szCs w:val="22"/>
          <w:vertAlign w:val="superscript"/>
        </w:rPr>
        <w:t xml:space="preserve"> </w:t>
      </w:r>
      <w:proofErr w:type="spellStart"/>
      <w:r w:rsidR="00F56635" w:rsidRPr="00DB6629">
        <w:rPr>
          <w:rFonts w:ascii="Helvetica" w:hAnsi="Helvetica"/>
          <w:sz w:val="22"/>
          <w:szCs w:val="22"/>
          <w:vertAlign w:val="superscript"/>
        </w:rPr>
        <w:t>o</w:t>
      </w:r>
      <w:r w:rsidR="00F56635" w:rsidRPr="00DB6629">
        <w:rPr>
          <w:rFonts w:ascii="Helvetica" w:hAnsi="Helvetica"/>
          <w:sz w:val="22"/>
          <w:szCs w:val="22"/>
        </w:rPr>
        <w:t>C</w:t>
      </w:r>
      <w:proofErr w:type="spellEnd"/>
      <w:r w:rsidR="00F56635">
        <w:rPr>
          <w:rFonts w:ascii="Helvetica" w:hAnsi="Helvetica"/>
          <w:sz w:val="22"/>
          <w:szCs w:val="22"/>
        </w:rPr>
        <w:t xml:space="preserve">, an </w:t>
      </w:r>
      <w:proofErr w:type="spellStart"/>
      <w:r w:rsidR="00F56635">
        <w:rPr>
          <w:rFonts w:ascii="Helvetica" w:hAnsi="Helvetica"/>
          <w:sz w:val="22"/>
          <w:szCs w:val="22"/>
        </w:rPr>
        <w:t>hs</w:t>
      </w:r>
      <w:proofErr w:type="spellEnd"/>
      <w:r w:rsidR="00F56635">
        <w:rPr>
          <w:rFonts w:ascii="Helvetica" w:hAnsi="Helvetica"/>
          <w:sz w:val="22"/>
          <w:szCs w:val="22"/>
        </w:rPr>
        <w:t xml:space="preserve">-CRP lab test &gt;3.0, or an abnormal white blood cell count of &lt;4.3 or &gt;10.8 within this time duration. 249 individuals satisfied one or more of these acute infection conditions and will be excluded from the study. Similarly, a record of immunization within 2 weeks of PMRP enrollment will be an exclusion criterion. Record of </w:t>
      </w:r>
      <w:proofErr w:type="spellStart"/>
      <w:r w:rsidR="00F56635">
        <w:rPr>
          <w:rFonts w:ascii="Helvetica" w:hAnsi="Helvetica"/>
          <w:sz w:val="22"/>
          <w:szCs w:val="22"/>
        </w:rPr>
        <w:t>immuosuppressive</w:t>
      </w:r>
      <w:proofErr w:type="spellEnd"/>
      <w:r w:rsidR="00F56635">
        <w:rPr>
          <w:rFonts w:ascii="Helvetica" w:hAnsi="Helvetica"/>
          <w:sz w:val="22"/>
          <w:szCs w:val="22"/>
        </w:rPr>
        <w:t xml:space="preserve"> drug prescription within 3 months prior to enrollment will also be an exclusion criterion. </w:t>
      </w:r>
      <w:r w:rsidR="00D012E6">
        <w:rPr>
          <w:rFonts w:ascii="Arial" w:hAnsi="Arial" w:cs="Arial"/>
          <w:sz w:val="22"/>
          <w:szCs w:val="22"/>
        </w:rPr>
        <w:t xml:space="preserve"> </w:t>
      </w:r>
      <w:r w:rsidR="0017132F">
        <w:rPr>
          <w:rFonts w:ascii="Arial" w:hAnsi="Arial" w:cs="Arial"/>
          <w:sz w:val="22"/>
          <w:szCs w:val="22"/>
        </w:rPr>
        <w:t xml:space="preserve"> </w:t>
      </w:r>
      <w:r w:rsidR="00571735">
        <w:rPr>
          <w:rFonts w:ascii="Arial" w:hAnsi="Arial" w:cs="Arial"/>
          <w:sz w:val="22"/>
          <w:szCs w:val="22"/>
        </w:rPr>
        <w:t xml:space="preserve"> </w:t>
      </w:r>
      <w:r>
        <w:rPr>
          <w:rFonts w:ascii="Arial" w:hAnsi="Arial" w:cs="Arial"/>
          <w:sz w:val="22"/>
          <w:szCs w:val="22"/>
        </w:rPr>
        <w:t xml:space="preserve">     </w:t>
      </w:r>
    </w:p>
    <w:p w:rsidR="00A06CF7" w:rsidRPr="007D638D" w:rsidRDefault="00A06CF7" w:rsidP="00125A6E">
      <w:pPr>
        <w:jc w:val="both"/>
        <w:rPr>
          <w:rFonts w:ascii="Arial" w:hAnsi="Arial" w:cs="Arial"/>
          <w:sz w:val="22"/>
          <w:szCs w:val="22"/>
        </w:rPr>
      </w:pPr>
    </w:p>
    <w:p w:rsidR="008E7E83" w:rsidRDefault="007D638D" w:rsidP="00125A6E">
      <w:pPr>
        <w:jc w:val="both"/>
        <w:rPr>
          <w:rFonts w:ascii="Arial" w:hAnsi="Arial" w:cs="Arial"/>
          <w:b/>
          <w:sz w:val="22"/>
          <w:szCs w:val="22"/>
        </w:rPr>
      </w:pPr>
      <w:r>
        <w:rPr>
          <w:rFonts w:ascii="Arial" w:hAnsi="Arial" w:cs="Arial"/>
          <w:b/>
          <w:sz w:val="22"/>
          <w:szCs w:val="22"/>
        </w:rPr>
        <w:lastRenderedPageBreak/>
        <w:t>Disease Phenotypes</w:t>
      </w:r>
    </w:p>
    <w:p w:rsidR="007D638D" w:rsidRPr="003F13F9" w:rsidRDefault="003F13F9" w:rsidP="00125A6E">
      <w:pPr>
        <w:jc w:val="both"/>
        <w:rPr>
          <w:rFonts w:ascii="Arial" w:hAnsi="Arial" w:cs="Arial"/>
          <w:sz w:val="22"/>
          <w:szCs w:val="22"/>
        </w:rPr>
      </w:pPr>
      <w:r>
        <w:rPr>
          <w:rFonts w:ascii="Arial" w:hAnsi="Arial" w:cs="Arial"/>
          <w:sz w:val="22"/>
          <w:szCs w:val="22"/>
        </w:rPr>
        <w:t>Predictive models each of eight diseases will be developed for this study.</w:t>
      </w:r>
      <w:r w:rsidR="00A91686">
        <w:rPr>
          <w:rFonts w:ascii="Arial" w:hAnsi="Arial" w:cs="Arial"/>
          <w:sz w:val="22"/>
          <w:szCs w:val="22"/>
        </w:rPr>
        <w:t xml:space="preserve"> Cases and Controls will be selected from the PMRP biobank using the electronic medical record, inclusive of ICD9</w:t>
      </w:r>
      <w:r w:rsidR="00B61C01">
        <w:rPr>
          <w:rFonts w:ascii="Arial" w:hAnsi="Arial" w:cs="Arial"/>
          <w:sz w:val="22"/>
          <w:szCs w:val="22"/>
        </w:rPr>
        <w:t>/ICD10</w:t>
      </w:r>
      <w:r w:rsidR="00A91686">
        <w:rPr>
          <w:rFonts w:ascii="Arial" w:hAnsi="Arial" w:cs="Arial"/>
          <w:sz w:val="22"/>
          <w:szCs w:val="22"/>
        </w:rPr>
        <w:t xml:space="preserve"> codes, laboratory tests</w:t>
      </w:r>
      <w:r w:rsidR="00051FE7">
        <w:rPr>
          <w:rFonts w:ascii="Arial" w:hAnsi="Arial" w:cs="Arial"/>
          <w:sz w:val="22"/>
          <w:szCs w:val="22"/>
        </w:rPr>
        <w:t xml:space="preserve"> and medications. </w:t>
      </w:r>
      <w:r w:rsidR="00B61C01">
        <w:rPr>
          <w:rFonts w:ascii="Arial" w:hAnsi="Arial" w:cs="Arial"/>
          <w:sz w:val="22"/>
          <w:szCs w:val="22"/>
        </w:rPr>
        <w:t>Over the past 4</w:t>
      </w:r>
      <w:r w:rsidR="000E22BB">
        <w:rPr>
          <w:rFonts w:ascii="Arial" w:hAnsi="Arial" w:cs="Arial"/>
          <w:sz w:val="22"/>
          <w:szCs w:val="22"/>
        </w:rPr>
        <w:t xml:space="preserve"> years, </w:t>
      </w:r>
      <w:r w:rsidR="00196262">
        <w:rPr>
          <w:rFonts w:ascii="Arial" w:hAnsi="Arial" w:cs="Arial"/>
          <w:sz w:val="22"/>
          <w:szCs w:val="22"/>
        </w:rPr>
        <w:t xml:space="preserve">Dr. Schrodi has consulted with several physicians </w:t>
      </w:r>
      <w:r w:rsidR="000E22BB">
        <w:rPr>
          <w:rFonts w:ascii="Arial" w:hAnsi="Arial" w:cs="Arial"/>
          <w:sz w:val="22"/>
          <w:szCs w:val="22"/>
        </w:rPr>
        <w:t>a</w:t>
      </w:r>
      <w:r w:rsidR="00B61C01">
        <w:rPr>
          <w:rFonts w:ascii="Arial" w:hAnsi="Arial" w:cs="Arial"/>
          <w:sz w:val="22"/>
          <w:szCs w:val="22"/>
        </w:rPr>
        <w:t xml:space="preserve">t the Marshfield Clinic and </w:t>
      </w:r>
      <w:r w:rsidR="000E22BB">
        <w:rPr>
          <w:rFonts w:ascii="Arial" w:hAnsi="Arial" w:cs="Arial"/>
          <w:sz w:val="22"/>
          <w:szCs w:val="22"/>
        </w:rPr>
        <w:t>U</w:t>
      </w:r>
      <w:r w:rsidR="00B61C01">
        <w:rPr>
          <w:rFonts w:ascii="Arial" w:hAnsi="Arial" w:cs="Arial"/>
          <w:sz w:val="22"/>
          <w:szCs w:val="22"/>
        </w:rPr>
        <w:t>W-Madison to refine definitions of these 8</w:t>
      </w:r>
      <w:r w:rsidR="000E22BB">
        <w:rPr>
          <w:rFonts w:ascii="Arial" w:hAnsi="Arial" w:cs="Arial"/>
          <w:sz w:val="22"/>
          <w:szCs w:val="22"/>
        </w:rPr>
        <w:t xml:space="preserve"> diseases. Using the CDC statistics, </w:t>
      </w:r>
      <w:r w:rsidR="005C2761">
        <w:rPr>
          <w:rFonts w:ascii="Arial" w:hAnsi="Arial" w:cs="Arial"/>
          <w:sz w:val="22"/>
          <w:szCs w:val="22"/>
        </w:rPr>
        <w:t xml:space="preserve">we estimate that </w:t>
      </w:r>
      <w:r w:rsidR="006F6D2A">
        <w:rPr>
          <w:rFonts w:ascii="Arial" w:hAnsi="Arial" w:cs="Arial"/>
          <w:sz w:val="22"/>
          <w:szCs w:val="22"/>
        </w:rPr>
        <w:t>over 4</w:t>
      </w:r>
      <w:r w:rsidR="000E22BB">
        <w:rPr>
          <w:rFonts w:ascii="Arial" w:hAnsi="Arial" w:cs="Arial"/>
          <w:sz w:val="22"/>
          <w:szCs w:val="22"/>
        </w:rPr>
        <w:t>% of the United States population suffers from one or more of the</w:t>
      </w:r>
      <w:r w:rsidR="00B61C01">
        <w:rPr>
          <w:rFonts w:ascii="Arial" w:hAnsi="Arial" w:cs="Arial"/>
          <w:sz w:val="22"/>
          <w:szCs w:val="22"/>
        </w:rPr>
        <w:t xml:space="preserve"> diseases examined</w:t>
      </w:r>
      <w:r w:rsidR="000E22BB">
        <w:rPr>
          <w:rFonts w:ascii="Arial" w:hAnsi="Arial" w:cs="Arial"/>
          <w:sz w:val="22"/>
          <w:szCs w:val="22"/>
        </w:rPr>
        <w:t xml:space="preserve">. </w:t>
      </w:r>
      <w:r w:rsidR="00ED5A75">
        <w:rPr>
          <w:rFonts w:ascii="Arial" w:hAnsi="Arial" w:cs="Arial"/>
          <w:sz w:val="22"/>
          <w:szCs w:val="22"/>
        </w:rPr>
        <w:t>The table below gives the results of informatics queries on the estimated number of individuals satisfying the disease criteria:</w:t>
      </w:r>
      <w:r w:rsidR="000E22BB">
        <w:rPr>
          <w:rFonts w:ascii="Arial" w:hAnsi="Arial" w:cs="Arial"/>
          <w:sz w:val="22"/>
          <w:szCs w:val="22"/>
        </w:rPr>
        <w:t xml:space="preserve"> </w:t>
      </w:r>
      <w:r w:rsidR="00051FE7">
        <w:rPr>
          <w:rFonts w:ascii="Arial" w:hAnsi="Arial" w:cs="Arial"/>
          <w:sz w:val="22"/>
          <w:szCs w:val="22"/>
        </w:rPr>
        <w:t xml:space="preserve"> </w:t>
      </w:r>
      <w:r w:rsidR="00A91686">
        <w:rPr>
          <w:rFonts w:ascii="Arial" w:hAnsi="Arial" w:cs="Arial"/>
          <w:sz w:val="22"/>
          <w:szCs w:val="22"/>
        </w:rPr>
        <w:t xml:space="preserve"> </w:t>
      </w:r>
      <w:r>
        <w:rPr>
          <w:rFonts w:ascii="Arial" w:hAnsi="Arial" w:cs="Arial"/>
          <w:sz w:val="22"/>
          <w:szCs w:val="22"/>
        </w:rPr>
        <w:t xml:space="preserve">  </w:t>
      </w:r>
    </w:p>
    <w:p w:rsidR="0073027D" w:rsidRDefault="0073027D" w:rsidP="00B61C01">
      <w:pPr>
        <w:spacing w:line="120" w:lineRule="auto"/>
        <w:jc w:val="both"/>
        <w:rPr>
          <w:rFonts w:ascii="Arial" w:hAnsi="Arial" w:cs="Arial"/>
          <w:b/>
          <w:sz w:val="22"/>
          <w:szCs w:val="22"/>
        </w:rPr>
      </w:pPr>
    </w:p>
    <w:tbl>
      <w:tblPr>
        <w:tblStyle w:val="TableClassic2"/>
        <w:tblW w:w="0" w:type="auto"/>
        <w:tblLook w:val="04A0" w:firstRow="1" w:lastRow="0" w:firstColumn="1" w:lastColumn="0" w:noHBand="0" w:noVBand="1"/>
      </w:tblPr>
      <w:tblGrid>
        <w:gridCol w:w="3888"/>
        <w:gridCol w:w="6030"/>
      </w:tblGrid>
      <w:tr w:rsidR="00A06CF7" w:rsidTr="00ED5A7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88" w:type="dxa"/>
          </w:tcPr>
          <w:p w:rsidR="00A06CF7" w:rsidRPr="00ED5A75" w:rsidRDefault="00A06CF7" w:rsidP="00B9213E">
            <w:pPr>
              <w:jc w:val="both"/>
              <w:rPr>
                <w:rFonts w:ascii="Arial" w:hAnsi="Arial" w:cs="Arial"/>
                <w:sz w:val="20"/>
                <w:szCs w:val="20"/>
              </w:rPr>
            </w:pPr>
            <w:r w:rsidRPr="00ED5A75">
              <w:rPr>
                <w:rFonts w:ascii="Arial" w:hAnsi="Arial" w:cs="Arial"/>
                <w:sz w:val="20"/>
                <w:szCs w:val="20"/>
              </w:rPr>
              <w:t>Disease</w:t>
            </w:r>
          </w:p>
        </w:tc>
        <w:tc>
          <w:tcPr>
            <w:tcW w:w="6030" w:type="dxa"/>
          </w:tcPr>
          <w:p w:rsidR="00A06CF7" w:rsidRPr="00ED5A75" w:rsidRDefault="00ED5A75" w:rsidP="00B9213E">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0"/>
                <w:szCs w:val="20"/>
              </w:rPr>
            </w:pPr>
            <w:r w:rsidRPr="00ED5A75">
              <w:rPr>
                <w:rFonts w:ascii="Arial" w:hAnsi="Arial" w:cs="Arial"/>
                <w:b/>
                <w:sz w:val="20"/>
                <w:szCs w:val="20"/>
              </w:rPr>
              <w:t xml:space="preserve">Estimated Number with Samples Prior to </w:t>
            </w:r>
            <w:proofErr w:type="spellStart"/>
            <w:r w:rsidRPr="00ED5A75">
              <w:rPr>
                <w:rFonts w:ascii="Arial" w:hAnsi="Arial" w:cs="Arial"/>
                <w:b/>
                <w:sz w:val="20"/>
                <w:szCs w:val="20"/>
              </w:rPr>
              <w:t>Dx</w:t>
            </w:r>
            <w:proofErr w:type="spellEnd"/>
          </w:p>
        </w:tc>
      </w:tr>
      <w:tr w:rsidR="00A06CF7" w:rsidTr="00ED5A75">
        <w:tc>
          <w:tcPr>
            <w:cnfStyle w:val="001000000000" w:firstRow="0" w:lastRow="0" w:firstColumn="1" w:lastColumn="0" w:oddVBand="0" w:evenVBand="0" w:oddHBand="0" w:evenHBand="0" w:firstRowFirstColumn="0" w:firstRowLastColumn="0" w:lastRowFirstColumn="0" w:lastRowLastColumn="0"/>
            <w:tcW w:w="3888" w:type="dxa"/>
          </w:tcPr>
          <w:p w:rsidR="00A06CF7" w:rsidRPr="00ED5A75" w:rsidRDefault="00A06CF7" w:rsidP="00B9213E">
            <w:pPr>
              <w:jc w:val="both"/>
              <w:rPr>
                <w:rFonts w:ascii="Arial" w:hAnsi="Arial" w:cs="Arial"/>
                <w:sz w:val="20"/>
                <w:szCs w:val="20"/>
              </w:rPr>
            </w:pPr>
            <w:r w:rsidRPr="00ED5A75">
              <w:rPr>
                <w:rFonts w:ascii="Arial" w:hAnsi="Arial" w:cs="Arial"/>
                <w:sz w:val="20"/>
                <w:szCs w:val="20"/>
              </w:rPr>
              <w:t>Rheumatoid Arthritis</w:t>
            </w:r>
          </w:p>
        </w:tc>
        <w:tc>
          <w:tcPr>
            <w:tcW w:w="6030" w:type="dxa"/>
          </w:tcPr>
          <w:p w:rsidR="00A06CF7" w:rsidRPr="00ED5A75" w:rsidRDefault="00B61C01" w:rsidP="00B9213E">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Pr>
                <w:rFonts w:ascii="Arial" w:hAnsi="Arial" w:cs="Arial"/>
                <w:b/>
                <w:sz w:val="20"/>
                <w:szCs w:val="20"/>
              </w:rPr>
              <w:t>194</w:t>
            </w:r>
            <w:r w:rsidR="000F384E">
              <w:rPr>
                <w:rFonts w:ascii="Arial" w:hAnsi="Arial" w:cs="Arial"/>
                <w:b/>
                <w:sz w:val="20"/>
                <w:szCs w:val="20"/>
              </w:rPr>
              <w:t xml:space="preserve"> total (97 for Classifier Development / 97</w:t>
            </w:r>
            <w:r w:rsidR="00ED5A75" w:rsidRPr="00ED5A75">
              <w:rPr>
                <w:rFonts w:ascii="Arial" w:hAnsi="Arial" w:cs="Arial"/>
                <w:b/>
                <w:sz w:val="20"/>
                <w:szCs w:val="20"/>
              </w:rPr>
              <w:t xml:space="preserve"> for Validation)</w:t>
            </w:r>
          </w:p>
        </w:tc>
      </w:tr>
      <w:tr w:rsidR="00A06CF7" w:rsidTr="00ED5A75">
        <w:tc>
          <w:tcPr>
            <w:cnfStyle w:val="001000000000" w:firstRow="0" w:lastRow="0" w:firstColumn="1" w:lastColumn="0" w:oddVBand="0" w:evenVBand="0" w:oddHBand="0" w:evenHBand="0" w:firstRowFirstColumn="0" w:firstRowLastColumn="0" w:lastRowFirstColumn="0" w:lastRowLastColumn="0"/>
            <w:tcW w:w="3888" w:type="dxa"/>
          </w:tcPr>
          <w:p w:rsidR="00A06CF7" w:rsidRPr="00ED5A75" w:rsidRDefault="00A06CF7" w:rsidP="00163DA6">
            <w:pPr>
              <w:jc w:val="both"/>
              <w:rPr>
                <w:rFonts w:ascii="Arial" w:hAnsi="Arial" w:cs="Arial"/>
                <w:sz w:val="20"/>
                <w:szCs w:val="20"/>
              </w:rPr>
            </w:pPr>
            <w:r w:rsidRPr="00ED5A75">
              <w:rPr>
                <w:rFonts w:ascii="Arial" w:hAnsi="Arial" w:cs="Arial"/>
                <w:sz w:val="20"/>
                <w:szCs w:val="20"/>
              </w:rPr>
              <w:t xml:space="preserve">Systemic </w:t>
            </w:r>
            <w:r w:rsidR="00163DA6">
              <w:rPr>
                <w:rFonts w:ascii="Arial" w:hAnsi="Arial" w:cs="Arial"/>
                <w:sz w:val="20"/>
                <w:szCs w:val="20"/>
              </w:rPr>
              <w:t>Lupus Erythematosus</w:t>
            </w:r>
          </w:p>
        </w:tc>
        <w:tc>
          <w:tcPr>
            <w:tcW w:w="6030" w:type="dxa"/>
          </w:tcPr>
          <w:p w:rsidR="00A06CF7" w:rsidRPr="00ED5A75" w:rsidRDefault="00B61C01" w:rsidP="00B9213E">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Pr>
                <w:rFonts w:ascii="Arial" w:hAnsi="Arial" w:cs="Arial"/>
                <w:b/>
                <w:sz w:val="20"/>
                <w:szCs w:val="20"/>
              </w:rPr>
              <w:t>86</w:t>
            </w:r>
          </w:p>
        </w:tc>
      </w:tr>
      <w:tr w:rsidR="00A06CF7" w:rsidTr="00ED5A75">
        <w:tc>
          <w:tcPr>
            <w:cnfStyle w:val="001000000000" w:firstRow="0" w:lastRow="0" w:firstColumn="1" w:lastColumn="0" w:oddVBand="0" w:evenVBand="0" w:oddHBand="0" w:evenHBand="0" w:firstRowFirstColumn="0" w:firstRowLastColumn="0" w:lastRowFirstColumn="0" w:lastRowLastColumn="0"/>
            <w:tcW w:w="3888" w:type="dxa"/>
          </w:tcPr>
          <w:p w:rsidR="00A06CF7" w:rsidRPr="00ED5A75" w:rsidRDefault="00A06CF7" w:rsidP="00B9213E">
            <w:pPr>
              <w:jc w:val="both"/>
              <w:rPr>
                <w:rFonts w:ascii="Arial" w:hAnsi="Arial" w:cs="Arial"/>
                <w:sz w:val="20"/>
                <w:szCs w:val="20"/>
              </w:rPr>
            </w:pPr>
            <w:r w:rsidRPr="00ED5A75">
              <w:rPr>
                <w:rFonts w:ascii="Arial" w:hAnsi="Arial" w:cs="Arial"/>
                <w:sz w:val="20"/>
                <w:szCs w:val="20"/>
              </w:rPr>
              <w:t>Multiple Sclerosis</w:t>
            </w:r>
          </w:p>
        </w:tc>
        <w:tc>
          <w:tcPr>
            <w:tcW w:w="6030" w:type="dxa"/>
          </w:tcPr>
          <w:p w:rsidR="00A06CF7" w:rsidRPr="00ED5A75" w:rsidRDefault="00B61C01" w:rsidP="00B9213E">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Pr>
                <w:rFonts w:ascii="Arial" w:hAnsi="Arial" w:cs="Arial"/>
                <w:b/>
                <w:sz w:val="20"/>
                <w:szCs w:val="20"/>
              </w:rPr>
              <w:t>3</w:t>
            </w:r>
            <w:r w:rsidR="00D05BD2">
              <w:rPr>
                <w:rFonts w:ascii="Arial" w:hAnsi="Arial" w:cs="Arial"/>
                <w:b/>
                <w:sz w:val="20"/>
                <w:szCs w:val="20"/>
              </w:rPr>
              <w:t>1</w:t>
            </w:r>
          </w:p>
        </w:tc>
      </w:tr>
      <w:tr w:rsidR="00A06CF7" w:rsidTr="00ED5A75">
        <w:tc>
          <w:tcPr>
            <w:cnfStyle w:val="001000000000" w:firstRow="0" w:lastRow="0" w:firstColumn="1" w:lastColumn="0" w:oddVBand="0" w:evenVBand="0" w:oddHBand="0" w:evenHBand="0" w:firstRowFirstColumn="0" w:firstRowLastColumn="0" w:lastRowFirstColumn="0" w:lastRowLastColumn="0"/>
            <w:tcW w:w="3888" w:type="dxa"/>
          </w:tcPr>
          <w:p w:rsidR="00A06CF7" w:rsidRPr="00ED5A75" w:rsidRDefault="004D230C" w:rsidP="00B9213E">
            <w:pPr>
              <w:jc w:val="both"/>
              <w:rPr>
                <w:rFonts w:ascii="Arial" w:hAnsi="Arial" w:cs="Arial"/>
                <w:sz w:val="20"/>
                <w:szCs w:val="20"/>
              </w:rPr>
            </w:pPr>
            <w:r>
              <w:rPr>
                <w:rFonts w:ascii="Arial" w:hAnsi="Arial" w:cs="Arial"/>
                <w:sz w:val="20"/>
                <w:szCs w:val="20"/>
              </w:rPr>
              <w:t xml:space="preserve">Premature </w:t>
            </w:r>
            <w:r w:rsidR="00A06CF7" w:rsidRPr="00ED5A75">
              <w:rPr>
                <w:rFonts w:ascii="Arial" w:hAnsi="Arial" w:cs="Arial"/>
                <w:sz w:val="20"/>
                <w:szCs w:val="20"/>
              </w:rPr>
              <w:t>Myocardial Infarction</w:t>
            </w:r>
          </w:p>
        </w:tc>
        <w:tc>
          <w:tcPr>
            <w:tcW w:w="6030" w:type="dxa"/>
          </w:tcPr>
          <w:p w:rsidR="00A06CF7" w:rsidRPr="00ED5A75" w:rsidRDefault="00B61C01" w:rsidP="00B9213E">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Pr>
                <w:rFonts w:ascii="Arial" w:hAnsi="Arial" w:cs="Arial"/>
                <w:b/>
                <w:sz w:val="20"/>
                <w:szCs w:val="20"/>
              </w:rPr>
              <w:t>88</w:t>
            </w:r>
            <w:r w:rsidR="00ED5A75">
              <w:rPr>
                <w:rFonts w:ascii="Arial" w:hAnsi="Arial" w:cs="Arial"/>
                <w:b/>
                <w:sz w:val="20"/>
                <w:szCs w:val="20"/>
              </w:rPr>
              <w:t xml:space="preserve">  </w:t>
            </w:r>
          </w:p>
        </w:tc>
      </w:tr>
      <w:tr w:rsidR="00A06CF7" w:rsidTr="00ED5A75">
        <w:tc>
          <w:tcPr>
            <w:cnfStyle w:val="001000000000" w:firstRow="0" w:lastRow="0" w:firstColumn="1" w:lastColumn="0" w:oddVBand="0" w:evenVBand="0" w:oddHBand="0" w:evenHBand="0" w:firstRowFirstColumn="0" w:firstRowLastColumn="0" w:lastRowFirstColumn="0" w:lastRowLastColumn="0"/>
            <w:tcW w:w="3888" w:type="dxa"/>
          </w:tcPr>
          <w:p w:rsidR="00A06CF7" w:rsidRPr="00ED5A75" w:rsidRDefault="004D230C" w:rsidP="00B9213E">
            <w:pPr>
              <w:jc w:val="both"/>
              <w:rPr>
                <w:rFonts w:ascii="Arial" w:hAnsi="Arial" w:cs="Arial"/>
                <w:sz w:val="20"/>
                <w:szCs w:val="20"/>
              </w:rPr>
            </w:pPr>
            <w:r>
              <w:rPr>
                <w:rFonts w:ascii="Arial" w:hAnsi="Arial" w:cs="Arial"/>
                <w:sz w:val="20"/>
                <w:szCs w:val="20"/>
              </w:rPr>
              <w:t>Chronic Lymphocytic Leukemia</w:t>
            </w:r>
          </w:p>
        </w:tc>
        <w:tc>
          <w:tcPr>
            <w:tcW w:w="6030" w:type="dxa"/>
          </w:tcPr>
          <w:p w:rsidR="00A06CF7" w:rsidRPr="00ED5A75" w:rsidRDefault="00B61C01" w:rsidP="00B9213E">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Pr>
                <w:rFonts w:ascii="Arial" w:hAnsi="Arial" w:cs="Arial"/>
                <w:b/>
                <w:sz w:val="20"/>
                <w:szCs w:val="20"/>
              </w:rPr>
              <w:t>8</w:t>
            </w:r>
            <w:r w:rsidR="004D230C">
              <w:rPr>
                <w:rFonts w:ascii="Arial" w:hAnsi="Arial" w:cs="Arial"/>
                <w:b/>
                <w:sz w:val="20"/>
                <w:szCs w:val="20"/>
              </w:rPr>
              <w:t>4</w:t>
            </w:r>
          </w:p>
        </w:tc>
      </w:tr>
      <w:tr w:rsidR="00A06CF7" w:rsidTr="00ED5A75">
        <w:tc>
          <w:tcPr>
            <w:cnfStyle w:val="001000000000" w:firstRow="0" w:lastRow="0" w:firstColumn="1" w:lastColumn="0" w:oddVBand="0" w:evenVBand="0" w:oddHBand="0" w:evenHBand="0" w:firstRowFirstColumn="0" w:firstRowLastColumn="0" w:lastRowFirstColumn="0" w:lastRowLastColumn="0"/>
            <w:tcW w:w="3888" w:type="dxa"/>
          </w:tcPr>
          <w:p w:rsidR="00A06CF7" w:rsidRPr="00ED5A75" w:rsidRDefault="00A06CF7" w:rsidP="00B9213E">
            <w:pPr>
              <w:jc w:val="both"/>
              <w:rPr>
                <w:rFonts w:ascii="Arial" w:hAnsi="Arial" w:cs="Arial"/>
                <w:sz w:val="20"/>
                <w:szCs w:val="20"/>
              </w:rPr>
            </w:pPr>
            <w:r w:rsidRPr="00ED5A75">
              <w:rPr>
                <w:rFonts w:ascii="Arial" w:hAnsi="Arial" w:cs="Arial"/>
                <w:sz w:val="20"/>
                <w:szCs w:val="20"/>
              </w:rPr>
              <w:t>Obsessive Compulsive Disorder</w:t>
            </w:r>
          </w:p>
        </w:tc>
        <w:tc>
          <w:tcPr>
            <w:tcW w:w="6030" w:type="dxa"/>
          </w:tcPr>
          <w:p w:rsidR="00A06CF7" w:rsidRPr="00ED5A75" w:rsidRDefault="00ED5A75" w:rsidP="00B9213E">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Pr>
                <w:rFonts w:ascii="Arial" w:hAnsi="Arial" w:cs="Arial"/>
                <w:b/>
                <w:sz w:val="20"/>
                <w:szCs w:val="20"/>
              </w:rPr>
              <w:t>112</w:t>
            </w:r>
          </w:p>
        </w:tc>
      </w:tr>
      <w:tr w:rsidR="00A06CF7" w:rsidTr="00ED5A75">
        <w:tc>
          <w:tcPr>
            <w:cnfStyle w:val="001000000000" w:firstRow="0" w:lastRow="0" w:firstColumn="1" w:lastColumn="0" w:oddVBand="0" w:evenVBand="0" w:oddHBand="0" w:evenHBand="0" w:firstRowFirstColumn="0" w:firstRowLastColumn="0" w:lastRowFirstColumn="0" w:lastRowLastColumn="0"/>
            <w:tcW w:w="3888" w:type="dxa"/>
          </w:tcPr>
          <w:p w:rsidR="00A06CF7" w:rsidRPr="00ED5A75" w:rsidRDefault="00F6165A" w:rsidP="00B9213E">
            <w:pPr>
              <w:jc w:val="both"/>
              <w:rPr>
                <w:rFonts w:ascii="Arial" w:hAnsi="Arial" w:cs="Arial"/>
                <w:sz w:val="20"/>
                <w:szCs w:val="20"/>
              </w:rPr>
            </w:pPr>
            <w:r>
              <w:rPr>
                <w:rFonts w:ascii="Arial" w:hAnsi="Arial" w:cs="Arial"/>
                <w:sz w:val="20"/>
                <w:szCs w:val="20"/>
              </w:rPr>
              <w:t>Autoimmune Thyroid</w:t>
            </w:r>
            <w:r w:rsidR="00A06CF7" w:rsidRPr="00ED5A75">
              <w:rPr>
                <w:rFonts w:ascii="Arial" w:hAnsi="Arial" w:cs="Arial"/>
                <w:sz w:val="20"/>
                <w:szCs w:val="20"/>
              </w:rPr>
              <w:t xml:space="preserve"> Disease</w:t>
            </w:r>
          </w:p>
          <w:p w:rsidR="00A06CF7" w:rsidRPr="00ED5A75" w:rsidRDefault="00A06CF7" w:rsidP="00B9213E">
            <w:pPr>
              <w:jc w:val="both"/>
              <w:rPr>
                <w:rFonts w:ascii="Arial" w:hAnsi="Arial" w:cs="Arial"/>
                <w:sz w:val="20"/>
                <w:szCs w:val="20"/>
              </w:rPr>
            </w:pPr>
            <w:r w:rsidRPr="00ED5A75">
              <w:rPr>
                <w:rFonts w:ascii="Arial" w:hAnsi="Arial" w:cs="Arial"/>
                <w:sz w:val="20"/>
                <w:szCs w:val="20"/>
              </w:rPr>
              <w:t xml:space="preserve">Axial </w:t>
            </w:r>
            <w:proofErr w:type="spellStart"/>
            <w:r w:rsidRPr="00ED5A75">
              <w:rPr>
                <w:rFonts w:ascii="Arial" w:hAnsi="Arial" w:cs="Arial"/>
                <w:sz w:val="20"/>
                <w:szCs w:val="20"/>
              </w:rPr>
              <w:t>Spondyloarthritis</w:t>
            </w:r>
            <w:proofErr w:type="spellEnd"/>
          </w:p>
        </w:tc>
        <w:tc>
          <w:tcPr>
            <w:tcW w:w="6030" w:type="dxa"/>
          </w:tcPr>
          <w:p w:rsidR="00A06CF7" w:rsidRPr="00ED5A75" w:rsidRDefault="00ED5A75" w:rsidP="00B9213E">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Pr>
                <w:rFonts w:ascii="Arial" w:hAnsi="Arial" w:cs="Arial"/>
                <w:b/>
                <w:sz w:val="20"/>
                <w:szCs w:val="20"/>
              </w:rPr>
              <w:t>95</w:t>
            </w:r>
          </w:p>
          <w:p w:rsidR="00A06CF7" w:rsidRPr="00ED5A75" w:rsidRDefault="00ED5A75" w:rsidP="00B9213E">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Pr>
                <w:rFonts w:ascii="Arial" w:hAnsi="Arial" w:cs="Arial"/>
                <w:b/>
                <w:sz w:val="20"/>
                <w:szCs w:val="20"/>
              </w:rPr>
              <w:t>30</w:t>
            </w:r>
          </w:p>
        </w:tc>
      </w:tr>
    </w:tbl>
    <w:p w:rsidR="00A06CF7" w:rsidRDefault="00A06CF7" w:rsidP="000F384E">
      <w:pPr>
        <w:spacing w:line="120" w:lineRule="auto"/>
        <w:jc w:val="both"/>
        <w:rPr>
          <w:rFonts w:ascii="Arial" w:hAnsi="Arial" w:cs="Arial"/>
          <w:b/>
          <w:sz w:val="22"/>
          <w:szCs w:val="22"/>
        </w:rPr>
      </w:pPr>
    </w:p>
    <w:p w:rsidR="0082764D" w:rsidRPr="0082764D" w:rsidRDefault="0082764D" w:rsidP="00125A6E">
      <w:pPr>
        <w:jc w:val="both"/>
        <w:rPr>
          <w:rFonts w:ascii="Arial" w:hAnsi="Arial" w:cs="Arial"/>
          <w:sz w:val="22"/>
          <w:szCs w:val="22"/>
        </w:rPr>
      </w:pPr>
      <w:r w:rsidRPr="0082764D">
        <w:rPr>
          <w:rFonts w:ascii="Arial" w:hAnsi="Arial" w:cs="Arial"/>
          <w:sz w:val="22"/>
          <w:szCs w:val="22"/>
        </w:rPr>
        <w:t xml:space="preserve">An </w:t>
      </w:r>
      <w:r w:rsidRPr="0082764D">
        <w:rPr>
          <w:rFonts w:ascii="Arial" w:hAnsi="Arial" w:cs="Arial"/>
          <w:i/>
          <w:sz w:val="22"/>
          <w:szCs w:val="22"/>
        </w:rPr>
        <w:t>a priori</w:t>
      </w:r>
      <w:r>
        <w:rPr>
          <w:rFonts w:ascii="Arial" w:hAnsi="Arial" w:cs="Arial"/>
          <w:sz w:val="22"/>
          <w:szCs w:val="22"/>
        </w:rPr>
        <w:t xml:space="preserve"> guess at the effect size from the combined effects of</w:t>
      </w:r>
      <w:r w:rsidR="00623C57">
        <w:rPr>
          <w:rFonts w:ascii="Arial" w:hAnsi="Arial" w:cs="Arial"/>
          <w:sz w:val="22"/>
          <w:szCs w:val="22"/>
        </w:rPr>
        <w:t xml:space="preserve"> the multi-omics data investigated here is extremely difficult. Hence, power calculations may not be informative. We note that for our pilot study of type 2 diabetes, 56 pre-T2D cases and 445 matched controls yielded an average cross-validated AUC of 0.912 using our elastic net logistic regression feature selection coupled with a Bayesian Network classifier (feature selection was included in the cross validation procedure). This impressive result suggests that the sample sizes for this study should be sufficient to produce </w:t>
      </w:r>
      <w:r w:rsidR="006E1BF0">
        <w:rPr>
          <w:rFonts w:ascii="Arial" w:hAnsi="Arial" w:cs="Arial"/>
          <w:sz w:val="22"/>
          <w:szCs w:val="22"/>
        </w:rPr>
        <w:t xml:space="preserve">accurate predictive models in at least 6 of the 8 diseases. </w:t>
      </w:r>
      <w:r w:rsidR="00623C57">
        <w:rPr>
          <w:rFonts w:ascii="Arial" w:hAnsi="Arial" w:cs="Arial"/>
          <w:sz w:val="22"/>
          <w:szCs w:val="22"/>
        </w:rPr>
        <w:t xml:space="preserve">    </w:t>
      </w:r>
      <w:r>
        <w:rPr>
          <w:rFonts w:ascii="Arial" w:hAnsi="Arial" w:cs="Arial"/>
          <w:sz w:val="22"/>
          <w:szCs w:val="22"/>
        </w:rPr>
        <w:t xml:space="preserve"> </w:t>
      </w:r>
    </w:p>
    <w:p w:rsidR="0082764D" w:rsidRPr="0082764D" w:rsidRDefault="0082764D" w:rsidP="00165849">
      <w:pPr>
        <w:spacing w:line="72" w:lineRule="auto"/>
        <w:jc w:val="both"/>
        <w:rPr>
          <w:rFonts w:ascii="Arial" w:hAnsi="Arial" w:cs="Arial"/>
          <w:sz w:val="22"/>
          <w:szCs w:val="22"/>
        </w:rPr>
      </w:pPr>
    </w:p>
    <w:p w:rsidR="004876C6" w:rsidRDefault="0073027D" w:rsidP="00125A6E">
      <w:pPr>
        <w:jc w:val="both"/>
        <w:rPr>
          <w:rFonts w:ascii="Arial" w:hAnsi="Arial" w:cs="Arial"/>
          <w:sz w:val="22"/>
          <w:szCs w:val="22"/>
        </w:rPr>
      </w:pPr>
      <w:proofErr w:type="gramStart"/>
      <w:r>
        <w:rPr>
          <w:rFonts w:ascii="Arial" w:hAnsi="Arial" w:cs="Arial"/>
          <w:b/>
          <w:sz w:val="22"/>
          <w:szCs w:val="22"/>
        </w:rPr>
        <w:t>R</w:t>
      </w:r>
      <w:r w:rsidR="003F13F9" w:rsidRPr="003F13F9">
        <w:rPr>
          <w:rFonts w:ascii="Arial" w:hAnsi="Arial" w:cs="Arial"/>
          <w:b/>
          <w:sz w:val="22"/>
          <w:szCs w:val="22"/>
        </w:rPr>
        <w:t>heumatoid arthritis</w:t>
      </w:r>
      <w:r w:rsidR="001C347F">
        <w:rPr>
          <w:rFonts w:ascii="Arial" w:hAnsi="Arial" w:cs="Arial"/>
          <w:sz w:val="22"/>
          <w:szCs w:val="22"/>
        </w:rPr>
        <w:t>.</w:t>
      </w:r>
      <w:proofErr w:type="gramEnd"/>
      <w:r w:rsidR="001C347F">
        <w:rPr>
          <w:rFonts w:ascii="Arial" w:hAnsi="Arial" w:cs="Arial"/>
          <w:sz w:val="22"/>
          <w:szCs w:val="22"/>
        </w:rPr>
        <w:t xml:space="preserve"> </w:t>
      </w:r>
      <w:r w:rsidR="002C4482">
        <w:rPr>
          <w:rFonts w:ascii="Arial" w:hAnsi="Arial" w:cs="Arial"/>
          <w:sz w:val="22"/>
          <w:szCs w:val="22"/>
        </w:rPr>
        <w:t xml:space="preserve">Rheumatoid arthritis is a debilitating systemic autoimmune disease targeting the synovium, but affecting numerous organ systems. </w:t>
      </w:r>
      <w:r w:rsidR="006F63C1">
        <w:rPr>
          <w:rFonts w:ascii="Arial" w:hAnsi="Arial" w:cs="Arial"/>
          <w:sz w:val="22"/>
          <w:szCs w:val="22"/>
        </w:rPr>
        <w:t xml:space="preserve">There is evidence that rheumatoid arthritis may be triggered in susceptibility individuals by exposure to one or more pathogens. </w:t>
      </w:r>
      <w:r w:rsidR="001C347F">
        <w:rPr>
          <w:rFonts w:ascii="Arial" w:hAnsi="Arial" w:cs="Arial"/>
          <w:sz w:val="22"/>
          <w:szCs w:val="22"/>
        </w:rPr>
        <w:t>To identify individuals with a diagnosis of rheumatoid arthritis within the PMRP, we selected patients satisfying all of the following criteria: (</w:t>
      </w:r>
      <w:proofErr w:type="spellStart"/>
      <w:r w:rsidR="001C347F">
        <w:rPr>
          <w:rFonts w:ascii="Arial" w:hAnsi="Arial" w:cs="Arial"/>
          <w:sz w:val="22"/>
          <w:szCs w:val="22"/>
        </w:rPr>
        <w:t>i</w:t>
      </w:r>
      <w:proofErr w:type="spellEnd"/>
      <w:r w:rsidR="001C347F">
        <w:rPr>
          <w:rFonts w:ascii="Arial" w:hAnsi="Arial" w:cs="Arial"/>
          <w:sz w:val="22"/>
          <w:szCs w:val="22"/>
        </w:rPr>
        <w:t xml:space="preserve">) three or more instances of ICD9 714.0 for rheumatoid arthritis, (ii) a positive rheumatoid factor or anti-CCP antibody test, and (iii) having received at least one prescription of methotrexate and/or anti-TNF medication. </w:t>
      </w:r>
      <w:r w:rsidR="00612C2B">
        <w:rPr>
          <w:rFonts w:ascii="Arial" w:hAnsi="Arial" w:cs="Arial"/>
          <w:sz w:val="22"/>
          <w:szCs w:val="22"/>
        </w:rPr>
        <w:t>Manual spot-checking of the medical records of the selected individuals validated the approach. In addition,</w:t>
      </w:r>
      <w:r w:rsidR="00C2506F">
        <w:rPr>
          <w:rFonts w:ascii="Arial" w:hAnsi="Arial" w:cs="Arial"/>
          <w:sz w:val="22"/>
          <w:szCs w:val="22"/>
        </w:rPr>
        <w:t xml:space="preserve"> we extracted exome genotype data from these individuals and compared against controls.</w:t>
      </w:r>
      <w:r w:rsidR="00612C2B">
        <w:rPr>
          <w:rFonts w:ascii="Arial" w:hAnsi="Arial" w:cs="Arial"/>
          <w:sz w:val="22"/>
          <w:szCs w:val="22"/>
        </w:rPr>
        <w:t xml:space="preserve"> </w:t>
      </w:r>
      <w:r w:rsidR="00C2506F">
        <w:rPr>
          <w:rFonts w:ascii="Arial" w:hAnsi="Arial" w:cs="Arial"/>
          <w:sz w:val="22"/>
          <w:szCs w:val="22"/>
        </w:rPr>
        <w:t xml:space="preserve">A gene-based test was applied to these genetic data to test for compound heterozygosity effects as part of a related pilot study. The positive </w:t>
      </w:r>
      <w:r w:rsidR="005B65AF">
        <w:rPr>
          <w:rFonts w:ascii="Arial" w:hAnsi="Arial" w:cs="Arial"/>
          <w:sz w:val="22"/>
          <w:szCs w:val="22"/>
        </w:rPr>
        <w:t>control</w:t>
      </w:r>
      <w:r w:rsidR="00C2506F">
        <w:rPr>
          <w:rFonts w:ascii="Arial" w:hAnsi="Arial" w:cs="Arial"/>
          <w:sz w:val="22"/>
          <w:szCs w:val="22"/>
        </w:rPr>
        <w:t xml:space="preserve"> </w:t>
      </w:r>
      <w:r w:rsidR="00C2506F" w:rsidRPr="00C2506F">
        <w:rPr>
          <w:rFonts w:ascii="Arial" w:hAnsi="Arial" w:cs="Arial"/>
          <w:i/>
          <w:sz w:val="22"/>
          <w:szCs w:val="22"/>
        </w:rPr>
        <w:t xml:space="preserve">HLA-DRB1 </w:t>
      </w:r>
      <w:r w:rsidR="005B65AF">
        <w:rPr>
          <w:rFonts w:ascii="Arial" w:hAnsi="Arial" w:cs="Arial"/>
          <w:sz w:val="22"/>
          <w:szCs w:val="22"/>
        </w:rPr>
        <w:t>was clearly significant, following correction for multiple testing</w:t>
      </w:r>
      <w:r w:rsidR="006434B0">
        <w:rPr>
          <w:rFonts w:ascii="Arial" w:hAnsi="Arial" w:cs="Arial"/>
          <w:sz w:val="22"/>
          <w:szCs w:val="22"/>
        </w:rPr>
        <w:t xml:space="preserve">. </w:t>
      </w:r>
      <w:r w:rsidR="005C2761">
        <w:rPr>
          <w:rFonts w:ascii="Arial" w:hAnsi="Arial" w:cs="Arial"/>
          <w:sz w:val="22"/>
          <w:szCs w:val="22"/>
        </w:rPr>
        <w:t xml:space="preserve">Controls for rheumatoid arthritis will be composed of PMRP individuals without any instances of ICD9 codes for systemic inflammatory diseases, </w:t>
      </w:r>
      <w:proofErr w:type="spellStart"/>
      <w:r w:rsidR="005C2761">
        <w:rPr>
          <w:rFonts w:ascii="Arial" w:hAnsi="Arial" w:cs="Arial"/>
          <w:sz w:val="22"/>
          <w:szCs w:val="22"/>
        </w:rPr>
        <w:t>arthropathies</w:t>
      </w:r>
      <w:proofErr w:type="spellEnd"/>
      <w:r w:rsidR="005C2761">
        <w:rPr>
          <w:rFonts w:ascii="Arial" w:hAnsi="Arial" w:cs="Arial"/>
          <w:sz w:val="22"/>
          <w:szCs w:val="22"/>
        </w:rPr>
        <w:t>,</w:t>
      </w:r>
      <w:r w:rsidR="00EC00A3">
        <w:rPr>
          <w:rFonts w:ascii="Arial" w:hAnsi="Arial" w:cs="Arial"/>
          <w:sz w:val="22"/>
          <w:szCs w:val="22"/>
        </w:rPr>
        <w:t xml:space="preserve"> and similar conditions.</w:t>
      </w:r>
      <w:r w:rsidR="005C2761">
        <w:rPr>
          <w:rFonts w:ascii="Arial" w:hAnsi="Arial" w:cs="Arial"/>
          <w:sz w:val="22"/>
          <w:szCs w:val="22"/>
        </w:rPr>
        <w:t xml:space="preserve"> </w:t>
      </w:r>
      <w:r w:rsidR="00252653">
        <w:rPr>
          <w:rFonts w:ascii="Arial" w:hAnsi="Arial" w:cs="Arial"/>
          <w:sz w:val="22"/>
          <w:szCs w:val="22"/>
        </w:rPr>
        <w:t xml:space="preserve">We expect to use </w:t>
      </w:r>
      <w:r w:rsidR="0025006D">
        <w:rPr>
          <w:rFonts w:ascii="Arial" w:hAnsi="Arial" w:cs="Arial"/>
          <w:sz w:val="22"/>
          <w:szCs w:val="22"/>
        </w:rPr>
        <w:t>194</w:t>
      </w:r>
      <w:r w:rsidR="003A56BC">
        <w:rPr>
          <w:rFonts w:ascii="Arial" w:hAnsi="Arial" w:cs="Arial"/>
          <w:sz w:val="22"/>
          <w:szCs w:val="22"/>
        </w:rPr>
        <w:t xml:space="preserve"> RA cases and </w:t>
      </w:r>
      <w:r w:rsidR="0025006D">
        <w:rPr>
          <w:rFonts w:ascii="Arial" w:hAnsi="Arial" w:cs="Arial"/>
          <w:sz w:val="22"/>
          <w:szCs w:val="22"/>
        </w:rPr>
        <w:t xml:space="preserve">400 </w:t>
      </w:r>
      <w:r w:rsidR="003A56BC">
        <w:rPr>
          <w:rFonts w:ascii="Arial" w:hAnsi="Arial" w:cs="Arial"/>
          <w:sz w:val="22"/>
          <w:szCs w:val="22"/>
        </w:rPr>
        <w:t xml:space="preserve">controls, to be split evenly into a </w:t>
      </w:r>
      <w:r w:rsidR="0025006D">
        <w:rPr>
          <w:rFonts w:ascii="Arial" w:hAnsi="Arial" w:cs="Arial"/>
          <w:sz w:val="22"/>
          <w:szCs w:val="22"/>
        </w:rPr>
        <w:t xml:space="preserve">97/200 training set and 97/200 test set (to be used as verification of the top performing classifier, </w:t>
      </w:r>
      <w:r w:rsidR="003A56BC">
        <w:rPr>
          <w:rFonts w:ascii="Arial" w:hAnsi="Arial" w:cs="Arial"/>
          <w:sz w:val="22"/>
          <w:szCs w:val="22"/>
        </w:rPr>
        <w:t xml:space="preserve">SA3).  </w:t>
      </w:r>
    </w:p>
    <w:p w:rsidR="005C2761" w:rsidRDefault="005C2761" w:rsidP="002A4FD6">
      <w:pPr>
        <w:spacing w:line="120" w:lineRule="auto"/>
        <w:jc w:val="both"/>
        <w:rPr>
          <w:rFonts w:ascii="Arial" w:hAnsi="Arial" w:cs="Arial"/>
          <w:sz w:val="22"/>
          <w:szCs w:val="22"/>
        </w:rPr>
      </w:pPr>
    </w:p>
    <w:p w:rsidR="004876C6" w:rsidRPr="00895169" w:rsidRDefault="000F384E" w:rsidP="00DB5AE2">
      <w:pPr>
        <w:jc w:val="both"/>
        <w:rPr>
          <w:rFonts w:ascii="Arial" w:hAnsi="Arial" w:cs="Arial"/>
          <w:b/>
          <w:sz w:val="22"/>
          <w:szCs w:val="22"/>
        </w:rPr>
      </w:pPr>
      <w:proofErr w:type="gramStart"/>
      <w:r>
        <w:rPr>
          <w:rFonts w:ascii="Arial" w:hAnsi="Arial" w:cs="Arial"/>
          <w:b/>
          <w:sz w:val="22"/>
          <w:szCs w:val="22"/>
        </w:rPr>
        <w:t>Systemic lupus erythematosus</w:t>
      </w:r>
      <w:r w:rsidR="00895169">
        <w:rPr>
          <w:rFonts w:ascii="Arial" w:hAnsi="Arial" w:cs="Arial"/>
          <w:b/>
          <w:sz w:val="22"/>
          <w:szCs w:val="22"/>
        </w:rPr>
        <w:t>.</w:t>
      </w:r>
      <w:proofErr w:type="gramEnd"/>
      <w:r w:rsidR="00895169">
        <w:rPr>
          <w:rFonts w:ascii="Arial" w:hAnsi="Arial" w:cs="Arial"/>
          <w:b/>
          <w:sz w:val="22"/>
          <w:szCs w:val="22"/>
        </w:rPr>
        <w:t xml:space="preserve"> </w:t>
      </w:r>
      <w:r w:rsidR="005C2EC6">
        <w:rPr>
          <w:rFonts w:ascii="Arial" w:hAnsi="Arial" w:cs="Arial"/>
          <w:sz w:val="22"/>
          <w:szCs w:val="22"/>
        </w:rPr>
        <w:t>Multiple instances of the 710.0</w:t>
      </w:r>
      <w:r w:rsidR="003D1CB5">
        <w:rPr>
          <w:rFonts w:ascii="Arial" w:hAnsi="Arial" w:cs="Arial"/>
          <w:sz w:val="22"/>
          <w:szCs w:val="22"/>
        </w:rPr>
        <w:t xml:space="preserve"> code</w:t>
      </w:r>
      <w:r w:rsidR="00DB5AE2">
        <w:rPr>
          <w:rFonts w:ascii="Arial" w:hAnsi="Arial" w:cs="Arial"/>
          <w:sz w:val="22"/>
          <w:szCs w:val="22"/>
        </w:rPr>
        <w:t xml:space="preserve"> will be used in conjunction with a positive </w:t>
      </w:r>
      <w:r w:rsidR="003D1CB5">
        <w:rPr>
          <w:rFonts w:ascii="Arial" w:hAnsi="Arial" w:cs="Arial"/>
          <w:sz w:val="22"/>
          <w:szCs w:val="22"/>
        </w:rPr>
        <w:t xml:space="preserve">lupus </w:t>
      </w:r>
      <w:proofErr w:type="gramStart"/>
      <w:r w:rsidR="003D1CB5">
        <w:rPr>
          <w:rFonts w:ascii="Arial" w:hAnsi="Arial" w:cs="Arial"/>
          <w:sz w:val="22"/>
          <w:szCs w:val="22"/>
        </w:rPr>
        <w:t>anticoagulant,</w:t>
      </w:r>
      <w:proofErr w:type="gramEnd"/>
      <w:r w:rsidR="003D1CB5">
        <w:rPr>
          <w:rFonts w:ascii="Arial" w:hAnsi="Arial" w:cs="Arial"/>
          <w:sz w:val="22"/>
          <w:szCs w:val="22"/>
        </w:rPr>
        <w:t xml:space="preserve"> ACA, anti-ENA, or ANA test results will define cases</w:t>
      </w:r>
      <w:r w:rsidR="00895169">
        <w:rPr>
          <w:rFonts w:ascii="Arial" w:hAnsi="Arial" w:cs="Arial"/>
          <w:sz w:val="22"/>
          <w:szCs w:val="22"/>
        </w:rPr>
        <w:t>.</w:t>
      </w:r>
      <w:r w:rsidR="003D1CB5">
        <w:rPr>
          <w:rFonts w:ascii="Arial" w:hAnsi="Arial" w:cs="Arial"/>
          <w:sz w:val="22"/>
          <w:szCs w:val="22"/>
        </w:rPr>
        <w:t xml:space="preserve"> We will use </w:t>
      </w:r>
      <w:r w:rsidR="003A56BC">
        <w:rPr>
          <w:rFonts w:ascii="Arial" w:hAnsi="Arial" w:cs="Arial"/>
          <w:sz w:val="22"/>
          <w:szCs w:val="22"/>
        </w:rPr>
        <w:t>con</w:t>
      </w:r>
      <w:r w:rsidR="003D1CB5">
        <w:rPr>
          <w:rFonts w:ascii="Arial" w:hAnsi="Arial" w:cs="Arial"/>
          <w:sz w:val="22"/>
          <w:szCs w:val="22"/>
        </w:rPr>
        <w:t>trols matched on age and sex</w:t>
      </w:r>
      <w:r w:rsidR="00252653">
        <w:rPr>
          <w:rFonts w:ascii="Arial" w:hAnsi="Arial" w:cs="Arial"/>
          <w:sz w:val="22"/>
          <w:szCs w:val="22"/>
        </w:rPr>
        <w:t xml:space="preserve"> and without any autoimmune disease diagnoses or chronic inflammatory diseases</w:t>
      </w:r>
      <w:r w:rsidR="003D1CB5">
        <w:rPr>
          <w:rFonts w:ascii="Arial" w:hAnsi="Arial" w:cs="Arial"/>
          <w:sz w:val="22"/>
          <w:szCs w:val="22"/>
        </w:rPr>
        <w:t>.</w:t>
      </w:r>
      <w:r w:rsidR="00252653">
        <w:rPr>
          <w:rFonts w:ascii="Arial" w:hAnsi="Arial" w:cs="Arial"/>
          <w:sz w:val="22"/>
          <w:szCs w:val="22"/>
        </w:rPr>
        <w:t xml:space="preserve"> We will select twice the number of cases as controls.</w:t>
      </w:r>
    </w:p>
    <w:p w:rsidR="0073027D" w:rsidRDefault="0073027D" w:rsidP="00165849">
      <w:pPr>
        <w:spacing w:line="72" w:lineRule="auto"/>
        <w:jc w:val="both"/>
        <w:rPr>
          <w:rFonts w:ascii="Arial" w:hAnsi="Arial" w:cs="Arial"/>
          <w:sz w:val="22"/>
          <w:szCs w:val="22"/>
        </w:rPr>
      </w:pPr>
    </w:p>
    <w:p w:rsidR="003F13F9" w:rsidRPr="00C21DCB" w:rsidRDefault="0073027D" w:rsidP="00125A6E">
      <w:pPr>
        <w:jc w:val="both"/>
        <w:rPr>
          <w:rFonts w:ascii="Arial" w:hAnsi="Arial" w:cs="Arial"/>
          <w:sz w:val="22"/>
          <w:szCs w:val="22"/>
        </w:rPr>
      </w:pPr>
      <w:proofErr w:type="gramStart"/>
      <w:r>
        <w:rPr>
          <w:rFonts w:ascii="Arial" w:hAnsi="Arial" w:cs="Arial"/>
          <w:b/>
          <w:sz w:val="22"/>
          <w:szCs w:val="22"/>
        </w:rPr>
        <w:t>M</w:t>
      </w:r>
      <w:r w:rsidR="003F13F9" w:rsidRPr="003F13F9">
        <w:rPr>
          <w:rFonts w:ascii="Arial" w:hAnsi="Arial" w:cs="Arial"/>
          <w:b/>
          <w:sz w:val="22"/>
          <w:szCs w:val="22"/>
        </w:rPr>
        <w:t>ultiple sclerosis</w:t>
      </w:r>
      <w:r w:rsidR="00C21DCB">
        <w:rPr>
          <w:rFonts w:ascii="Arial" w:hAnsi="Arial" w:cs="Arial"/>
          <w:sz w:val="22"/>
          <w:szCs w:val="22"/>
        </w:rPr>
        <w:t>.</w:t>
      </w:r>
      <w:proofErr w:type="gramEnd"/>
      <w:r w:rsidR="00C21DCB">
        <w:rPr>
          <w:rFonts w:ascii="Arial" w:hAnsi="Arial" w:cs="Arial"/>
          <w:sz w:val="22"/>
          <w:szCs w:val="22"/>
        </w:rPr>
        <w:t xml:space="preserve"> </w:t>
      </w:r>
      <w:r w:rsidR="00ED71BE">
        <w:rPr>
          <w:rFonts w:ascii="Arial" w:hAnsi="Arial" w:cs="Arial"/>
          <w:sz w:val="22"/>
          <w:szCs w:val="22"/>
        </w:rPr>
        <w:t xml:space="preserve">Multiple sclerosis is also a systemic autoimmune disease characterized by demyelination of the central nervous system. Motility impairment, vision loss, pain, </w:t>
      </w:r>
      <w:r w:rsidR="006F63C1">
        <w:rPr>
          <w:rFonts w:ascii="Arial" w:hAnsi="Arial" w:cs="Arial"/>
          <w:sz w:val="22"/>
          <w:szCs w:val="22"/>
        </w:rPr>
        <w:t>muscle weakness and fatigue are all frequent</w:t>
      </w:r>
      <w:r w:rsidR="00ED71BE">
        <w:rPr>
          <w:rFonts w:ascii="Arial" w:hAnsi="Arial" w:cs="Arial"/>
          <w:sz w:val="22"/>
          <w:szCs w:val="22"/>
        </w:rPr>
        <w:t xml:space="preserve"> symptoms of the disease. </w:t>
      </w:r>
      <w:r w:rsidR="006F63C1">
        <w:rPr>
          <w:rFonts w:ascii="Arial" w:hAnsi="Arial" w:cs="Arial"/>
          <w:sz w:val="22"/>
          <w:szCs w:val="22"/>
        </w:rPr>
        <w:t xml:space="preserve">Within the Marshfield Clinic system, we have found excellent accuracy of the ICD9 codes </w:t>
      </w:r>
      <w:r w:rsidR="00895169">
        <w:rPr>
          <w:rFonts w:ascii="Arial" w:hAnsi="Arial" w:cs="Arial"/>
          <w:sz w:val="22"/>
          <w:szCs w:val="22"/>
        </w:rPr>
        <w:t xml:space="preserve">and imaging data </w:t>
      </w:r>
      <w:r w:rsidR="006F63C1">
        <w:rPr>
          <w:rFonts w:ascii="Arial" w:hAnsi="Arial" w:cs="Arial"/>
          <w:sz w:val="22"/>
          <w:szCs w:val="22"/>
        </w:rPr>
        <w:t xml:space="preserve">for multiple sclerosis. Indeed, of a sample of 20 PMRP individuals determined to have multiple sclerosis from their ICD9 code information, all 20 were verified by a Marshfield Clinic neurologist to have relapsing-remitting multiple sclerosis from chart review. </w:t>
      </w:r>
      <w:r w:rsidR="003A56BC">
        <w:rPr>
          <w:rFonts w:ascii="Arial" w:hAnsi="Arial" w:cs="Arial"/>
          <w:sz w:val="22"/>
          <w:szCs w:val="22"/>
        </w:rPr>
        <w:t>We will use 100 controls matched on age and sex for multiple sclerosis.</w:t>
      </w:r>
      <w:r w:rsidR="006F63C1">
        <w:rPr>
          <w:rFonts w:ascii="Arial" w:hAnsi="Arial" w:cs="Arial"/>
          <w:sz w:val="22"/>
          <w:szCs w:val="22"/>
        </w:rPr>
        <w:t xml:space="preserve">  </w:t>
      </w:r>
    </w:p>
    <w:p w:rsidR="0073027D" w:rsidRDefault="0073027D" w:rsidP="00165849">
      <w:pPr>
        <w:spacing w:line="72" w:lineRule="auto"/>
        <w:jc w:val="both"/>
        <w:rPr>
          <w:rFonts w:ascii="Arial" w:hAnsi="Arial" w:cs="Arial"/>
          <w:sz w:val="22"/>
          <w:szCs w:val="22"/>
        </w:rPr>
      </w:pPr>
    </w:p>
    <w:p w:rsidR="003F13F9" w:rsidRPr="003F13F9" w:rsidRDefault="00131C1A" w:rsidP="00125A6E">
      <w:pPr>
        <w:jc w:val="both"/>
        <w:rPr>
          <w:rFonts w:ascii="Arial" w:hAnsi="Arial" w:cs="Arial"/>
          <w:b/>
          <w:sz w:val="22"/>
          <w:szCs w:val="22"/>
        </w:rPr>
      </w:pPr>
      <w:proofErr w:type="gramStart"/>
      <w:r>
        <w:rPr>
          <w:rFonts w:ascii="Arial" w:hAnsi="Arial" w:cs="Arial"/>
          <w:b/>
          <w:sz w:val="22"/>
          <w:szCs w:val="22"/>
        </w:rPr>
        <w:t>M</w:t>
      </w:r>
      <w:r w:rsidR="003F13F9" w:rsidRPr="003F13F9">
        <w:rPr>
          <w:rFonts w:ascii="Arial" w:hAnsi="Arial" w:cs="Arial"/>
          <w:b/>
          <w:sz w:val="22"/>
          <w:szCs w:val="22"/>
        </w:rPr>
        <w:t>yocardial infarction</w:t>
      </w:r>
      <w:r w:rsidR="00895169">
        <w:rPr>
          <w:rFonts w:ascii="Arial" w:hAnsi="Arial" w:cs="Arial"/>
          <w:b/>
          <w:sz w:val="22"/>
          <w:szCs w:val="22"/>
        </w:rPr>
        <w:t>.</w:t>
      </w:r>
      <w:proofErr w:type="gramEnd"/>
      <w:r w:rsidR="00895169">
        <w:rPr>
          <w:rFonts w:ascii="Arial" w:hAnsi="Arial" w:cs="Arial"/>
          <w:b/>
          <w:sz w:val="22"/>
          <w:szCs w:val="22"/>
        </w:rPr>
        <w:t xml:space="preserve"> </w:t>
      </w:r>
      <w:r w:rsidR="000F442A" w:rsidRPr="000F442A">
        <w:rPr>
          <w:rFonts w:ascii="Arial" w:hAnsi="Arial" w:cs="Arial"/>
          <w:sz w:val="22"/>
          <w:szCs w:val="22"/>
        </w:rPr>
        <w:t xml:space="preserve">Any </w:t>
      </w:r>
      <w:r w:rsidR="000F442A">
        <w:rPr>
          <w:rFonts w:ascii="Arial" w:hAnsi="Arial" w:cs="Arial"/>
          <w:sz w:val="22"/>
          <w:szCs w:val="22"/>
        </w:rPr>
        <w:t xml:space="preserve">410 ICD9 </w:t>
      </w:r>
      <w:proofErr w:type="gramStart"/>
      <w:r w:rsidR="000F442A">
        <w:rPr>
          <w:rFonts w:ascii="Arial" w:hAnsi="Arial" w:cs="Arial"/>
          <w:sz w:val="22"/>
          <w:szCs w:val="22"/>
        </w:rPr>
        <w:t>code</w:t>
      </w:r>
      <w:proofErr w:type="gramEnd"/>
      <w:r w:rsidR="000F442A">
        <w:rPr>
          <w:rFonts w:ascii="Arial" w:hAnsi="Arial" w:cs="Arial"/>
          <w:sz w:val="22"/>
          <w:szCs w:val="22"/>
        </w:rPr>
        <w:t xml:space="preserve"> (410, 410.x, 410.xx) coupled with a high-sensitivity cardiac troponin T (</w:t>
      </w:r>
      <w:proofErr w:type="spellStart"/>
      <w:r w:rsidR="000F442A">
        <w:rPr>
          <w:rFonts w:ascii="Arial" w:hAnsi="Arial" w:cs="Arial"/>
          <w:sz w:val="22"/>
          <w:szCs w:val="22"/>
        </w:rPr>
        <w:t>hs-cTnT</w:t>
      </w:r>
      <w:proofErr w:type="spellEnd"/>
      <w:r w:rsidR="000F442A">
        <w:rPr>
          <w:rFonts w:ascii="Arial" w:hAnsi="Arial" w:cs="Arial"/>
          <w:sz w:val="22"/>
          <w:szCs w:val="22"/>
        </w:rPr>
        <w:t>) test greater than 51 ng/L within 1 week of the ICD9 code. Earlier age of onset will be prioritized for inclusion in the case group. The top priority group for inclusion will be males ages &lt;50 and females &lt;55.</w:t>
      </w:r>
      <w:r w:rsidR="003A56BC">
        <w:rPr>
          <w:rFonts w:ascii="Arial" w:hAnsi="Arial" w:cs="Arial"/>
          <w:sz w:val="22"/>
          <w:szCs w:val="22"/>
        </w:rPr>
        <w:t xml:space="preserve"> </w:t>
      </w:r>
      <w:proofErr w:type="gramStart"/>
      <w:r w:rsidR="003A56BC">
        <w:rPr>
          <w:rFonts w:ascii="Arial" w:hAnsi="Arial" w:cs="Arial"/>
          <w:sz w:val="22"/>
          <w:szCs w:val="22"/>
        </w:rPr>
        <w:t>Between 400 and 500 controls, matched on age and sex, will be used for myocardial infarction.</w:t>
      </w:r>
      <w:proofErr w:type="gramEnd"/>
    </w:p>
    <w:p w:rsidR="0073027D" w:rsidRDefault="0073027D" w:rsidP="00165849">
      <w:pPr>
        <w:spacing w:line="72" w:lineRule="auto"/>
        <w:jc w:val="both"/>
        <w:rPr>
          <w:rFonts w:ascii="Arial" w:hAnsi="Arial" w:cs="Arial"/>
          <w:sz w:val="22"/>
          <w:szCs w:val="22"/>
        </w:rPr>
      </w:pPr>
    </w:p>
    <w:p w:rsidR="0073027D" w:rsidRPr="00F6165A" w:rsidRDefault="004D230C" w:rsidP="00125A6E">
      <w:pPr>
        <w:jc w:val="both"/>
        <w:rPr>
          <w:rFonts w:ascii="Arial" w:hAnsi="Arial" w:cs="Arial"/>
          <w:b/>
          <w:sz w:val="22"/>
          <w:szCs w:val="22"/>
        </w:rPr>
      </w:pPr>
      <w:proofErr w:type="gramStart"/>
      <w:r>
        <w:rPr>
          <w:rFonts w:ascii="Arial" w:hAnsi="Arial" w:cs="Arial"/>
          <w:b/>
          <w:sz w:val="22"/>
          <w:szCs w:val="22"/>
        </w:rPr>
        <w:t>Chronic Lymphocytic Leukemia</w:t>
      </w:r>
      <w:r w:rsidR="00F6165A">
        <w:rPr>
          <w:rFonts w:ascii="Arial" w:hAnsi="Arial" w:cs="Arial"/>
          <w:b/>
          <w:sz w:val="22"/>
          <w:szCs w:val="22"/>
        </w:rPr>
        <w:t>.</w:t>
      </w:r>
      <w:proofErr w:type="gramEnd"/>
      <w:r w:rsidR="00F6165A">
        <w:rPr>
          <w:rFonts w:ascii="Arial" w:hAnsi="Arial" w:cs="Arial"/>
          <w:b/>
          <w:sz w:val="22"/>
          <w:szCs w:val="22"/>
        </w:rPr>
        <w:t xml:space="preserve"> </w:t>
      </w:r>
      <w:r w:rsidR="007B101E">
        <w:rPr>
          <w:rFonts w:ascii="Arial" w:hAnsi="Arial" w:cs="Arial"/>
          <w:sz w:val="22"/>
          <w:szCs w:val="22"/>
        </w:rPr>
        <w:t>CLL cases</w:t>
      </w:r>
      <w:r w:rsidR="00252653">
        <w:rPr>
          <w:rFonts w:ascii="Arial" w:hAnsi="Arial" w:cs="Arial"/>
          <w:sz w:val="22"/>
          <w:szCs w:val="22"/>
        </w:rPr>
        <w:t xml:space="preserve"> are defined as PMRP individuals with two or more instances of the 204.1 ICD9 code and prescriptions for relevant chemotherapies/immunotherapies (e.g., rituximab). </w:t>
      </w:r>
      <w:r w:rsidR="00252653">
        <w:rPr>
          <w:rFonts w:ascii="Arial" w:hAnsi="Arial" w:cs="Arial"/>
          <w:sz w:val="22"/>
          <w:szCs w:val="22"/>
        </w:rPr>
        <w:lastRenderedPageBreak/>
        <w:t xml:space="preserve">Controls will be matched on age and sex and not have any neoplasm diagnoses or systemic inflammatory diseases. We will select twice the number of cases as controls.   </w:t>
      </w:r>
      <w:r w:rsidR="007B101E">
        <w:rPr>
          <w:rFonts w:ascii="Arial" w:hAnsi="Arial" w:cs="Arial"/>
          <w:sz w:val="22"/>
          <w:szCs w:val="22"/>
        </w:rPr>
        <w:t xml:space="preserve"> </w:t>
      </w:r>
    </w:p>
    <w:p w:rsidR="003F13F9" w:rsidRDefault="003F13F9" w:rsidP="00165849">
      <w:pPr>
        <w:spacing w:line="72" w:lineRule="auto"/>
        <w:jc w:val="both"/>
        <w:rPr>
          <w:rFonts w:ascii="Arial" w:hAnsi="Arial" w:cs="Arial"/>
          <w:sz w:val="22"/>
          <w:szCs w:val="22"/>
        </w:rPr>
      </w:pPr>
    </w:p>
    <w:p w:rsidR="003F13F9" w:rsidRPr="000F442A" w:rsidRDefault="003F13F9" w:rsidP="00125A6E">
      <w:pPr>
        <w:jc w:val="both"/>
        <w:rPr>
          <w:rFonts w:ascii="Arial" w:hAnsi="Arial" w:cs="Arial"/>
          <w:sz w:val="22"/>
          <w:szCs w:val="22"/>
        </w:rPr>
      </w:pPr>
      <w:proofErr w:type="gramStart"/>
      <w:r w:rsidRPr="003F13F9">
        <w:rPr>
          <w:rFonts w:ascii="Arial" w:hAnsi="Arial" w:cs="Arial"/>
          <w:b/>
          <w:sz w:val="22"/>
          <w:szCs w:val="22"/>
        </w:rPr>
        <w:t>Obsessive compulsive disorder</w:t>
      </w:r>
      <w:r w:rsidR="000F442A">
        <w:rPr>
          <w:rFonts w:ascii="Arial" w:hAnsi="Arial" w:cs="Arial"/>
          <w:b/>
          <w:sz w:val="22"/>
          <w:szCs w:val="22"/>
        </w:rPr>
        <w:t>.</w:t>
      </w:r>
      <w:proofErr w:type="gramEnd"/>
      <w:r w:rsidR="000F442A">
        <w:rPr>
          <w:rFonts w:ascii="Arial" w:hAnsi="Arial" w:cs="Arial"/>
          <w:sz w:val="22"/>
          <w:szCs w:val="22"/>
        </w:rPr>
        <w:t xml:space="preserve"> Two or more instances of the 300.3 ICD9 code will serve at the criterion for case inclusion.</w:t>
      </w:r>
      <w:r w:rsidR="00C729B3">
        <w:rPr>
          <w:rFonts w:ascii="Arial" w:hAnsi="Arial" w:cs="Arial"/>
          <w:sz w:val="22"/>
          <w:szCs w:val="22"/>
        </w:rPr>
        <w:t xml:space="preserve"> We will use 200 age and sex-matched controls</w:t>
      </w:r>
      <w:r w:rsidR="0025006D">
        <w:rPr>
          <w:rFonts w:ascii="Arial" w:hAnsi="Arial" w:cs="Arial"/>
          <w:sz w:val="22"/>
          <w:szCs w:val="22"/>
        </w:rPr>
        <w:t xml:space="preserve"> without any psychiatric disease diagnosis</w:t>
      </w:r>
      <w:r w:rsidR="00C729B3">
        <w:rPr>
          <w:rFonts w:ascii="Arial" w:hAnsi="Arial" w:cs="Arial"/>
          <w:sz w:val="22"/>
          <w:szCs w:val="22"/>
        </w:rPr>
        <w:t>.</w:t>
      </w:r>
    </w:p>
    <w:p w:rsidR="0073027D" w:rsidRDefault="0073027D" w:rsidP="00165849">
      <w:pPr>
        <w:spacing w:line="72" w:lineRule="auto"/>
        <w:jc w:val="both"/>
        <w:rPr>
          <w:rFonts w:ascii="Arial" w:hAnsi="Arial" w:cs="Arial"/>
          <w:sz w:val="22"/>
          <w:szCs w:val="22"/>
        </w:rPr>
      </w:pPr>
    </w:p>
    <w:p w:rsidR="003F13F9" w:rsidRPr="00F6165A" w:rsidRDefault="00F6165A" w:rsidP="00125A6E">
      <w:pPr>
        <w:jc w:val="both"/>
        <w:rPr>
          <w:rFonts w:ascii="Arial" w:hAnsi="Arial" w:cs="Arial"/>
          <w:sz w:val="22"/>
          <w:szCs w:val="22"/>
        </w:rPr>
      </w:pPr>
      <w:proofErr w:type="gramStart"/>
      <w:r>
        <w:rPr>
          <w:rFonts w:ascii="Arial" w:hAnsi="Arial" w:cs="Arial"/>
          <w:b/>
          <w:sz w:val="22"/>
          <w:szCs w:val="22"/>
        </w:rPr>
        <w:t>Autoimmune thyroid disease.</w:t>
      </w:r>
      <w:proofErr w:type="gramEnd"/>
      <w:r>
        <w:rPr>
          <w:rFonts w:ascii="Arial" w:hAnsi="Arial" w:cs="Arial"/>
          <w:b/>
          <w:sz w:val="22"/>
          <w:szCs w:val="22"/>
        </w:rPr>
        <w:t xml:space="preserve"> </w:t>
      </w:r>
      <w:r>
        <w:rPr>
          <w:rFonts w:ascii="Arial" w:hAnsi="Arial" w:cs="Arial"/>
          <w:sz w:val="22"/>
          <w:szCs w:val="22"/>
        </w:rPr>
        <w:t>Multiple instances of the 245.2 or 242.0 ICD9 code coupled with abnormal TSH, anti-TPO, anti-</w:t>
      </w:r>
      <w:proofErr w:type="spellStart"/>
      <w:r>
        <w:rPr>
          <w:rFonts w:ascii="Arial" w:hAnsi="Arial" w:cs="Arial"/>
          <w:sz w:val="22"/>
          <w:szCs w:val="22"/>
        </w:rPr>
        <w:t>Tg</w:t>
      </w:r>
      <w:proofErr w:type="spellEnd"/>
      <w:r>
        <w:rPr>
          <w:rFonts w:ascii="Arial" w:hAnsi="Arial" w:cs="Arial"/>
          <w:sz w:val="22"/>
          <w:szCs w:val="22"/>
        </w:rPr>
        <w:t xml:space="preserve">, FT4 or TSI laboratory tests will serve as the criterion for cases.  </w:t>
      </w:r>
      <w:r w:rsidR="00C729B3">
        <w:rPr>
          <w:rFonts w:ascii="Arial" w:hAnsi="Arial" w:cs="Arial"/>
          <w:sz w:val="22"/>
          <w:szCs w:val="22"/>
        </w:rPr>
        <w:t>We will use 200 age and sex-matched controls</w:t>
      </w:r>
      <w:r w:rsidR="0025006D">
        <w:rPr>
          <w:rFonts w:ascii="Arial" w:hAnsi="Arial" w:cs="Arial"/>
          <w:sz w:val="22"/>
          <w:szCs w:val="22"/>
        </w:rPr>
        <w:t xml:space="preserve"> without any autoimmune diagnosis or systemic inflammatory disease diagnosis</w:t>
      </w:r>
      <w:r w:rsidR="00C729B3">
        <w:rPr>
          <w:rFonts w:ascii="Arial" w:hAnsi="Arial" w:cs="Arial"/>
          <w:sz w:val="22"/>
          <w:szCs w:val="22"/>
        </w:rPr>
        <w:t>.</w:t>
      </w:r>
    </w:p>
    <w:p w:rsidR="0073027D" w:rsidRDefault="0073027D" w:rsidP="00165849">
      <w:pPr>
        <w:spacing w:line="72" w:lineRule="auto"/>
        <w:jc w:val="both"/>
        <w:rPr>
          <w:rFonts w:ascii="Arial" w:hAnsi="Arial" w:cs="Arial"/>
          <w:sz w:val="22"/>
          <w:szCs w:val="22"/>
        </w:rPr>
      </w:pPr>
    </w:p>
    <w:p w:rsidR="003F13F9" w:rsidRPr="00F6165A" w:rsidRDefault="00F6165A" w:rsidP="00125A6E">
      <w:pPr>
        <w:jc w:val="both"/>
        <w:rPr>
          <w:rFonts w:ascii="Arial" w:hAnsi="Arial" w:cs="Arial"/>
          <w:sz w:val="22"/>
          <w:szCs w:val="22"/>
        </w:rPr>
      </w:pPr>
      <w:proofErr w:type="gramStart"/>
      <w:r>
        <w:rPr>
          <w:rFonts w:ascii="Arial" w:hAnsi="Arial" w:cs="Arial"/>
          <w:b/>
          <w:sz w:val="22"/>
          <w:szCs w:val="22"/>
        </w:rPr>
        <w:t xml:space="preserve">Axial </w:t>
      </w:r>
      <w:proofErr w:type="spellStart"/>
      <w:r>
        <w:rPr>
          <w:rFonts w:ascii="Arial" w:hAnsi="Arial" w:cs="Arial"/>
          <w:b/>
          <w:sz w:val="22"/>
          <w:szCs w:val="22"/>
        </w:rPr>
        <w:t>spondyloarthritis</w:t>
      </w:r>
      <w:proofErr w:type="spellEnd"/>
      <w:r>
        <w:rPr>
          <w:rFonts w:ascii="Arial" w:hAnsi="Arial" w:cs="Arial"/>
          <w:b/>
          <w:sz w:val="22"/>
          <w:szCs w:val="22"/>
        </w:rPr>
        <w:t>.</w:t>
      </w:r>
      <w:proofErr w:type="gramEnd"/>
      <w:r>
        <w:rPr>
          <w:rFonts w:ascii="Arial" w:hAnsi="Arial" w:cs="Arial"/>
          <w:sz w:val="22"/>
          <w:szCs w:val="22"/>
        </w:rPr>
        <w:t xml:space="preserve"> </w:t>
      </w:r>
      <w:r w:rsidR="00AF7A25">
        <w:rPr>
          <w:rFonts w:ascii="Arial" w:hAnsi="Arial" w:cs="Arial"/>
          <w:sz w:val="22"/>
          <w:szCs w:val="22"/>
        </w:rPr>
        <w:t>Cases will be defined as having the 720.2 ICD9 code or multiple instances of the 720.0 ICD9 code coupled with a positive HLA-B27 test and having received a prescription for anti-TNF medication or methotrexate.</w:t>
      </w:r>
      <w:r w:rsidR="0025006D">
        <w:rPr>
          <w:rFonts w:ascii="Arial" w:hAnsi="Arial" w:cs="Arial"/>
          <w:sz w:val="22"/>
          <w:szCs w:val="22"/>
        </w:rPr>
        <w:t xml:space="preserve"> We will use 10</w:t>
      </w:r>
      <w:r w:rsidR="00C729B3">
        <w:rPr>
          <w:rFonts w:ascii="Arial" w:hAnsi="Arial" w:cs="Arial"/>
          <w:sz w:val="22"/>
          <w:szCs w:val="22"/>
        </w:rPr>
        <w:t>0 age and sex-matched controls</w:t>
      </w:r>
      <w:r w:rsidR="0025006D">
        <w:rPr>
          <w:rFonts w:ascii="Arial" w:hAnsi="Arial" w:cs="Arial"/>
          <w:sz w:val="22"/>
          <w:szCs w:val="22"/>
        </w:rPr>
        <w:t>, without any systemic inflammatory disease diagnosis</w:t>
      </w:r>
      <w:r w:rsidR="00C729B3">
        <w:rPr>
          <w:rFonts w:ascii="Arial" w:hAnsi="Arial" w:cs="Arial"/>
          <w:sz w:val="22"/>
          <w:szCs w:val="22"/>
        </w:rPr>
        <w:t>.</w:t>
      </w:r>
    </w:p>
    <w:p w:rsidR="001C00BD" w:rsidRDefault="001C00BD" w:rsidP="00165849">
      <w:pPr>
        <w:spacing w:line="120" w:lineRule="auto"/>
        <w:jc w:val="both"/>
        <w:rPr>
          <w:rFonts w:ascii="Palatino Linotype" w:hAnsi="Palatino Linotype" w:cs="Arial"/>
          <w:b/>
          <w:sz w:val="22"/>
          <w:szCs w:val="22"/>
        </w:rPr>
      </w:pPr>
    </w:p>
    <w:p w:rsidR="00565E3C" w:rsidRDefault="001C00BD" w:rsidP="001C00BD">
      <w:pPr>
        <w:jc w:val="both"/>
        <w:rPr>
          <w:rFonts w:ascii="Arial" w:hAnsi="Arial" w:cs="Arial"/>
          <w:b/>
          <w:sz w:val="22"/>
          <w:szCs w:val="22"/>
        </w:rPr>
      </w:pPr>
      <w:r>
        <w:rPr>
          <w:rFonts w:ascii="Arial" w:hAnsi="Arial" w:cs="Arial"/>
          <w:b/>
          <w:sz w:val="22"/>
          <w:szCs w:val="22"/>
        </w:rPr>
        <w:t>Specific Aim 1</w:t>
      </w:r>
    </w:p>
    <w:p w:rsidR="001C00BD" w:rsidRPr="00B238EA" w:rsidRDefault="00565E3C" w:rsidP="00565E3C">
      <w:pPr>
        <w:spacing w:line="120" w:lineRule="auto"/>
        <w:jc w:val="both"/>
        <w:rPr>
          <w:rFonts w:ascii="Arial" w:hAnsi="Arial" w:cs="Arial"/>
          <w:b/>
          <w:sz w:val="22"/>
          <w:szCs w:val="22"/>
        </w:rPr>
      </w:pPr>
      <w:r>
        <w:rPr>
          <w:noProof/>
        </w:rPr>
        <mc:AlternateContent>
          <mc:Choice Requires="wps">
            <w:drawing>
              <wp:anchor distT="0" distB="0" distL="114300" distR="114300" simplePos="0" relativeHeight="251686912" behindDoc="0" locked="0" layoutInCell="1" allowOverlap="1" wp14:anchorId="2A3A76F6" wp14:editId="1FF27823">
                <wp:simplePos x="0" y="0"/>
                <wp:positionH relativeFrom="column">
                  <wp:posOffset>-47625</wp:posOffset>
                </wp:positionH>
                <wp:positionV relativeFrom="paragraph">
                  <wp:posOffset>26036</wp:posOffset>
                </wp:positionV>
                <wp:extent cx="6962775" cy="590550"/>
                <wp:effectExtent l="0" t="0" r="28575" b="19050"/>
                <wp:wrapNone/>
                <wp:docPr id="290" name="Rectangle 290"/>
                <wp:cNvGraphicFramePr/>
                <a:graphic xmlns:a="http://schemas.openxmlformats.org/drawingml/2006/main">
                  <a:graphicData uri="http://schemas.microsoft.com/office/word/2010/wordprocessingShape">
                    <wps:wsp>
                      <wps:cNvSpPr/>
                      <wps:spPr>
                        <a:xfrm>
                          <a:off x="0" y="0"/>
                          <a:ext cx="6962775" cy="590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0" o:spid="_x0000_s1026" style="position:absolute;margin-left:-3.75pt;margin-top:2.05pt;width:548.25pt;height:4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" filled="f" strokecolor="red" strokeweight="2pt"/>
            </w:pict>
          </mc:Fallback>
        </mc:AlternateContent>
      </w:r>
    </w:p>
    <w:p w:rsidR="001C00BD" w:rsidRDefault="00521575" w:rsidP="001C00BD">
      <w:pPr>
        <w:jc w:val="both"/>
        <w:rPr>
          <w:rFonts w:ascii="Arial" w:hAnsi="Arial" w:cs="Arial"/>
          <w:b/>
          <w:sz w:val="22"/>
          <w:szCs w:val="22"/>
        </w:rPr>
      </w:pPr>
      <w:r w:rsidRPr="009622B6">
        <w:rPr>
          <w:rFonts w:ascii="Arial" w:hAnsi="Arial" w:cs="Arial"/>
          <w:b/>
          <w:sz w:val="22"/>
          <w:szCs w:val="22"/>
        </w:rPr>
        <w:t xml:space="preserve">To systematically characterize </w:t>
      </w:r>
      <w:r>
        <w:rPr>
          <w:rFonts w:ascii="Arial" w:hAnsi="Arial" w:cs="Arial"/>
          <w:b/>
          <w:sz w:val="22"/>
          <w:szCs w:val="22"/>
        </w:rPr>
        <w:t>the levels of 48</w:t>
      </w:r>
      <w:r w:rsidRPr="009622B6">
        <w:rPr>
          <w:rFonts w:ascii="Arial" w:hAnsi="Arial" w:cs="Arial"/>
          <w:b/>
          <w:sz w:val="22"/>
          <w:szCs w:val="22"/>
        </w:rPr>
        <w:t xml:space="preserve"> key circulating inflammatory and metabolic proteins</w:t>
      </w:r>
      <w:r w:rsidR="005023D3">
        <w:rPr>
          <w:rFonts w:ascii="Arial" w:hAnsi="Arial" w:cs="Arial"/>
          <w:b/>
          <w:sz w:val="22"/>
          <w:szCs w:val="22"/>
        </w:rPr>
        <w:t xml:space="preserve"> and </w:t>
      </w:r>
      <w:r>
        <w:rPr>
          <w:rFonts w:ascii="Arial" w:hAnsi="Arial" w:cs="Arial"/>
          <w:b/>
          <w:sz w:val="22"/>
          <w:szCs w:val="22"/>
        </w:rPr>
        <w:t>exome variants</w:t>
      </w:r>
      <w:r w:rsidRPr="009622B6">
        <w:rPr>
          <w:rFonts w:ascii="Arial" w:hAnsi="Arial" w:cs="Arial"/>
          <w:b/>
          <w:sz w:val="22"/>
          <w:szCs w:val="22"/>
        </w:rPr>
        <w:t xml:space="preserve"> </w:t>
      </w:r>
      <w:r w:rsidR="00503039">
        <w:rPr>
          <w:rFonts w:ascii="Arial" w:hAnsi="Arial" w:cs="Arial"/>
          <w:b/>
          <w:sz w:val="22"/>
          <w:szCs w:val="22"/>
        </w:rPr>
        <w:t xml:space="preserve">in eight </w:t>
      </w:r>
      <w:r>
        <w:rPr>
          <w:rFonts w:ascii="Arial" w:hAnsi="Arial" w:cs="Arial"/>
          <w:b/>
          <w:sz w:val="22"/>
          <w:szCs w:val="22"/>
        </w:rPr>
        <w:t>common diseases and matched control groups.</w:t>
      </w:r>
      <w:r w:rsidR="005023D3">
        <w:rPr>
          <w:rFonts w:ascii="Arial" w:hAnsi="Arial" w:cs="Arial"/>
          <w:b/>
          <w:sz w:val="22"/>
          <w:szCs w:val="22"/>
        </w:rPr>
        <w:t xml:space="preserve"> Additionally screen antibodies to 800 autoantigens and pathogen epitopes in rheumatoid arthritis and systemic lupus erythematosus.  </w:t>
      </w:r>
    </w:p>
    <w:p w:rsidR="00521575" w:rsidRDefault="00521575" w:rsidP="00165849">
      <w:pPr>
        <w:spacing w:line="168" w:lineRule="auto"/>
        <w:jc w:val="both"/>
        <w:rPr>
          <w:rFonts w:ascii="Arial" w:hAnsi="Arial" w:cs="Arial"/>
          <w:sz w:val="22"/>
          <w:szCs w:val="22"/>
        </w:rPr>
      </w:pPr>
    </w:p>
    <w:p w:rsidR="001C00BD" w:rsidRPr="00B238EA" w:rsidRDefault="001C00BD" w:rsidP="001C00BD">
      <w:pPr>
        <w:jc w:val="both"/>
        <w:rPr>
          <w:rFonts w:ascii="Arial" w:hAnsi="Arial" w:cs="Arial"/>
          <w:sz w:val="22"/>
          <w:szCs w:val="22"/>
        </w:rPr>
      </w:pPr>
      <w:r>
        <w:rPr>
          <w:rFonts w:ascii="Arial" w:hAnsi="Arial" w:cs="Arial"/>
          <w:sz w:val="22"/>
          <w:szCs w:val="22"/>
        </w:rPr>
        <w:t xml:space="preserve">Our approach to SA1 will be to measure </w:t>
      </w:r>
      <w:r w:rsidR="00781BA5">
        <w:rPr>
          <w:rFonts w:ascii="Arial" w:hAnsi="Arial" w:cs="Arial"/>
          <w:sz w:val="22"/>
          <w:szCs w:val="22"/>
        </w:rPr>
        <w:t xml:space="preserve">(1) 42 </w:t>
      </w:r>
      <w:r w:rsidR="00924985">
        <w:rPr>
          <w:rFonts w:ascii="Arial" w:hAnsi="Arial" w:cs="Arial"/>
          <w:sz w:val="22"/>
          <w:szCs w:val="22"/>
        </w:rPr>
        <w:t>cytokines and chemokines on an Eve T</w:t>
      </w:r>
      <w:r w:rsidR="00781BA5">
        <w:rPr>
          <w:rFonts w:ascii="Arial" w:hAnsi="Arial" w:cs="Arial"/>
          <w:sz w:val="22"/>
          <w:szCs w:val="22"/>
        </w:rPr>
        <w:t>echnologies</w:t>
      </w:r>
      <w:r w:rsidR="00C92EA0">
        <w:rPr>
          <w:rFonts w:ascii="Arial" w:hAnsi="Arial" w:cs="Arial"/>
          <w:sz w:val="22"/>
          <w:szCs w:val="22"/>
        </w:rPr>
        <w:t xml:space="preserve"> (Alberta, Canada)</w:t>
      </w:r>
      <w:r w:rsidR="00781BA5">
        <w:rPr>
          <w:rFonts w:ascii="Arial" w:hAnsi="Arial" w:cs="Arial"/>
          <w:sz w:val="22"/>
          <w:szCs w:val="22"/>
        </w:rPr>
        <w:t xml:space="preserve"> </w:t>
      </w:r>
      <w:proofErr w:type="spellStart"/>
      <w:r w:rsidR="00781BA5">
        <w:rPr>
          <w:rFonts w:ascii="Arial" w:hAnsi="Arial" w:cs="Arial"/>
          <w:sz w:val="22"/>
          <w:szCs w:val="22"/>
        </w:rPr>
        <w:t>Luminex</w:t>
      </w:r>
      <w:proofErr w:type="spellEnd"/>
      <w:r w:rsidR="00781BA5">
        <w:rPr>
          <w:rFonts w:ascii="Arial" w:hAnsi="Arial" w:cs="Arial"/>
          <w:sz w:val="22"/>
          <w:szCs w:val="22"/>
        </w:rPr>
        <w:t xml:space="preserve"> multiplex assay in 50uL of plasma from all cases and controls selec</w:t>
      </w:r>
      <w:r w:rsidR="005023D3">
        <w:rPr>
          <w:rFonts w:ascii="Arial" w:hAnsi="Arial" w:cs="Arial"/>
          <w:sz w:val="22"/>
          <w:szCs w:val="22"/>
        </w:rPr>
        <w:t>0</w:t>
      </w:r>
      <w:r w:rsidR="00781BA5">
        <w:rPr>
          <w:rFonts w:ascii="Arial" w:hAnsi="Arial" w:cs="Arial"/>
          <w:sz w:val="22"/>
          <w:szCs w:val="22"/>
        </w:rPr>
        <w:t xml:space="preserve">ted from the PMRP biobank; (2) 6 metabolic proteins on an </w:t>
      </w:r>
      <w:r w:rsidR="00924985">
        <w:rPr>
          <w:rFonts w:ascii="Arial" w:hAnsi="Arial" w:cs="Arial"/>
          <w:sz w:val="22"/>
          <w:szCs w:val="22"/>
        </w:rPr>
        <w:t>Eve T</w:t>
      </w:r>
      <w:r w:rsidR="00781BA5">
        <w:rPr>
          <w:rFonts w:ascii="Arial" w:hAnsi="Arial" w:cs="Arial"/>
          <w:sz w:val="22"/>
          <w:szCs w:val="22"/>
        </w:rPr>
        <w:t xml:space="preserve">echnologies </w:t>
      </w:r>
      <w:proofErr w:type="spellStart"/>
      <w:r w:rsidR="00781BA5">
        <w:rPr>
          <w:rFonts w:ascii="Arial" w:hAnsi="Arial" w:cs="Arial"/>
          <w:sz w:val="22"/>
          <w:szCs w:val="22"/>
        </w:rPr>
        <w:t>Luminex</w:t>
      </w:r>
      <w:proofErr w:type="spellEnd"/>
      <w:r w:rsidR="00781BA5">
        <w:rPr>
          <w:rFonts w:ascii="Arial" w:hAnsi="Arial" w:cs="Arial"/>
          <w:sz w:val="22"/>
          <w:szCs w:val="22"/>
        </w:rPr>
        <w:t xml:space="preserve"> multiplex assay on 50uL of plasma from all cases and controls selected from the PMRP biobank; Eve technologies </w:t>
      </w:r>
      <w:proofErr w:type="spellStart"/>
      <w:r w:rsidR="00781BA5">
        <w:rPr>
          <w:rFonts w:ascii="Arial" w:hAnsi="Arial" w:cs="Arial"/>
          <w:sz w:val="22"/>
          <w:szCs w:val="22"/>
        </w:rPr>
        <w:t>Luminex</w:t>
      </w:r>
      <w:proofErr w:type="spellEnd"/>
      <w:r w:rsidR="00781BA5">
        <w:rPr>
          <w:rFonts w:ascii="Arial" w:hAnsi="Arial" w:cs="Arial"/>
          <w:sz w:val="22"/>
          <w:szCs w:val="22"/>
        </w:rPr>
        <w:t xml:space="preserve"> multiplex arrays have been successfully used on human samples to investigate numerous different inflammatory and infectious diseases</w:t>
      </w:r>
      <w:r w:rsidR="00EE459E" w:rsidRPr="00EE459E">
        <w:rPr>
          <w:rFonts w:ascii="Arial" w:hAnsi="Arial" w:cs="Arial"/>
          <w:sz w:val="22"/>
          <w:szCs w:val="22"/>
          <w:vertAlign w:val="superscript"/>
        </w:rPr>
        <w:t>66-68</w:t>
      </w:r>
      <w:r w:rsidR="00C92EA0">
        <w:rPr>
          <w:rFonts w:ascii="Arial" w:hAnsi="Arial" w:cs="Arial"/>
          <w:sz w:val="22"/>
          <w:szCs w:val="22"/>
        </w:rPr>
        <w:t xml:space="preserve">; </w:t>
      </w:r>
      <w:r w:rsidR="005023D3">
        <w:rPr>
          <w:rFonts w:ascii="Arial" w:hAnsi="Arial" w:cs="Arial"/>
          <w:sz w:val="22"/>
          <w:szCs w:val="22"/>
        </w:rPr>
        <w:t>and (3</w:t>
      </w:r>
      <w:r w:rsidR="00C92EA0">
        <w:rPr>
          <w:rFonts w:ascii="Arial" w:hAnsi="Arial" w:cs="Arial"/>
          <w:sz w:val="22"/>
          <w:szCs w:val="22"/>
        </w:rPr>
        <w:t>) All individuals studied</w:t>
      </w:r>
      <w:r>
        <w:rPr>
          <w:rFonts w:ascii="Arial" w:hAnsi="Arial" w:cs="Arial"/>
          <w:sz w:val="22"/>
          <w:szCs w:val="22"/>
        </w:rPr>
        <w:t xml:space="preserve"> will have the Illumina exome </w:t>
      </w:r>
      <w:proofErr w:type="spellStart"/>
      <w:r>
        <w:rPr>
          <w:rFonts w:ascii="Arial" w:hAnsi="Arial" w:cs="Arial"/>
          <w:sz w:val="22"/>
          <w:szCs w:val="22"/>
        </w:rPr>
        <w:t>beadchip</w:t>
      </w:r>
      <w:proofErr w:type="spellEnd"/>
      <w:r>
        <w:rPr>
          <w:rFonts w:ascii="Arial" w:hAnsi="Arial" w:cs="Arial"/>
          <w:sz w:val="22"/>
          <w:szCs w:val="22"/>
        </w:rPr>
        <w:t xml:space="preserve"> data previous collected and stored within the PMRP database at MCRI. Extraction of exome variants involves identifying case and control individuals, then merging the phenotype files with the exome variant file</w:t>
      </w:r>
      <w:r w:rsidR="00C92EA0">
        <w:rPr>
          <w:rFonts w:ascii="Arial" w:hAnsi="Arial" w:cs="Arial"/>
          <w:sz w:val="22"/>
          <w:szCs w:val="22"/>
        </w:rPr>
        <w:t xml:space="preserve"> by the BIRC center at MCRI</w:t>
      </w:r>
      <w:r>
        <w:rPr>
          <w:rFonts w:ascii="Arial" w:hAnsi="Arial" w:cs="Arial"/>
          <w:sz w:val="22"/>
          <w:szCs w:val="22"/>
        </w:rPr>
        <w:t>.</w:t>
      </w:r>
      <w:r w:rsidR="00C92EA0">
        <w:rPr>
          <w:rFonts w:ascii="Arial" w:hAnsi="Arial" w:cs="Arial"/>
          <w:sz w:val="22"/>
          <w:szCs w:val="22"/>
        </w:rPr>
        <w:t xml:space="preserve"> </w:t>
      </w:r>
    </w:p>
    <w:p w:rsidR="001C00BD" w:rsidRDefault="001C00BD" w:rsidP="00165849">
      <w:pPr>
        <w:spacing w:line="72" w:lineRule="auto"/>
        <w:jc w:val="both"/>
        <w:rPr>
          <w:rFonts w:ascii="Arial" w:hAnsi="Arial" w:cs="Arial"/>
          <w:b/>
          <w:sz w:val="22"/>
          <w:szCs w:val="22"/>
        </w:rPr>
      </w:pPr>
    </w:p>
    <w:p w:rsidR="001C00BD" w:rsidRPr="00781BA5" w:rsidRDefault="00246F8B" w:rsidP="00125A6E">
      <w:pPr>
        <w:jc w:val="both"/>
        <w:rPr>
          <w:rFonts w:ascii="Arial" w:hAnsi="Arial" w:cs="Arial"/>
          <w:b/>
          <w:sz w:val="22"/>
          <w:szCs w:val="22"/>
        </w:rPr>
      </w:pPr>
      <w:r>
        <w:rPr>
          <w:rFonts w:ascii="Arial" w:hAnsi="Arial" w:cs="Arial"/>
          <w:sz w:val="21"/>
          <w:szCs w:val="21"/>
          <w:shd w:val="clear" w:color="auto" w:fill="FFFFFF"/>
        </w:rPr>
        <w:t xml:space="preserve">Eve Technology </w:t>
      </w:r>
      <w:r w:rsidR="00781BA5">
        <w:rPr>
          <w:rFonts w:ascii="Arial" w:hAnsi="Arial" w:cs="Arial"/>
          <w:sz w:val="21"/>
          <w:szCs w:val="21"/>
          <w:shd w:val="clear" w:color="auto" w:fill="FFFFFF"/>
        </w:rPr>
        <w:t xml:space="preserve">Human Cytokine array/Chemokine Array 42-plex: </w:t>
      </w:r>
      <w:r w:rsidR="00781BA5" w:rsidRPr="00781BA5">
        <w:rPr>
          <w:rFonts w:ascii="Arial" w:hAnsi="Arial" w:cs="Arial"/>
          <w:sz w:val="21"/>
          <w:szCs w:val="21"/>
          <w:shd w:val="clear" w:color="auto" w:fill="FFFFFF"/>
        </w:rPr>
        <w:t xml:space="preserve">EGF, Eotaxin-1, FGF-2, Flt-3L, </w:t>
      </w:r>
      <w:proofErr w:type="spellStart"/>
      <w:r w:rsidR="00781BA5" w:rsidRPr="00781BA5">
        <w:rPr>
          <w:rFonts w:ascii="Arial" w:hAnsi="Arial" w:cs="Arial"/>
          <w:sz w:val="21"/>
          <w:szCs w:val="21"/>
          <w:shd w:val="clear" w:color="auto" w:fill="FFFFFF"/>
        </w:rPr>
        <w:t>Fractalkine</w:t>
      </w:r>
      <w:proofErr w:type="spellEnd"/>
      <w:r w:rsidR="00781BA5" w:rsidRPr="00781BA5">
        <w:rPr>
          <w:rFonts w:ascii="Arial" w:hAnsi="Arial" w:cs="Arial"/>
          <w:sz w:val="21"/>
          <w:szCs w:val="21"/>
          <w:shd w:val="clear" w:color="auto" w:fill="FFFFFF"/>
        </w:rPr>
        <w:t xml:space="preserve">, G-CSF, GM-CSF, GRO(alpha), IFNalpha2, </w:t>
      </w:r>
      <w:proofErr w:type="spellStart"/>
      <w:r w:rsidR="00781BA5" w:rsidRPr="00781BA5">
        <w:rPr>
          <w:rFonts w:ascii="Arial" w:hAnsi="Arial" w:cs="Arial"/>
          <w:sz w:val="21"/>
          <w:szCs w:val="21"/>
          <w:shd w:val="clear" w:color="auto" w:fill="FFFFFF"/>
        </w:rPr>
        <w:t>IFNgamma</w:t>
      </w:r>
      <w:proofErr w:type="spellEnd"/>
      <w:r w:rsidR="00781BA5" w:rsidRPr="00781BA5">
        <w:rPr>
          <w:rFonts w:ascii="Arial" w:hAnsi="Arial" w:cs="Arial"/>
          <w:sz w:val="21"/>
          <w:szCs w:val="21"/>
          <w:shd w:val="clear" w:color="auto" w:fill="FFFFFF"/>
        </w:rPr>
        <w:t xml:space="preserve">, IL-1alpha, IL-1beta, IL-1ra, IL-2, IL-3, IL-4, IL-5, IL-6, IL-7, IL-8, IL-9, IL-10, IL-12 (p40), IL-12 (p70), IL-13, IL-15, IL-17A, IL-18, IP-10, MCP-1, MCP-3, MDC, MIP-1alpha, MIP-1beta, PDGF-AA, PDGF-AB/BB, RANTES, sCD40L, </w:t>
      </w:r>
      <w:proofErr w:type="spellStart"/>
      <w:r w:rsidR="00781BA5" w:rsidRPr="00781BA5">
        <w:rPr>
          <w:rFonts w:ascii="Arial" w:hAnsi="Arial" w:cs="Arial"/>
          <w:sz w:val="21"/>
          <w:szCs w:val="21"/>
          <w:shd w:val="clear" w:color="auto" w:fill="FFFFFF"/>
        </w:rPr>
        <w:t>TGFalpha</w:t>
      </w:r>
      <w:proofErr w:type="spellEnd"/>
      <w:r w:rsidR="00781BA5" w:rsidRPr="00781BA5">
        <w:rPr>
          <w:rFonts w:ascii="Arial" w:hAnsi="Arial" w:cs="Arial"/>
          <w:sz w:val="21"/>
          <w:szCs w:val="21"/>
          <w:shd w:val="clear" w:color="auto" w:fill="FFFFFF"/>
        </w:rPr>
        <w:t xml:space="preserve">, </w:t>
      </w:r>
      <w:proofErr w:type="spellStart"/>
      <w:r w:rsidR="00781BA5" w:rsidRPr="00781BA5">
        <w:rPr>
          <w:rFonts w:ascii="Arial" w:hAnsi="Arial" w:cs="Arial"/>
          <w:sz w:val="21"/>
          <w:szCs w:val="21"/>
          <w:shd w:val="clear" w:color="auto" w:fill="FFFFFF"/>
        </w:rPr>
        <w:t>TNFalpha</w:t>
      </w:r>
      <w:proofErr w:type="spellEnd"/>
      <w:r w:rsidR="00781BA5" w:rsidRPr="00781BA5">
        <w:rPr>
          <w:rFonts w:ascii="Arial" w:hAnsi="Arial" w:cs="Arial"/>
          <w:sz w:val="21"/>
          <w:szCs w:val="21"/>
          <w:shd w:val="clear" w:color="auto" w:fill="FFFFFF"/>
        </w:rPr>
        <w:t xml:space="preserve">, </w:t>
      </w:r>
      <w:proofErr w:type="spellStart"/>
      <w:r w:rsidR="00781BA5" w:rsidRPr="00781BA5">
        <w:rPr>
          <w:rFonts w:ascii="Arial" w:hAnsi="Arial" w:cs="Arial"/>
          <w:sz w:val="21"/>
          <w:szCs w:val="21"/>
          <w:shd w:val="clear" w:color="auto" w:fill="FFFFFF"/>
        </w:rPr>
        <w:t>TNFbeta</w:t>
      </w:r>
      <w:proofErr w:type="spellEnd"/>
      <w:r w:rsidR="00781BA5" w:rsidRPr="00781BA5">
        <w:rPr>
          <w:rFonts w:ascii="Arial" w:hAnsi="Arial" w:cs="Arial"/>
          <w:sz w:val="21"/>
          <w:szCs w:val="21"/>
          <w:shd w:val="clear" w:color="auto" w:fill="FFFFFF"/>
        </w:rPr>
        <w:t>, VEGF-A</w:t>
      </w:r>
    </w:p>
    <w:p w:rsidR="004E5D5D" w:rsidRDefault="004E5D5D" w:rsidP="00165849">
      <w:pPr>
        <w:spacing w:line="72" w:lineRule="auto"/>
        <w:jc w:val="both"/>
        <w:rPr>
          <w:rFonts w:ascii="Arial" w:hAnsi="Arial" w:cs="Arial"/>
          <w:b/>
          <w:sz w:val="22"/>
          <w:szCs w:val="22"/>
        </w:rPr>
      </w:pPr>
    </w:p>
    <w:p w:rsidR="00781BA5" w:rsidRDefault="00246F8B" w:rsidP="00125A6E">
      <w:pPr>
        <w:jc w:val="both"/>
        <w:rPr>
          <w:rFonts w:ascii="Arial" w:hAnsi="Arial" w:cs="Arial"/>
          <w:sz w:val="21"/>
          <w:szCs w:val="21"/>
          <w:shd w:val="clear" w:color="auto" w:fill="FFFFFF"/>
        </w:rPr>
      </w:pPr>
      <w:r>
        <w:rPr>
          <w:rFonts w:ascii="Arial" w:hAnsi="Arial" w:cs="Arial"/>
          <w:sz w:val="21"/>
          <w:szCs w:val="21"/>
          <w:shd w:val="clear" w:color="auto" w:fill="FFFFFF"/>
        </w:rPr>
        <w:t xml:space="preserve">Eve Technology </w:t>
      </w:r>
      <w:r w:rsidR="00781BA5">
        <w:rPr>
          <w:rFonts w:ascii="Arial" w:hAnsi="Arial" w:cs="Arial"/>
          <w:sz w:val="21"/>
          <w:szCs w:val="21"/>
          <w:shd w:val="clear" w:color="auto" w:fill="FFFFFF"/>
        </w:rPr>
        <w:t xml:space="preserve">Human Metabolic Hormone Array: </w:t>
      </w:r>
      <w:r w:rsidR="00781BA5" w:rsidRPr="00781BA5">
        <w:rPr>
          <w:rFonts w:ascii="Arial" w:hAnsi="Arial" w:cs="Arial"/>
          <w:sz w:val="21"/>
          <w:szCs w:val="21"/>
          <w:shd w:val="clear" w:color="auto" w:fill="FFFFFF"/>
        </w:rPr>
        <w:t>C-Peptide, GIP, Insulin, Leptin, MCP-1, PYY (total)</w:t>
      </w:r>
    </w:p>
    <w:p w:rsidR="00781BA5" w:rsidRDefault="00781BA5" w:rsidP="00246F8B">
      <w:pPr>
        <w:spacing w:line="120" w:lineRule="auto"/>
        <w:jc w:val="both"/>
        <w:rPr>
          <w:rFonts w:ascii="Arial" w:hAnsi="Arial" w:cs="Arial"/>
          <w:sz w:val="21"/>
          <w:szCs w:val="21"/>
          <w:shd w:val="clear" w:color="auto" w:fill="FFFFFF"/>
        </w:rPr>
      </w:pPr>
    </w:p>
    <w:p w:rsidR="00246F8B" w:rsidRPr="00B238EA" w:rsidRDefault="00246F8B" w:rsidP="00246F8B">
      <w:pPr>
        <w:jc w:val="both"/>
        <w:rPr>
          <w:rFonts w:ascii="Arial" w:hAnsi="Arial" w:cs="Arial"/>
          <w:sz w:val="22"/>
          <w:szCs w:val="22"/>
        </w:rPr>
      </w:pPr>
      <w:r>
        <w:rPr>
          <w:rFonts w:ascii="Arial" w:hAnsi="Arial" w:cs="Arial"/>
          <w:sz w:val="22"/>
          <w:szCs w:val="22"/>
        </w:rPr>
        <w:t xml:space="preserve">Lastly, (4) a custom 800 antigen high-density protein microarray panel from Antigen Discovery using plasma from </w:t>
      </w:r>
      <w:r w:rsidR="0025006D">
        <w:rPr>
          <w:rFonts w:ascii="Arial" w:hAnsi="Arial" w:cs="Arial"/>
          <w:sz w:val="22"/>
          <w:szCs w:val="22"/>
        </w:rPr>
        <w:t xml:space="preserve">120 </w:t>
      </w:r>
      <w:r>
        <w:rPr>
          <w:rFonts w:ascii="Arial" w:hAnsi="Arial" w:cs="Arial"/>
          <w:sz w:val="22"/>
          <w:szCs w:val="22"/>
        </w:rPr>
        <w:t xml:space="preserve">rheumatoid arthritis cases, </w:t>
      </w:r>
      <w:r w:rsidR="0025006D">
        <w:rPr>
          <w:rFonts w:ascii="Arial" w:hAnsi="Arial" w:cs="Arial"/>
          <w:sz w:val="22"/>
          <w:szCs w:val="22"/>
        </w:rPr>
        <w:t xml:space="preserve">80 </w:t>
      </w:r>
      <w:r>
        <w:rPr>
          <w:rFonts w:ascii="Arial" w:hAnsi="Arial" w:cs="Arial"/>
          <w:sz w:val="22"/>
          <w:szCs w:val="22"/>
        </w:rPr>
        <w:t xml:space="preserve">systemic lupus erythematosus cases and </w:t>
      </w:r>
      <w:r w:rsidR="00252653">
        <w:rPr>
          <w:rFonts w:ascii="Arial" w:hAnsi="Arial" w:cs="Arial"/>
          <w:sz w:val="22"/>
          <w:szCs w:val="22"/>
        </w:rPr>
        <w:t xml:space="preserve">100 shared </w:t>
      </w:r>
      <w:r>
        <w:rPr>
          <w:rFonts w:ascii="Arial" w:hAnsi="Arial" w:cs="Arial"/>
          <w:sz w:val="22"/>
          <w:szCs w:val="22"/>
        </w:rPr>
        <w:t>controls</w:t>
      </w:r>
      <w:r w:rsidR="0025006D">
        <w:rPr>
          <w:rFonts w:ascii="Arial" w:hAnsi="Arial" w:cs="Arial"/>
          <w:sz w:val="22"/>
          <w:szCs w:val="22"/>
        </w:rPr>
        <w:t xml:space="preserve"> from the PMRP biobank. </w:t>
      </w:r>
      <w:r>
        <w:rPr>
          <w:rFonts w:ascii="Arial" w:hAnsi="Arial" w:cs="Arial"/>
          <w:sz w:val="22"/>
          <w:szCs w:val="22"/>
        </w:rPr>
        <w:t>This antigen/antibody protein microarray has been successfully used to interrogate human humoral immune response to infectious agents and autoantigen activity.</w:t>
      </w:r>
      <w:r w:rsidRPr="008E7839">
        <w:rPr>
          <w:rFonts w:ascii="Arial" w:hAnsi="Arial" w:cs="Arial"/>
          <w:sz w:val="22"/>
          <w:szCs w:val="22"/>
          <w:vertAlign w:val="superscript"/>
        </w:rPr>
        <w:t>69-72</w:t>
      </w:r>
    </w:p>
    <w:p w:rsidR="00246F8B" w:rsidRDefault="00246F8B" w:rsidP="00165849">
      <w:pPr>
        <w:spacing w:line="48" w:lineRule="auto"/>
        <w:jc w:val="both"/>
        <w:rPr>
          <w:rFonts w:ascii="Arial" w:hAnsi="Arial" w:cs="Arial"/>
          <w:sz w:val="21"/>
          <w:szCs w:val="21"/>
          <w:shd w:val="clear" w:color="auto" w:fill="FFFFFF"/>
        </w:rPr>
      </w:pPr>
    </w:p>
    <w:p w:rsidR="003905F1" w:rsidRDefault="003905F1" w:rsidP="003905F1">
      <w:pPr>
        <w:jc w:val="both"/>
        <w:rPr>
          <w:rFonts w:ascii="Arial" w:hAnsi="Arial" w:cs="Arial"/>
          <w:b/>
          <w:sz w:val="22"/>
          <w:szCs w:val="22"/>
        </w:rPr>
      </w:pPr>
      <w:r>
        <w:rPr>
          <w:rFonts w:ascii="Arial" w:hAnsi="Arial" w:cs="Arial"/>
          <w:b/>
          <w:sz w:val="22"/>
          <w:szCs w:val="22"/>
        </w:rPr>
        <w:t>Peptide Quantification Preliminary Data</w:t>
      </w:r>
    </w:p>
    <w:p w:rsidR="002A4FD6" w:rsidRDefault="003905F1" w:rsidP="003905F1">
      <w:pPr>
        <w:jc w:val="both"/>
        <w:rPr>
          <w:rFonts w:ascii="Helvetica" w:hAnsi="Helvetica" w:cs="Arial"/>
          <w:sz w:val="22"/>
          <w:szCs w:val="22"/>
        </w:rPr>
      </w:pPr>
      <w:r>
        <w:rPr>
          <w:rFonts w:ascii="Helvetica" w:hAnsi="Helvetica" w:cs="Arial"/>
          <w:sz w:val="22"/>
          <w:szCs w:val="22"/>
        </w:rPr>
        <w:t>We</w:t>
      </w:r>
      <w:r w:rsidRPr="00491FEB">
        <w:rPr>
          <w:rFonts w:ascii="Helvetica" w:hAnsi="Helvetica" w:cs="Arial"/>
          <w:sz w:val="22"/>
          <w:szCs w:val="22"/>
        </w:rPr>
        <w:t xml:space="preserve"> measured C-peptide and adiponectin in a cohort of individuals without type 2 diabetes at the time of blood draw, </w:t>
      </w:r>
      <w:proofErr w:type="gramStart"/>
      <w:r w:rsidRPr="00491FEB">
        <w:rPr>
          <w:rFonts w:ascii="Helvetica" w:hAnsi="Helvetica" w:cs="Arial"/>
          <w:sz w:val="22"/>
          <w:szCs w:val="22"/>
        </w:rPr>
        <w:t>then</w:t>
      </w:r>
      <w:proofErr w:type="gramEnd"/>
      <w:r w:rsidRPr="00491FEB">
        <w:rPr>
          <w:rFonts w:ascii="Helvetica" w:hAnsi="Helvetica" w:cs="Arial"/>
          <w:sz w:val="22"/>
          <w:szCs w:val="22"/>
        </w:rPr>
        <w:t xml:space="preserve"> partitioned individuals who had met the formal criteria for diabetes in the years following the blood draw. These immune-metabolic markers were strongly correlated with prospective disease as determined by a Kolmogorov-Smirnov test.     </w:t>
      </w:r>
    </w:p>
    <w:p w:rsidR="003905F1" w:rsidRPr="003905F1" w:rsidRDefault="003905F1" w:rsidP="003905F1">
      <w:pPr>
        <w:jc w:val="both"/>
        <w:rPr>
          <w:rFonts w:ascii="Helvetica" w:hAnsi="Helvetica" w:cs="Arial"/>
          <w:sz w:val="22"/>
          <w:szCs w:val="22"/>
        </w:rPr>
      </w:pPr>
      <w:r w:rsidRPr="00491FEB">
        <w:rPr>
          <w:rFonts w:ascii="Helvetica" w:hAnsi="Helvetica" w:cs="Arial"/>
          <w:sz w:val="22"/>
          <w:szCs w:val="22"/>
        </w:rPr>
        <w:t xml:space="preserve">  </w:t>
      </w:r>
      <w:r>
        <w:rPr>
          <w:noProof/>
        </w:rPr>
        <mc:AlternateContent>
          <mc:Choice Requires="wps">
            <w:drawing>
              <wp:anchor distT="0" distB="0" distL="114300" distR="114300" simplePos="0" relativeHeight="251692032" behindDoc="0" locked="0" layoutInCell="1" allowOverlap="1" wp14:anchorId="49737CF4" wp14:editId="6E8D865D">
                <wp:simplePos x="0" y="0"/>
                <wp:positionH relativeFrom="column">
                  <wp:posOffset>5819775</wp:posOffset>
                </wp:positionH>
                <wp:positionV relativeFrom="paragraph">
                  <wp:posOffset>158115</wp:posOffset>
                </wp:positionV>
                <wp:extent cx="962025" cy="295275"/>
                <wp:effectExtent l="0" t="0" r="28575" b="28575"/>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95275"/>
                        </a:xfrm>
                        <a:prstGeom prst="rect">
                          <a:avLst/>
                        </a:prstGeom>
                        <a:solidFill>
                          <a:srgbClr val="FFFFFF"/>
                        </a:solidFill>
                        <a:ln w="9525">
                          <a:solidFill>
                            <a:srgbClr val="000000"/>
                          </a:solidFill>
                          <a:miter lim="800000"/>
                          <a:headEnd/>
                          <a:tailEnd/>
                        </a:ln>
                      </wps:spPr>
                      <wps:txbx>
                        <w:txbxContent>
                          <w:p w:rsidR="003905F1" w:rsidRPr="00FA0051" w:rsidRDefault="003905F1" w:rsidP="003905F1">
                            <w:pPr>
                              <w:rPr>
                                <w:rFonts w:ascii="Palatino Linotype" w:hAnsi="Palatino Linotype"/>
                              </w:rPr>
                            </w:pPr>
                            <w:r w:rsidRPr="00FA0051">
                              <w:rPr>
                                <w:rFonts w:ascii="Palatino Linotype" w:hAnsi="Palatino Linotype"/>
                              </w:rPr>
                              <w:t>P</w:t>
                            </w:r>
                            <w:r w:rsidRPr="00FA0051">
                              <w:rPr>
                                <w:rFonts w:ascii="Palatino Linotype" w:hAnsi="Palatino Linotype"/>
                                <w:vertAlign w:val="subscript"/>
                              </w:rPr>
                              <w:t>KS</w:t>
                            </w:r>
                            <w:r>
                              <w:rPr>
                                <w:rFonts w:ascii="Palatino Linotype" w:hAnsi="Palatino Linotype"/>
                                <w:vertAlign w:val="subscript"/>
                              </w:rPr>
                              <w:t xml:space="preserve"> </w:t>
                            </w:r>
                            <w:r w:rsidRPr="00FA0051">
                              <w:rPr>
                                <w:rFonts w:ascii="Palatino Linotype" w:hAnsi="Palatino Linotype"/>
                              </w:rPr>
                              <w:t>&lt;0.0001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458.25pt;margin-top:12.45pt;width:75.75pt;height:23.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">
                <v:textbox>
                  <w:txbxContent>
                    <w:p w:rsidR="003905F1" w:rsidRPr="00FA0051" w:rsidRDefault="003905F1" w:rsidP="003905F1">
                      <w:pPr>
                        <w:rPr>
                          <w:rFonts w:ascii="Palatino Linotype" w:hAnsi="Palatino Linotype"/>
                        </w:rPr>
                      </w:pPr>
                      <w:r w:rsidRPr="00FA0051">
                        <w:rPr>
                          <w:rFonts w:ascii="Palatino Linotype" w:hAnsi="Palatino Linotype"/>
                        </w:rPr>
                        <w:t>P</w:t>
                      </w:r>
                      <w:r w:rsidRPr="00FA0051">
                        <w:rPr>
                          <w:rFonts w:ascii="Palatino Linotype" w:hAnsi="Palatino Linotype"/>
                          <w:vertAlign w:val="subscript"/>
                        </w:rPr>
                        <w:t>KS</w:t>
                      </w:r>
                      <w:r>
                        <w:rPr>
                          <w:rFonts w:ascii="Palatino Linotype" w:hAnsi="Palatino Linotype"/>
                          <w:vertAlign w:val="subscript"/>
                        </w:rPr>
                        <w:t xml:space="preserve"> </w:t>
                      </w:r>
                      <w:r w:rsidRPr="00FA0051">
                        <w:rPr>
                          <w:rFonts w:ascii="Palatino Linotype" w:hAnsi="Palatino Linotype"/>
                        </w:rPr>
                        <w:t>&lt;0.0001</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466882F0" wp14:editId="32741345">
                <wp:simplePos x="0" y="0"/>
                <wp:positionH relativeFrom="column">
                  <wp:posOffset>2352675</wp:posOffset>
                </wp:positionH>
                <wp:positionV relativeFrom="paragraph">
                  <wp:posOffset>158115</wp:posOffset>
                </wp:positionV>
                <wp:extent cx="962025" cy="295275"/>
                <wp:effectExtent l="0" t="0" r="28575" b="28575"/>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95275"/>
                        </a:xfrm>
                        <a:prstGeom prst="rect">
                          <a:avLst/>
                        </a:prstGeom>
                        <a:solidFill>
                          <a:srgbClr val="FFFFFF"/>
                        </a:solidFill>
                        <a:ln w="9525">
                          <a:solidFill>
                            <a:srgbClr val="000000"/>
                          </a:solidFill>
                          <a:miter lim="800000"/>
                          <a:headEnd/>
                          <a:tailEnd/>
                        </a:ln>
                      </wps:spPr>
                      <wps:txbx>
                        <w:txbxContent>
                          <w:p w:rsidR="003905F1" w:rsidRPr="00FA0051" w:rsidRDefault="003905F1" w:rsidP="003905F1">
                            <w:pPr>
                              <w:rPr>
                                <w:rFonts w:ascii="Palatino Linotype" w:hAnsi="Palatino Linotype"/>
                              </w:rPr>
                            </w:pPr>
                            <w:r w:rsidRPr="00FA0051">
                              <w:rPr>
                                <w:rFonts w:ascii="Palatino Linotype" w:hAnsi="Palatino Linotype"/>
                              </w:rPr>
                              <w:t>P</w:t>
                            </w:r>
                            <w:r w:rsidRPr="00FA0051">
                              <w:rPr>
                                <w:rFonts w:ascii="Palatino Linotype" w:hAnsi="Palatino Linotype"/>
                                <w:vertAlign w:val="subscript"/>
                              </w:rPr>
                              <w:t>KS</w:t>
                            </w:r>
                            <w:r>
                              <w:rPr>
                                <w:rFonts w:ascii="Palatino Linotype" w:hAnsi="Palatino Linotype"/>
                                <w:vertAlign w:val="subscript"/>
                              </w:rPr>
                              <w:t xml:space="preserve"> </w:t>
                            </w:r>
                            <w:r w:rsidRPr="00FA0051">
                              <w:rPr>
                                <w:rFonts w:ascii="Palatino Linotype" w:hAnsi="Palatino Linotype"/>
                              </w:rPr>
                              <w:t>&lt;0.0001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85.25pt;margin-top:12.45pt;width:75.75pt;height:23.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">
                <v:textbox>
                  <w:txbxContent>
                    <w:p w:rsidR="003905F1" w:rsidRPr="00FA0051" w:rsidRDefault="003905F1" w:rsidP="003905F1">
                      <w:pPr>
                        <w:rPr>
                          <w:rFonts w:ascii="Palatino Linotype" w:hAnsi="Palatino Linotype"/>
                        </w:rPr>
                      </w:pPr>
                      <w:r w:rsidRPr="00FA0051">
                        <w:rPr>
                          <w:rFonts w:ascii="Palatino Linotype" w:hAnsi="Palatino Linotype"/>
                        </w:rPr>
                        <w:t>P</w:t>
                      </w:r>
                      <w:r w:rsidRPr="00FA0051">
                        <w:rPr>
                          <w:rFonts w:ascii="Palatino Linotype" w:hAnsi="Palatino Linotype"/>
                          <w:vertAlign w:val="subscript"/>
                        </w:rPr>
                        <w:t>KS</w:t>
                      </w:r>
                      <w:r>
                        <w:rPr>
                          <w:rFonts w:ascii="Palatino Linotype" w:hAnsi="Palatino Linotype"/>
                          <w:vertAlign w:val="subscript"/>
                        </w:rPr>
                        <w:t xml:space="preserve"> </w:t>
                      </w:r>
                      <w:r w:rsidRPr="00FA0051">
                        <w:rPr>
                          <w:rFonts w:ascii="Palatino Linotype" w:hAnsi="Palatino Linotype"/>
                        </w:rPr>
                        <w:t>&lt;0.0001</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2A140EFE" wp14:editId="5E8FE057">
                <wp:simplePos x="0" y="0"/>
                <wp:positionH relativeFrom="column">
                  <wp:posOffset>85725</wp:posOffset>
                </wp:positionH>
                <wp:positionV relativeFrom="paragraph">
                  <wp:posOffset>58420</wp:posOffset>
                </wp:positionV>
                <wp:extent cx="3324225" cy="3152775"/>
                <wp:effectExtent l="0" t="0" r="28575" b="28575"/>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3152775"/>
                        </a:xfrm>
                        <a:prstGeom prst="rect">
                          <a:avLst/>
                        </a:prstGeom>
                        <a:solidFill>
                          <a:srgbClr val="FFFFFF"/>
                        </a:solidFill>
                        <a:ln w="9525">
                          <a:solidFill>
                            <a:srgbClr val="000000"/>
                          </a:solidFill>
                          <a:miter lim="800000"/>
                          <a:headEnd/>
                          <a:tailEnd/>
                        </a:ln>
                      </wps:spPr>
                      <wps:txbx>
                        <w:txbxContent>
                          <w:p w:rsidR="003905F1" w:rsidRDefault="003905F1" w:rsidP="003905F1">
                            <w:r w:rsidRPr="00E63DDD">
                              <w:rPr>
                                <w:noProof/>
                              </w:rPr>
                              <w:drawing>
                                <wp:inline distT="0" distB="0" distL="0" distR="0" wp14:anchorId="4C125630" wp14:editId="76813E8F">
                                  <wp:extent cx="3132455" cy="3132455"/>
                                  <wp:effectExtent l="0" t="0" r="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2455" cy="313245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6.75pt;margin-top:4.6pt;width:261.75pt;height:248.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">
                <v:textbox>
                  <w:txbxContent>
                    <w:p w:rsidR="003905F1" w:rsidRDefault="003905F1" w:rsidP="003905F1">
                      <w:r w:rsidRPr="00E63DDD">
                        <w:rPr>
                          <w:noProof/>
                        </w:rPr>
                        <w:drawing>
                          <wp:inline distT="0" distB="0" distL="0" distR="0" wp14:anchorId="4C125630" wp14:editId="76813E8F">
                            <wp:extent cx="3132455" cy="3132455"/>
                            <wp:effectExtent l="0" t="0" r="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32455" cy="313245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509E610A" wp14:editId="66FDAB00">
                <wp:simplePos x="0" y="0"/>
                <wp:positionH relativeFrom="column">
                  <wp:posOffset>3524250</wp:posOffset>
                </wp:positionH>
                <wp:positionV relativeFrom="paragraph">
                  <wp:posOffset>58420</wp:posOffset>
                </wp:positionV>
                <wp:extent cx="3352800" cy="3152775"/>
                <wp:effectExtent l="0" t="0" r="19050" b="28575"/>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3152775"/>
                        </a:xfrm>
                        <a:prstGeom prst="rect">
                          <a:avLst/>
                        </a:prstGeom>
                        <a:solidFill>
                          <a:srgbClr val="FFFFFF"/>
                        </a:solidFill>
                        <a:ln w="9525">
                          <a:solidFill>
                            <a:srgbClr val="000000"/>
                          </a:solidFill>
                          <a:miter lim="800000"/>
                          <a:headEnd/>
                          <a:tailEnd/>
                        </a:ln>
                      </wps:spPr>
                      <wps:txbx>
                        <w:txbxContent>
                          <w:p w:rsidR="003905F1" w:rsidRDefault="003905F1" w:rsidP="003905F1">
                            <w:r w:rsidRPr="00E63DDD">
                              <w:rPr>
                                <w:noProof/>
                              </w:rPr>
                              <w:drawing>
                                <wp:inline distT="0" distB="0" distL="0" distR="0" wp14:anchorId="4A145A54" wp14:editId="09DA34DE">
                                  <wp:extent cx="3161030" cy="3161030"/>
                                  <wp:effectExtent l="0" t="0" r="1270" b="127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1030" cy="316103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277.5pt;margin-top:4.6pt;width:264pt;height:248.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">
                <v:textbox>
                  <w:txbxContent>
                    <w:p w:rsidR="003905F1" w:rsidRDefault="003905F1" w:rsidP="003905F1">
                      <w:r w:rsidRPr="00E63DDD">
                        <w:rPr>
                          <w:noProof/>
                        </w:rPr>
                        <w:drawing>
                          <wp:inline distT="0" distB="0" distL="0" distR="0" wp14:anchorId="4A145A54" wp14:editId="09DA34DE">
                            <wp:extent cx="3161030" cy="3161030"/>
                            <wp:effectExtent l="0" t="0" r="1270" b="127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61030" cy="3161030"/>
                                    </a:xfrm>
                                    <a:prstGeom prst="rect">
                                      <a:avLst/>
                                    </a:prstGeom>
                                    <a:noFill/>
                                    <a:ln>
                                      <a:noFill/>
                                    </a:ln>
                                  </pic:spPr>
                                </pic:pic>
                              </a:graphicData>
                            </a:graphic>
                          </wp:inline>
                        </w:drawing>
                      </w:r>
                    </w:p>
                  </w:txbxContent>
                </v:textbox>
              </v:shape>
            </w:pict>
          </mc:Fallback>
        </mc:AlternateContent>
      </w:r>
    </w:p>
    <w:p w:rsidR="003905F1" w:rsidRDefault="003905F1" w:rsidP="003905F1">
      <w:pPr>
        <w:jc w:val="both"/>
        <w:rPr>
          <w:rFonts w:ascii="Palatino Linotype" w:hAnsi="Palatino Linotype" w:cs="Arial"/>
          <w:b/>
          <w:sz w:val="22"/>
          <w:szCs w:val="22"/>
        </w:rPr>
      </w:pPr>
    </w:p>
    <w:p w:rsidR="003905F1" w:rsidRDefault="003905F1" w:rsidP="003905F1">
      <w:pPr>
        <w:jc w:val="both"/>
        <w:rPr>
          <w:rFonts w:ascii="Palatino Linotype" w:hAnsi="Palatino Linotype" w:cs="Arial"/>
          <w:b/>
          <w:sz w:val="22"/>
          <w:szCs w:val="22"/>
        </w:rPr>
      </w:pPr>
    </w:p>
    <w:p w:rsidR="003905F1" w:rsidRDefault="003905F1" w:rsidP="003905F1">
      <w:pPr>
        <w:jc w:val="both"/>
        <w:rPr>
          <w:rFonts w:ascii="Palatino Linotype" w:hAnsi="Palatino Linotype" w:cs="Arial"/>
          <w:b/>
          <w:sz w:val="22"/>
          <w:szCs w:val="22"/>
        </w:rPr>
      </w:pPr>
    </w:p>
    <w:p w:rsidR="003905F1" w:rsidRDefault="003905F1" w:rsidP="003905F1">
      <w:pPr>
        <w:jc w:val="both"/>
        <w:rPr>
          <w:rFonts w:ascii="Palatino Linotype" w:hAnsi="Palatino Linotype" w:cs="Arial"/>
          <w:b/>
          <w:sz w:val="22"/>
          <w:szCs w:val="22"/>
        </w:rPr>
      </w:pPr>
    </w:p>
    <w:p w:rsidR="003905F1" w:rsidRDefault="003905F1" w:rsidP="003905F1">
      <w:pPr>
        <w:jc w:val="both"/>
        <w:rPr>
          <w:rFonts w:ascii="Palatino Linotype" w:hAnsi="Palatino Linotype" w:cs="Arial"/>
          <w:b/>
          <w:sz w:val="22"/>
          <w:szCs w:val="22"/>
        </w:rPr>
      </w:pPr>
    </w:p>
    <w:p w:rsidR="003905F1" w:rsidRDefault="003905F1" w:rsidP="003905F1">
      <w:pPr>
        <w:jc w:val="both"/>
        <w:rPr>
          <w:rFonts w:ascii="Palatino Linotype" w:hAnsi="Palatino Linotype" w:cs="Arial"/>
          <w:b/>
          <w:sz w:val="22"/>
          <w:szCs w:val="22"/>
        </w:rPr>
      </w:pPr>
    </w:p>
    <w:p w:rsidR="003905F1" w:rsidRDefault="003905F1" w:rsidP="003905F1">
      <w:pPr>
        <w:jc w:val="both"/>
        <w:rPr>
          <w:rFonts w:ascii="Palatino Linotype" w:hAnsi="Palatino Linotype" w:cs="Arial"/>
          <w:b/>
          <w:sz w:val="22"/>
          <w:szCs w:val="22"/>
        </w:rPr>
      </w:pPr>
    </w:p>
    <w:p w:rsidR="003905F1" w:rsidRDefault="003905F1" w:rsidP="003905F1">
      <w:pPr>
        <w:jc w:val="both"/>
        <w:rPr>
          <w:rFonts w:ascii="Palatino Linotype" w:hAnsi="Palatino Linotype" w:cs="Arial"/>
          <w:b/>
          <w:sz w:val="22"/>
          <w:szCs w:val="22"/>
        </w:rPr>
      </w:pPr>
    </w:p>
    <w:p w:rsidR="003905F1" w:rsidRDefault="003905F1" w:rsidP="003905F1">
      <w:pPr>
        <w:jc w:val="both"/>
        <w:rPr>
          <w:rFonts w:ascii="Palatino Linotype" w:hAnsi="Palatino Linotype" w:cs="Arial"/>
          <w:b/>
          <w:sz w:val="22"/>
          <w:szCs w:val="22"/>
        </w:rPr>
      </w:pPr>
    </w:p>
    <w:p w:rsidR="003905F1" w:rsidRDefault="003905F1" w:rsidP="003905F1">
      <w:pPr>
        <w:jc w:val="both"/>
        <w:rPr>
          <w:rFonts w:ascii="Palatino Linotype" w:hAnsi="Palatino Linotype" w:cs="Arial"/>
          <w:b/>
          <w:sz w:val="22"/>
          <w:szCs w:val="22"/>
        </w:rPr>
      </w:pPr>
    </w:p>
    <w:p w:rsidR="003905F1" w:rsidRDefault="003905F1" w:rsidP="003905F1">
      <w:pPr>
        <w:jc w:val="both"/>
        <w:rPr>
          <w:rFonts w:ascii="Palatino Linotype" w:hAnsi="Palatino Linotype" w:cs="Arial"/>
          <w:b/>
          <w:sz w:val="22"/>
          <w:szCs w:val="22"/>
        </w:rPr>
      </w:pPr>
    </w:p>
    <w:p w:rsidR="00781BA5" w:rsidRDefault="00781BA5" w:rsidP="00125A6E">
      <w:pPr>
        <w:jc w:val="both"/>
        <w:rPr>
          <w:rFonts w:ascii="Palatino Linotype" w:hAnsi="Palatino Linotype" w:cs="Arial"/>
          <w:b/>
          <w:sz w:val="22"/>
          <w:szCs w:val="22"/>
        </w:rPr>
      </w:pPr>
    </w:p>
    <w:p w:rsidR="00165849" w:rsidRDefault="00165849" w:rsidP="00125A6E">
      <w:pPr>
        <w:jc w:val="both"/>
        <w:rPr>
          <w:rFonts w:ascii="Arial" w:hAnsi="Arial" w:cs="Arial"/>
          <w:b/>
          <w:sz w:val="22"/>
          <w:szCs w:val="22"/>
        </w:rPr>
      </w:pPr>
    </w:p>
    <w:p w:rsidR="003905F1" w:rsidRPr="003905F1" w:rsidRDefault="003905F1" w:rsidP="00125A6E">
      <w:pPr>
        <w:jc w:val="both"/>
        <w:rPr>
          <w:rFonts w:ascii="Arial" w:hAnsi="Arial" w:cs="Arial"/>
          <w:b/>
          <w:sz w:val="22"/>
          <w:szCs w:val="22"/>
        </w:rPr>
      </w:pPr>
      <w:r>
        <w:rPr>
          <w:rFonts w:ascii="Arial" w:hAnsi="Arial" w:cs="Arial"/>
          <w:b/>
          <w:sz w:val="22"/>
          <w:szCs w:val="22"/>
        </w:rPr>
        <w:lastRenderedPageBreak/>
        <w:t>Exome Genotyping Array Preliminary Data</w:t>
      </w:r>
    </w:p>
    <w:p w:rsidR="0042431D" w:rsidRDefault="007E7E7A" w:rsidP="00125A6E">
      <w:pPr>
        <w:jc w:val="both"/>
        <w:rPr>
          <w:rFonts w:ascii="Arial" w:hAnsi="Arial" w:cs="Arial"/>
          <w:b/>
          <w:sz w:val="22"/>
          <w:szCs w:val="22"/>
        </w:rPr>
      </w:pPr>
      <w:r w:rsidRPr="003905F1">
        <w:rPr>
          <w:rFonts w:ascii="Arial" w:hAnsi="Arial" w:cs="Arial"/>
          <w:b/>
          <w:noProof/>
          <w:sz w:val="22"/>
          <w:szCs w:val="22"/>
        </w:rPr>
        <mc:AlternateContent>
          <mc:Choice Requires="wps">
            <w:drawing>
              <wp:anchor distT="0" distB="0" distL="114300" distR="114300" simplePos="0" relativeHeight="251694080" behindDoc="0" locked="0" layoutInCell="1" allowOverlap="1" wp14:anchorId="3CB90C84" wp14:editId="2221FCBF">
                <wp:simplePos x="0" y="0"/>
                <wp:positionH relativeFrom="column">
                  <wp:posOffset>3143250</wp:posOffset>
                </wp:positionH>
                <wp:positionV relativeFrom="paragraph">
                  <wp:posOffset>375285</wp:posOffset>
                </wp:positionV>
                <wp:extent cx="3790950" cy="2943225"/>
                <wp:effectExtent l="0" t="0" r="0" b="9525"/>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0" cy="2943225"/>
                        </a:xfrm>
                        <a:prstGeom prst="rect">
                          <a:avLst/>
                        </a:prstGeom>
                        <a:solidFill>
                          <a:srgbClr val="FFFFFF"/>
                        </a:solidFill>
                        <a:ln w="9525">
                          <a:noFill/>
                          <a:miter lim="800000"/>
                          <a:headEnd/>
                          <a:tailEnd/>
                        </a:ln>
                      </wps:spPr>
                      <wps:txbx>
                        <w:txbxContent>
                          <w:p w:rsidR="003905F1" w:rsidRPr="005048EB" w:rsidRDefault="00B66461" w:rsidP="00B66461">
                            <w:pPr>
                              <w:jc w:val="both"/>
                              <w:rPr>
                                <w:rFonts w:ascii="Arial" w:hAnsi="Arial" w:cs="Arial"/>
                                <w:sz w:val="22"/>
                                <w:szCs w:val="22"/>
                              </w:rPr>
                            </w:pPr>
                            <w:r>
                              <w:rPr>
                                <w:rFonts w:ascii="Arial" w:hAnsi="Arial" w:cs="Arial"/>
                                <w:sz w:val="22"/>
                                <w:szCs w:val="22"/>
                              </w:rPr>
                              <w:t xml:space="preserve">We have analyzed the exome </w:t>
                            </w:r>
                            <w:proofErr w:type="spellStart"/>
                            <w:r>
                              <w:rPr>
                                <w:rFonts w:ascii="Arial" w:hAnsi="Arial" w:cs="Arial"/>
                                <w:sz w:val="22"/>
                                <w:szCs w:val="22"/>
                              </w:rPr>
                              <w:t>beadchip</w:t>
                            </w:r>
                            <w:proofErr w:type="spellEnd"/>
                            <w:r>
                              <w:rPr>
                                <w:rFonts w:ascii="Arial" w:hAnsi="Arial" w:cs="Arial"/>
                                <w:sz w:val="22"/>
                                <w:szCs w:val="22"/>
                              </w:rPr>
                              <w:t xml:space="preserve"> data as part of several PMRP-based studies. </w:t>
                            </w:r>
                            <w:r w:rsidR="00A804FA">
                              <w:rPr>
                                <w:rFonts w:ascii="Arial" w:hAnsi="Arial" w:cs="Arial"/>
                                <w:sz w:val="22"/>
                                <w:szCs w:val="22"/>
                              </w:rPr>
                              <w:t xml:space="preserve">~250k nonsynonymous coding variants, &gt;5k GWAS-significant SNPs, &gt;5k grid of common SNPs, AIM SNPs, HLA tagging SNPs, and IBD SNPs are included on the </w:t>
                            </w:r>
                            <w:proofErr w:type="spellStart"/>
                            <w:r w:rsidR="00A804FA">
                              <w:rPr>
                                <w:rFonts w:ascii="Arial" w:hAnsi="Arial" w:cs="Arial"/>
                                <w:sz w:val="22"/>
                                <w:szCs w:val="22"/>
                              </w:rPr>
                              <w:t>beadchip</w:t>
                            </w:r>
                            <w:proofErr w:type="spellEnd"/>
                            <w:r w:rsidR="00A804FA">
                              <w:rPr>
                                <w:rFonts w:ascii="Arial" w:hAnsi="Arial" w:cs="Arial"/>
                                <w:sz w:val="22"/>
                                <w:szCs w:val="22"/>
                              </w:rPr>
                              <w:t xml:space="preserve">. </w:t>
                            </w:r>
                            <w:r>
                              <w:rPr>
                                <w:rFonts w:ascii="Arial" w:hAnsi="Arial" w:cs="Arial"/>
                                <w:sz w:val="22"/>
                                <w:szCs w:val="22"/>
                              </w:rPr>
                              <w:t xml:space="preserve">Various QC procedures have been applied to these data including PCA on AIM SNPs to identify genetic background outliers, determination of variants that pass quality control criteria (PASS), calculation of Hardy-Weinberg exact p-values, and kinship coefficient calculations to identify cryptic relatedness. In addition, we have </w:t>
                            </w:r>
                            <w:proofErr w:type="gramStart"/>
                            <w:r>
                              <w:rPr>
                                <w:rFonts w:ascii="Arial" w:hAnsi="Arial" w:cs="Arial"/>
                                <w:sz w:val="22"/>
                                <w:szCs w:val="22"/>
                              </w:rPr>
                              <w:t>phased</w:t>
                            </w:r>
                            <w:proofErr w:type="gramEnd"/>
                            <w:r>
                              <w:rPr>
                                <w:rFonts w:ascii="Arial" w:hAnsi="Arial" w:cs="Arial"/>
                                <w:sz w:val="22"/>
                                <w:szCs w:val="22"/>
                              </w:rPr>
                              <w:t xml:space="preserve"> all of these data using Beagle</w:t>
                            </w:r>
                            <w:r w:rsidRPr="00B66461">
                              <w:rPr>
                                <w:rFonts w:ascii="Arial" w:hAnsi="Arial" w:cs="Arial"/>
                                <w:sz w:val="22"/>
                                <w:szCs w:val="22"/>
                                <w:vertAlign w:val="superscript"/>
                              </w:rPr>
                              <w:t>73</w:t>
                            </w:r>
                            <w:r>
                              <w:rPr>
                                <w:rFonts w:ascii="Arial" w:hAnsi="Arial" w:cs="Arial"/>
                                <w:sz w:val="22"/>
                                <w:szCs w:val="22"/>
                              </w:rPr>
                              <w:t xml:space="preserve"> and used the resulting haplotypes to conduct scans of disease association. This Quantile-Quantile plot shows one such scan investigating rheumatoid arthritis under </w:t>
                            </w:r>
                            <w:r w:rsidR="007E7E7A">
                              <w:rPr>
                                <w:rFonts w:ascii="Arial" w:hAnsi="Arial" w:cs="Arial"/>
                                <w:sz w:val="22"/>
                                <w:szCs w:val="22"/>
                              </w:rPr>
                              <w:t xml:space="preserve">a recessive mode of inheritance using gene-based data.  The positive control, HLA-DRB1 showed significant association. </w:t>
                            </w:r>
                            <w:r>
                              <w:rPr>
                                <w:rFonts w:ascii="Arial" w:hAnsi="Arial" w:cs="Arial"/>
                                <w:sz w:val="22"/>
                                <w:szCs w:val="2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247.5pt;margin-top:29.55pt;width:298.5pt;height:231.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" stroked="f">
                <v:textbox>
                  <w:txbxContent>
                    <w:p w:rsidR="003905F1" w:rsidRPr="005048EB" w:rsidRDefault="00B66461" w:rsidP="00B66461">
                      <w:pPr>
                        <w:jc w:val="both"/>
                        <w:rPr>
                          <w:rFonts w:ascii="Arial" w:hAnsi="Arial" w:cs="Arial"/>
                          <w:sz w:val="22"/>
                          <w:szCs w:val="22"/>
                        </w:rPr>
                      </w:pPr>
                      <w:r>
                        <w:rPr>
                          <w:rFonts w:ascii="Arial" w:hAnsi="Arial" w:cs="Arial"/>
                          <w:sz w:val="22"/>
                          <w:szCs w:val="22"/>
                        </w:rPr>
                        <w:t xml:space="preserve">We have analyzed the exome </w:t>
                      </w:r>
                      <w:proofErr w:type="spellStart"/>
                      <w:r>
                        <w:rPr>
                          <w:rFonts w:ascii="Arial" w:hAnsi="Arial" w:cs="Arial"/>
                          <w:sz w:val="22"/>
                          <w:szCs w:val="22"/>
                        </w:rPr>
                        <w:t>beadchip</w:t>
                      </w:r>
                      <w:proofErr w:type="spellEnd"/>
                      <w:r>
                        <w:rPr>
                          <w:rFonts w:ascii="Arial" w:hAnsi="Arial" w:cs="Arial"/>
                          <w:sz w:val="22"/>
                          <w:szCs w:val="22"/>
                        </w:rPr>
                        <w:t xml:space="preserve"> data as part of several PMRP-based studies. </w:t>
                      </w:r>
                      <w:r w:rsidR="00A804FA">
                        <w:rPr>
                          <w:rFonts w:ascii="Arial" w:hAnsi="Arial" w:cs="Arial"/>
                          <w:sz w:val="22"/>
                          <w:szCs w:val="22"/>
                        </w:rPr>
                        <w:t xml:space="preserve">~250k nonsynonymous coding variants, &gt;5k GWAS-significant SNPs, &gt;5k grid of common SNPs, AIM SNPs, HLA tagging SNPs, and IBD SNPs are included on the </w:t>
                      </w:r>
                      <w:proofErr w:type="spellStart"/>
                      <w:r w:rsidR="00A804FA">
                        <w:rPr>
                          <w:rFonts w:ascii="Arial" w:hAnsi="Arial" w:cs="Arial"/>
                          <w:sz w:val="22"/>
                          <w:szCs w:val="22"/>
                        </w:rPr>
                        <w:t>beadchip</w:t>
                      </w:r>
                      <w:proofErr w:type="spellEnd"/>
                      <w:r w:rsidR="00A804FA">
                        <w:rPr>
                          <w:rFonts w:ascii="Arial" w:hAnsi="Arial" w:cs="Arial"/>
                          <w:sz w:val="22"/>
                          <w:szCs w:val="22"/>
                        </w:rPr>
                        <w:t xml:space="preserve">. </w:t>
                      </w:r>
                      <w:r>
                        <w:rPr>
                          <w:rFonts w:ascii="Arial" w:hAnsi="Arial" w:cs="Arial"/>
                          <w:sz w:val="22"/>
                          <w:szCs w:val="22"/>
                        </w:rPr>
                        <w:t xml:space="preserve">Various QC procedures have been applied to these data including PCA on AIM SNPs to identify genetic background outliers, determination of variants that pass quality control criteria (PASS), calculation of Hardy-Weinberg exact p-values, and kinship coefficient calculations to identify cryptic relatedness. In addition, we have </w:t>
                      </w:r>
                      <w:proofErr w:type="gramStart"/>
                      <w:r>
                        <w:rPr>
                          <w:rFonts w:ascii="Arial" w:hAnsi="Arial" w:cs="Arial"/>
                          <w:sz w:val="22"/>
                          <w:szCs w:val="22"/>
                        </w:rPr>
                        <w:t>phased</w:t>
                      </w:r>
                      <w:proofErr w:type="gramEnd"/>
                      <w:r>
                        <w:rPr>
                          <w:rFonts w:ascii="Arial" w:hAnsi="Arial" w:cs="Arial"/>
                          <w:sz w:val="22"/>
                          <w:szCs w:val="22"/>
                        </w:rPr>
                        <w:t xml:space="preserve"> all of these data using Beagle</w:t>
                      </w:r>
                      <w:r w:rsidRPr="00B66461">
                        <w:rPr>
                          <w:rFonts w:ascii="Arial" w:hAnsi="Arial" w:cs="Arial"/>
                          <w:sz w:val="22"/>
                          <w:szCs w:val="22"/>
                          <w:vertAlign w:val="superscript"/>
                        </w:rPr>
                        <w:t>73</w:t>
                      </w:r>
                      <w:r>
                        <w:rPr>
                          <w:rFonts w:ascii="Arial" w:hAnsi="Arial" w:cs="Arial"/>
                          <w:sz w:val="22"/>
                          <w:szCs w:val="22"/>
                        </w:rPr>
                        <w:t xml:space="preserve"> and used the resulting haplotypes to conduct scans of disease association. This Quantile-Quantile plot shows one such scan investigating rheumatoid arthritis under </w:t>
                      </w:r>
                      <w:r w:rsidR="007E7E7A">
                        <w:rPr>
                          <w:rFonts w:ascii="Arial" w:hAnsi="Arial" w:cs="Arial"/>
                          <w:sz w:val="22"/>
                          <w:szCs w:val="22"/>
                        </w:rPr>
                        <w:t xml:space="preserve">a recessive mode of inheritance using gene-based data.  The positive control, HLA-DRB1 showed significant association. </w:t>
                      </w:r>
                      <w:r>
                        <w:rPr>
                          <w:rFonts w:ascii="Arial" w:hAnsi="Arial" w:cs="Arial"/>
                          <w:sz w:val="22"/>
                          <w:szCs w:val="22"/>
                        </w:rPr>
                        <w:t xml:space="preserve">   </w:t>
                      </w:r>
                    </w:p>
                  </w:txbxContent>
                </v:textbox>
              </v:shape>
            </w:pict>
          </mc:Fallback>
        </mc:AlternateContent>
      </w:r>
      <w:r w:rsidR="003905F1">
        <w:rPr>
          <w:rFonts w:ascii="Arial" w:hAnsi="Arial" w:cs="Arial"/>
          <w:b/>
          <w:noProof/>
          <w:sz w:val="22"/>
          <w:szCs w:val="22"/>
        </w:rPr>
        <w:drawing>
          <wp:inline distT="0" distB="0" distL="0" distR="0" wp14:anchorId="6C4BE051" wp14:editId="35E96176">
            <wp:extent cx="3448050" cy="3448050"/>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_pilot.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48050" cy="3448050"/>
                    </a:xfrm>
                    <a:prstGeom prst="rect">
                      <a:avLst/>
                    </a:prstGeom>
                  </pic:spPr>
                </pic:pic>
              </a:graphicData>
            </a:graphic>
          </wp:inline>
        </w:drawing>
      </w:r>
    </w:p>
    <w:p w:rsidR="00A452BE" w:rsidRDefault="00383522" w:rsidP="00A452BE">
      <w:pPr>
        <w:jc w:val="both"/>
        <w:rPr>
          <w:rFonts w:ascii="Arial" w:hAnsi="Arial" w:cs="Arial"/>
          <w:b/>
          <w:sz w:val="22"/>
          <w:szCs w:val="22"/>
        </w:rPr>
      </w:pPr>
      <w:r>
        <w:rPr>
          <w:rFonts w:ascii="Arial" w:hAnsi="Arial" w:cs="Arial"/>
          <w:b/>
          <w:sz w:val="22"/>
          <w:szCs w:val="22"/>
        </w:rPr>
        <w:t>Specific Aim 2</w:t>
      </w:r>
    </w:p>
    <w:p w:rsidR="004157E8" w:rsidRPr="00A452BE" w:rsidRDefault="004157E8" w:rsidP="00A452BE">
      <w:pPr>
        <w:jc w:val="both"/>
        <w:rPr>
          <w:rFonts w:ascii="Arial" w:hAnsi="Arial" w:cs="Arial"/>
          <w:b/>
          <w:sz w:val="22"/>
          <w:szCs w:val="22"/>
        </w:rPr>
      </w:pPr>
      <w:r>
        <w:rPr>
          <w:noProof/>
        </w:rPr>
        <mc:AlternateContent>
          <mc:Choice Requires="wps">
            <w:drawing>
              <wp:anchor distT="0" distB="0" distL="114300" distR="114300" simplePos="0" relativeHeight="251661312" behindDoc="0" locked="0" layoutInCell="1" allowOverlap="1" wp14:anchorId="4764E95A" wp14:editId="0558F911">
                <wp:simplePos x="0" y="0"/>
                <wp:positionH relativeFrom="column">
                  <wp:posOffset>-47625</wp:posOffset>
                </wp:positionH>
                <wp:positionV relativeFrom="paragraph">
                  <wp:posOffset>97790</wp:posOffset>
                </wp:positionV>
                <wp:extent cx="6981825" cy="4476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6981825" cy="4476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3.75pt;margin-top:7.7pt;width:549.75pt;height:3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" filled="f" strokecolor="red" strokeweight="2pt"/>
            </w:pict>
          </mc:Fallback>
        </mc:AlternateContent>
      </w:r>
    </w:p>
    <w:p w:rsidR="004157E8" w:rsidRDefault="00521575" w:rsidP="00125A6E">
      <w:pPr>
        <w:jc w:val="both"/>
        <w:rPr>
          <w:rFonts w:ascii="Arial" w:hAnsi="Arial" w:cs="Arial"/>
          <w:b/>
          <w:sz w:val="22"/>
          <w:szCs w:val="22"/>
        </w:rPr>
      </w:pPr>
      <w:r>
        <w:rPr>
          <w:rFonts w:ascii="Arial" w:hAnsi="Arial" w:cs="Arial"/>
          <w:b/>
          <w:sz w:val="22"/>
          <w:szCs w:val="22"/>
        </w:rPr>
        <w:t>To optimally classify cases and controls using genetics and circulating proteins in DNA and plasma obtained prior to clinical diagnosis.</w:t>
      </w:r>
    </w:p>
    <w:p w:rsidR="00A102D5" w:rsidRDefault="00A102D5" w:rsidP="00125A6E">
      <w:pPr>
        <w:jc w:val="both"/>
        <w:rPr>
          <w:rFonts w:ascii="Arial" w:hAnsi="Arial" w:cs="Arial"/>
          <w:b/>
          <w:sz w:val="22"/>
          <w:szCs w:val="22"/>
        </w:rPr>
      </w:pPr>
    </w:p>
    <w:p w:rsidR="007D638D" w:rsidRPr="00A452BE" w:rsidRDefault="00423A08" w:rsidP="00125A6E">
      <w:pPr>
        <w:jc w:val="both"/>
        <w:rPr>
          <w:rFonts w:ascii="Arial" w:hAnsi="Arial" w:cs="Arial"/>
          <w:b/>
          <w:sz w:val="22"/>
          <w:szCs w:val="22"/>
        </w:rPr>
      </w:pPr>
      <w:r>
        <w:rPr>
          <w:rFonts w:ascii="Arial" w:hAnsi="Arial" w:cs="Arial"/>
          <w:b/>
          <w:sz w:val="22"/>
          <w:szCs w:val="22"/>
        </w:rPr>
        <w:t>Predictive Modeling</w:t>
      </w:r>
      <w:r w:rsidR="00A452BE">
        <w:rPr>
          <w:rFonts w:ascii="Arial" w:hAnsi="Arial" w:cs="Arial"/>
          <w:b/>
          <w:sz w:val="22"/>
          <w:szCs w:val="22"/>
        </w:rPr>
        <w:t xml:space="preserve">: </w:t>
      </w:r>
      <w:r w:rsidR="009F0678">
        <w:rPr>
          <w:rFonts w:ascii="Arial" w:hAnsi="Arial" w:cs="Arial"/>
          <w:sz w:val="22"/>
          <w:szCs w:val="22"/>
        </w:rPr>
        <w:t>Machine learning approaches have revolutionized the analysis of high dimensional data sets and this is particularly true with regard to developing robust classifiers. Bayesian Networks are a</w:t>
      </w:r>
      <w:r w:rsidR="00CA4939">
        <w:rPr>
          <w:rFonts w:ascii="Arial" w:hAnsi="Arial" w:cs="Arial"/>
          <w:sz w:val="22"/>
          <w:szCs w:val="22"/>
        </w:rPr>
        <w:t>n important, well-studied</w:t>
      </w:r>
      <w:r w:rsidR="009F0678">
        <w:rPr>
          <w:rFonts w:ascii="Arial" w:hAnsi="Arial" w:cs="Arial"/>
          <w:sz w:val="22"/>
          <w:szCs w:val="22"/>
        </w:rPr>
        <w:t xml:space="preserve"> class of predictive modeling algorithms which</w:t>
      </w:r>
      <w:r>
        <w:rPr>
          <w:rFonts w:ascii="Arial" w:hAnsi="Arial" w:cs="Arial"/>
          <w:sz w:val="22"/>
          <w:szCs w:val="22"/>
        </w:rPr>
        <w:t xml:space="preserve">, in general, </w:t>
      </w:r>
      <w:r w:rsidR="009F0678">
        <w:rPr>
          <w:rFonts w:ascii="Arial" w:hAnsi="Arial" w:cs="Arial"/>
          <w:sz w:val="22"/>
          <w:szCs w:val="22"/>
        </w:rPr>
        <w:t xml:space="preserve">produce </w:t>
      </w:r>
      <w:r w:rsidR="007177A5">
        <w:rPr>
          <w:rFonts w:ascii="Arial" w:hAnsi="Arial" w:cs="Arial"/>
          <w:sz w:val="22"/>
          <w:szCs w:val="22"/>
        </w:rPr>
        <w:t>accurate and transparent results</w:t>
      </w:r>
      <w:r>
        <w:rPr>
          <w:rFonts w:ascii="Arial" w:hAnsi="Arial" w:cs="Arial"/>
          <w:sz w:val="22"/>
          <w:szCs w:val="22"/>
        </w:rPr>
        <w:t xml:space="preserve">. </w:t>
      </w:r>
      <w:r w:rsidR="00DF4652">
        <w:rPr>
          <w:rFonts w:ascii="Arial" w:hAnsi="Arial" w:cs="Arial"/>
          <w:sz w:val="22"/>
          <w:szCs w:val="22"/>
        </w:rPr>
        <w:t xml:space="preserve">As other types of predictive models may perform well on these data, we will be flexible in our classifier approaches and also perform logistic regression with adaptive Lasso. </w:t>
      </w:r>
      <w:r w:rsidR="009F1B87">
        <w:rPr>
          <w:rFonts w:ascii="Arial" w:hAnsi="Arial" w:cs="Arial"/>
          <w:sz w:val="22"/>
          <w:szCs w:val="22"/>
        </w:rPr>
        <w:t xml:space="preserve">Dr. Maadooliat has considerable expertise in employing high-dimensional logistic regression with L1 penalty procedures. </w:t>
      </w:r>
      <w:r w:rsidR="00DF4652">
        <w:rPr>
          <w:rFonts w:ascii="Arial" w:hAnsi="Arial" w:cs="Arial"/>
          <w:sz w:val="22"/>
          <w:szCs w:val="22"/>
        </w:rPr>
        <w:t xml:space="preserve">   </w:t>
      </w:r>
    </w:p>
    <w:p w:rsidR="00423A08" w:rsidRDefault="00423A08" w:rsidP="002A4FD6">
      <w:pPr>
        <w:spacing w:line="120" w:lineRule="auto"/>
        <w:jc w:val="both"/>
        <w:rPr>
          <w:rFonts w:ascii="Arial" w:hAnsi="Arial" w:cs="Arial"/>
          <w:sz w:val="22"/>
          <w:szCs w:val="22"/>
        </w:rPr>
      </w:pPr>
    </w:p>
    <w:p w:rsidR="00423A08" w:rsidRPr="00A452BE" w:rsidRDefault="00423A08" w:rsidP="00125A6E">
      <w:pPr>
        <w:jc w:val="both"/>
        <w:rPr>
          <w:rFonts w:ascii="Arial" w:hAnsi="Arial" w:cs="Arial"/>
          <w:b/>
          <w:sz w:val="22"/>
          <w:szCs w:val="22"/>
        </w:rPr>
      </w:pPr>
      <w:r w:rsidRPr="00423A08">
        <w:rPr>
          <w:rFonts w:ascii="Arial" w:hAnsi="Arial" w:cs="Arial"/>
          <w:b/>
          <w:sz w:val="22"/>
          <w:szCs w:val="22"/>
        </w:rPr>
        <w:t>Feature Selection</w:t>
      </w:r>
      <w:r w:rsidR="00A452BE">
        <w:rPr>
          <w:rFonts w:ascii="Arial" w:hAnsi="Arial" w:cs="Arial"/>
          <w:b/>
          <w:sz w:val="22"/>
          <w:szCs w:val="22"/>
        </w:rPr>
        <w:t xml:space="preserve">: </w:t>
      </w:r>
      <w:r w:rsidR="00A102D5">
        <w:rPr>
          <w:rFonts w:ascii="Arial" w:hAnsi="Arial" w:cs="Arial"/>
          <w:sz w:val="22"/>
          <w:szCs w:val="22"/>
        </w:rPr>
        <w:t xml:space="preserve">To prime the molecular data for feature selection and greatly improve computational efficiency on these large data sets, we will apply Sure Independence Screening to the full set of molecular variables. Following SIS, we will use an Elastic Net logistic regression for feature selection across exome variants, GWAS-significant SNPs, cytokines, chemokines, metabolic proteins and antibodies.     </w:t>
      </w:r>
    </w:p>
    <w:p w:rsidR="00DC5901" w:rsidRDefault="00DC5901" w:rsidP="002A4FD6">
      <w:pPr>
        <w:spacing w:line="120" w:lineRule="auto"/>
        <w:jc w:val="both"/>
        <w:rPr>
          <w:rFonts w:ascii="Arial" w:hAnsi="Arial" w:cs="Arial"/>
          <w:b/>
          <w:sz w:val="22"/>
          <w:szCs w:val="22"/>
        </w:rPr>
      </w:pPr>
    </w:p>
    <w:p w:rsidR="0002191D" w:rsidRPr="006A5A7C" w:rsidRDefault="00423A08" w:rsidP="00125A6E">
      <w:pPr>
        <w:jc w:val="both"/>
        <w:rPr>
          <w:rFonts w:ascii="Arial" w:hAnsi="Arial" w:cs="Arial"/>
          <w:b/>
          <w:sz w:val="22"/>
          <w:szCs w:val="22"/>
        </w:rPr>
      </w:pPr>
      <w:r>
        <w:rPr>
          <w:rFonts w:ascii="Arial" w:hAnsi="Arial" w:cs="Arial"/>
          <w:b/>
          <w:sz w:val="22"/>
          <w:szCs w:val="22"/>
        </w:rPr>
        <w:t>Bayesian Network Classifier</w:t>
      </w:r>
      <w:r w:rsidR="00A452BE">
        <w:rPr>
          <w:rFonts w:ascii="Arial" w:hAnsi="Arial" w:cs="Arial"/>
          <w:b/>
          <w:sz w:val="22"/>
          <w:szCs w:val="22"/>
        </w:rPr>
        <w:t xml:space="preserve">: </w:t>
      </w:r>
      <w:r w:rsidR="005C2761" w:rsidRPr="005C2761">
        <w:rPr>
          <w:rFonts w:ascii="Arial" w:hAnsi="Arial" w:cs="Arial"/>
          <w:sz w:val="22"/>
          <w:szCs w:val="22"/>
        </w:rPr>
        <w:t xml:space="preserve">Following feature selection, </w:t>
      </w:r>
      <w:r w:rsidR="000E6CE7">
        <w:rPr>
          <w:rFonts w:ascii="Arial" w:hAnsi="Arial" w:cs="Arial"/>
          <w:sz w:val="22"/>
          <w:szCs w:val="22"/>
        </w:rPr>
        <w:t xml:space="preserve">we will primarily use Bayesian Network classifiers to generate predictive models. Bayesian Networks are directed acyclic graphs, often used to model and analyze biological data. </w:t>
      </w:r>
      <w:r w:rsidR="0002191D">
        <w:rPr>
          <w:rFonts w:ascii="Arial" w:hAnsi="Arial" w:cs="Arial"/>
          <w:sz w:val="22"/>
          <w:szCs w:val="22"/>
        </w:rPr>
        <w:t>In essence, within the context of disease classification, Bayesian Networks calculate the PPD through Bayes theorem:</w:t>
      </w:r>
    </w:p>
    <w:p w:rsidR="00423A08" w:rsidRPr="005C2761" w:rsidRDefault="006B7ACC" w:rsidP="00125A6E">
      <w:pPr>
        <w:jc w:val="both"/>
        <w:rPr>
          <w:rFonts w:ascii="Arial" w:hAnsi="Arial" w:cs="Arial"/>
          <w:sz w:val="22"/>
          <w:szCs w:val="22"/>
        </w:rPr>
      </w:pPr>
      <m:oMath>
        <m:r>
          <w:rPr>
            <w:rFonts w:ascii="Cambria Math" w:hAnsi="Cambria Math" w:cs="Arial"/>
            <w:sz w:val="32"/>
            <w:szCs w:val="32"/>
          </w:rPr>
          <m:t>P</m:t>
        </m:r>
        <m:d>
          <m:dPr>
            <m:ctrlPr>
              <w:rPr>
                <w:rFonts w:ascii="Cambria Math" w:hAnsi="Cambria Math" w:cs="Arial"/>
                <w:i/>
                <w:sz w:val="32"/>
                <w:szCs w:val="32"/>
              </w:rPr>
            </m:ctrlPr>
          </m:dPr>
          <m:e>
            <m:r>
              <w:rPr>
                <w:rFonts w:ascii="Cambria Math" w:hAnsi="Cambria Math" w:cs="Arial"/>
                <w:sz w:val="32"/>
                <w:szCs w:val="32"/>
              </w:rPr>
              <m:t>D</m:t>
            </m:r>
          </m:e>
          <m:e>
            <m:nary>
              <m:naryPr>
                <m:chr m:val="⋂"/>
                <m:limLoc m:val="subSup"/>
                <m:ctrlPr>
                  <w:rPr>
                    <w:rFonts w:ascii="Cambria Math" w:hAnsi="Cambria Math" w:cs="Arial"/>
                    <w:i/>
                    <w:sz w:val="32"/>
                    <w:szCs w:val="32"/>
                  </w:rPr>
                </m:ctrlPr>
              </m:naryPr>
              <m:sub>
                <m:r>
                  <w:rPr>
                    <w:rFonts w:ascii="Cambria Math" w:hAnsi="Cambria Math" w:cs="Arial"/>
                    <w:sz w:val="32"/>
                    <w:szCs w:val="32"/>
                  </w:rPr>
                  <m:t>i=1</m:t>
                </m:r>
              </m:sub>
              <m:sup>
                <m:r>
                  <w:rPr>
                    <w:rFonts w:ascii="Cambria Math" w:hAnsi="Cambria Math" w:cs="Arial"/>
                    <w:sz w:val="32"/>
                    <w:szCs w:val="32"/>
                  </w:rPr>
                  <m:t>n</m:t>
                </m:r>
              </m:sup>
              <m:e>
                <m:sSub>
                  <m:sSubPr>
                    <m:ctrlPr>
                      <w:rPr>
                        <w:rFonts w:ascii="Cambria Math" w:hAnsi="Cambria Math" w:cs="Arial"/>
                        <w:i/>
                        <w:sz w:val="32"/>
                        <w:szCs w:val="32"/>
                      </w:rPr>
                    </m:ctrlPr>
                  </m:sSubPr>
                  <m:e>
                    <m:r>
                      <w:rPr>
                        <w:rFonts w:ascii="Cambria Math" w:hAnsi="Cambria Math" w:cs="Arial"/>
                        <w:sz w:val="32"/>
                        <w:szCs w:val="32"/>
                      </w:rPr>
                      <m:t>F</m:t>
                    </m:r>
                  </m:e>
                  <m:sub>
                    <m:r>
                      <w:rPr>
                        <w:rFonts w:ascii="Cambria Math" w:hAnsi="Cambria Math" w:cs="Arial"/>
                        <w:sz w:val="32"/>
                        <w:szCs w:val="32"/>
                      </w:rPr>
                      <m:t>i</m:t>
                    </m:r>
                  </m:sub>
                </m:sSub>
              </m:e>
            </m:nary>
          </m:e>
        </m:d>
        <m:r>
          <w:rPr>
            <w:rFonts w:ascii="Cambria Math" w:hAnsi="Cambria Math" w:cs="Arial"/>
            <w:sz w:val="32"/>
            <w:szCs w:val="32"/>
          </w:rPr>
          <m:t>=</m:t>
        </m:r>
        <m:f>
          <m:fPr>
            <m:ctrlPr>
              <w:rPr>
                <w:rFonts w:ascii="Cambria Math" w:hAnsi="Cambria Math" w:cs="Arial"/>
                <w:i/>
                <w:sz w:val="32"/>
                <w:szCs w:val="32"/>
              </w:rPr>
            </m:ctrlPr>
          </m:fPr>
          <m:num>
            <m:r>
              <w:rPr>
                <w:rFonts w:ascii="Cambria Math" w:hAnsi="Cambria Math" w:cs="Arial"/>
                <w:sz w:val="32"/>
                <w:szCs w:val="32"/>
              </w:rPr>
              <m:t>P</m:t>
            </m:r>
            <m:d>
              <m:dPr>
                <m:ctrlPr>
                  <w:rPr>
                    <w:rFonts w:ascii="Cambria Math" w:hAnsi="Cambria Math" w:cs="Arial"/>
                    <w:i/>
                    <w:sz w:val="32"/>
                    <w:szCs w:val="32"/>
                  </w:rPr>
                </m:ctrlPr>
              </m:dPr>
              <m:e>
                <m:nary>
                  <m:naryPr>
                    <m:chr m:val="⋂"/>
                    <m:limLoc m:val="subSup"/>
                    <m:ctrlPr>
                      <w:rPr>
                        <w:rFonts w:ascii="Cambria Math" w:hAnsi="Cambria Math" w:cs="Arial"/>
                        <w:i/>
                        <w:sz w:val="32"/>
                        <w:szCs w:val="32"/>
                      </w:rPr>
                    </m:ctrlPr>
                  </m:naryPr>
                  <m:sub>
                    <m:r>
                      <w:rPr>
                        <w:rFonts w:ascii="Cambria Math" w:hAnsi="Cambria Math" w:cs="Arial"/>
                        <w:sz w:val="32"/>
                        <w:szCs w:val="32"/>
                      </w:rPr>
                      <m:t>i=1</m:t>
                    </m:r>
                  </m:sub>
                  <m:sup>
                    <m:r>
                      <w:rPr>
                        <w:rFonts w:ascii="Cambria Math" w:hAnsi="Cambria Math" w:cs="Arial"/>
                        <w:sz w:val="32"/>
                        <w:szCs w:val="32"/>
                      </w:rPr>
                      <m:t>n</m:t>
                    </m:r>
                  </m:sup>
                  <m:e>
                    <m:sSub>
                      <m:sSubPr>
                        <m:ctrlPr>
                          <w:rPr>
                            <w:rFonts w:ascii="Cambria Math" w:hAnsi="Cambria Math" w:cs="Arial"/>
                            <w:i/>
                            <w:sz w:val="32"/>
                            <w:szCs w:val="32"/>
                          </w:rPr>
                        </m:ctrlPr>
                      </m:sSubPr>
                      <m:e>
                        <m:r>
                          <w:rPr>
                            <w:rFonts w:ascii="Cambria Math" w:hAnsi="Cambria Math" w:cs="Arial"/>
                            <w:sz w:val="32"/>
                            <w:szCs w:val="32"/>
                          </w:rPr>
                          <m:t>F</m:t>
                        </m:r>
                      </m:e>
                      <m:sub>
                        <m:r>
                          <w:rPr>
                            <w:rFonts w:ascii="Cambria Math" w:hAnsi="Cambria Math" w:cs="Arial"/>
                            <w:sz w:val="32"/>
                            <w:szCs w:val="32"/>
                          </w:rPr>
                          <m:t>i</m:t>
                        </m:r>
                      </m:sub>
                    </m:sSub>
                  </m:e>
                </m:nary>
              </m:e>
              <m:e>
                <m:r>
                  <w:rPr>
                    <w:rFonts w:ascii="Cambria Math" w:hAnsi="Cambria Math" w:cs="Arial"/>
                    <w:sz w:val="32"/>
                    <w:szCs w:val="32"/>
                  </w:rPr>
                  <m:t>D</m:t>
                </m:r>
              </m:e>
            </m:d>
            <m:r>
              <w:rPr>
                <w:rFonts w:ascii="Cambria Math" w:hAnsi="Cambria Math" w:cs="Arial"/>
                <w:sz w:val="32"/>
                <w:szCs w:val="32"/>
              </w:rPr>
              <m:t>P</m:t>
            </m:r>
            <m:d>
              <m:dPr>
                <m:ctrlPr>
                  <w:rPr>
                    <w:rFonts w:ascii="Cambria Math" w:hAnsi="Cambria Math" w:cs="Arial"/>
                    <w:i/>
                    <w:sz w:val="32"/>
                    <w:szCs w:val="32"/>
                  </w:rPr>
                </m:ctrlPr>
              </m:dPr>
              <m:e>
                <m:r>
                  <w:rPr>
                    <w:rFonts w:ascii="Cambria Math" w:hAnsi="Cambria Math" w:cs="Arial"/>
                    <w:sz w:val="32"/>
                    <w:szCs w:val="32"/>
                  </w:rPr>
                  <m:t>D</m:t>
                </m:r>
              </m:e>
            </m:d>
          </m:num>
          <m:den>
            <m:r>
              <w:rPr>
                <w:rFonts w:ascii="Cambria Math" w:hAnsi="Cambria Math" w:cs="Arial"/>
                <w:sz w:val="32"/>
                <w:szCs w:val="32"/>
              </w:rPr>
              <m:t>P</m:t>
            </m:r>
            <m:d>
              <m:dPr>
                <m:ctrlPr>
                  <w:rPr>
                    <w:rFonts w:ascii="Cambria Math" w:hAnsi="Cambria Math" w:cs="Arial"/>
                    <w:i/>
                    <w:sz w:val="32"/>
                    <w:szCs w:val="32"/>
                  </w:rPr>
                </m:ctrlPr>
              </m:dPr>
              <m:e>
                <m:nary>
                  <m:naryPr>
                    <m:chr m:val="⋂"/>
                    <m:limLoc m:val="subSup"/>
                    <m:ctrlPr>
                      <w:rPr>
                        <w:rFonts w:ascii="Cambria Math" w:hAnsi="Cambria Math" w:cs="Arial"/>
                        <w:i/>
                        <w:sz w:val="32"/>
                        <w:szCs w:val="32"/>
                      </w:rPr>
                    </m:ctrlPr>
                  </m:naryPr>
                  <m:sub>
                    <m:r>
                      <w:rPr>
                        <w:rFonts w:ascii="Cambria Math" w:hAnsi="Cambria Math" w:cs="Arial"/>
                        <w:sz w:val="32"/>
                        <w:szCs w:val="32"/>
                      </w:rPr>
                      <m:t>i=1</m:t>
                    </m:r>
                  </m:sub>
                  <m:sup>
                    <m:r>
                      <w:rPr>
                        <w:rFonts w:ascii="Cambria Math" w:hAnsi="Cambria Math" w:cs="Arial"/>
                        <w:sz w:val="32"/>
                        <w:szCs w:val="32"/>
                      </w:rPr>
                      <m:t>n</m:t>
                    </m:r>
                  </m:sup>
                  <m:e>
                    <m:sSub>
                      <m:sSubPr>
                        <m:ctrlPr>
                          <w:rPr>
                            <w:rFonts w:ascii="Cambria Math" w:hAnsi="Cambria Math" w:cs="Arial"/>
                            <w:i/>
                            <w:sz w:val="32"/>
                            <w:szCs w:val="32"/>
                          </w:rPr>
                        </m:ctrlPr>
                      </m:sSubPr>
                      <m:e>
                        <m:r>
                          <w:rPr>
                            <w:rFonts w:ascii="Cambria Math" w:hAnsi="Cambria Math" w:cs="Arial"/>
                            <w:sz w:val="32"/>
                            <w:szCs w:val="32"/>
                          </w:rPr>
                          <m:t>F</m:t>
                        </m:r>
                      </m:e>
                      <m:sub>
                        <m:r>
                          <w:rPr>
                            <w:rFonts w:ascii="Cambria Math" w:hAnsi="Cambria Math" w:cs="Arial"/>
                            <w:sz w:val="32"/>
                            <w:szCs w:val="32"/>
                          </w:rPr>
                          <m:t>i</m:t>
                        </m:r>
                      </m:sub>
                    </m:sSub>
                  </m:e>
                </m:nary>
              </m:e>
            </m:d>
          </m:den>
        </m:f>
      </m:oMath>
      <w:r w:rsidR="00AC30B2">
        <w:rPr>
          <w:rFonts w:ascii="Arial" w:hAnsi="Arial" w:cs="Arial"/>
          <w:sz w:val="22"/>
          <w:szCs w:val="22"/>
        </w:rPr>
        <w:t>;</w:t>
      </w:r>
      <w:r w:rsidR="0002191D">
        <w:rPr>
          <w:rFonts w:ascii="Arial" w:hAnsi="Arial" w:cs="Arial"/>
          <w:sz w:val="22"/>
          <w:szCs w:val="22"/>
        </w:rPr>
        <w:t xml:space="preserve"> </w:t>
      </w:r>
      <w:proofErr w:type="gramStart"/>
      <w:r w:rsidR="0002191D">
        <w:rPr>
          <w:rFonts w:ascii="Arial" w:hAnsi="Arial" w:cs="Arial"/>
          <w:sz w:val="22"/>
          <w:szCs w:val="22"/>
        </w:rPr>
        <w:t>where</w:t>
      </w:r>
      <w:proofErr w:type="gramEnd"/>
      <w:r w:rsidR="0002191D">
        <w:rPr>
          <w:rFonts w:ascii="Arial" w:hAnsi="Arial" w:cs="Arial"/>
          <w:sz w:val="22"/>
          <w:szCs w:val="22"/>
        </w:rPr>
        <w:t xml:space="preserve"> </w:t>
      </w:r>
      <m:oMath>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i</m:t>
            </m:r>
          </m:sub>
        </m:sSub>
      </m:oMath>
      <w:r w:rsidR="0002191D">
        <w:rPr>
          <w:rFonts w:ascii="Arial" w:hAnsi="Arial" w:cs="Arial"/>
          <w:sz w:val="22"/>
          <w:szCs w:val="22"/>
        </w:rPr>
        <w:t xml:space="preserve"> is the </w:t>
      </w:r>
      <w:proofErr w:type="spellStart"/>
      <w:r w:rsidR="0002191D">
        <w:rPr>
          <w:rFonts w:ascii="Arial" w:hAnsi="Arial" w:cs="Arial"/>
          <w:sz w:val="22"/>
          <w:szCs w:val="22"/>
        </w:rPr>
        <w:t>i</w:t>
      </w:r>
      <w:r w:rsidR="0002191D" w:rsidRPr="0002191D">
        <w:rPr>
          <w:rFonts w:ascii="Arial" w:hAnsi="Arial" w:cs="Arial"/>
          <w:sz w:val="22"/>
          <w:szCs w:val="22"/>
          <w:vertAlign w:val="superscript"/>
        </w:rPr>
        <w:t>th</w:t>
      </w:r>
      <w:proofErr w:type="spellEnd"/>
      <w:r w:rsidR="0002191D">
        <w:rPr>
          <w:rFonts w:ascii="Arial" w:hAnsi="Arial" w:cs="Arial"/>
          <w:sz w:val="22"/>
          <w:szCs w:val="22"/>
        </w:rPr>
        <w:t xml:space="preserve"> feature in the classifier and </w:t>
      </w:r>
      <m:oMath>
        <m:r>
          <w:rPr>
            <w:rFonts w:ascii="Cambria Math" w:hAnsi="Cambria Math" w:cs="Arial"/>
            <w:sz w:val="22"/>
            <w:szCs w:val="22"/>
          </w:rPr>
          <m:t>D</m:t>
        </m:r>
      </m:oMath>
      <w:r w:rsidR="0002191D">
        <w:rPr>
          <w:rFonts w:ascii="Arial" w:hAnsi="Arial" w:cs="Arial"/>
          <w:sz w:val="22"/>
          <w:szCs w:val="22"/>
        </w:rPr>
        <w:t xml:space="preserve"> is an indicator variable for disease status. The degree to which the joint densities are factorized depends on the covariance structure of the set of features. Applying a given threshold for the PPD enables the classification decision. </w:t>
      </w:r>
      <w:r w:rsidR="000E6CE7">
        <w:rPr>
          <w:rFonts w:ascii="Arial" w:hAnsi="Arial" w:cs="Arial"/>
          <w:sz w:val="22"/>
          <w:szCs w:val="22"/>
        </w:rPr>
        <w:t>Drs. Maadooliat</w:t>
      </w:r>
      <w:r w:rsidR="00621C21">
        <w:rPr>
          <w:rFonts w:ascii="Arial" w:hAnsi="Arial" w:cs="Arial"/>
          <w:sz w:val="22"/>
          <w:szCs w:val="22"/>
        </w:rPr>
        <w:t>, Guo</w:t>
      </w:r>
      <w:r w:rsidR="000E6CE7">
        <w:rPr>
          <w:rFonts w:ascii="Arial" w:hAnsi="Arial" w:cs="Arial"/>
          <w:sz w:val="22"/>
          <w:szCs w:val="22"/>
        </w:rPr>
        <w:t xml:space="preserve"> and Schrodi have experience using Bayesian Networks through the machine learning software Weka</w:t>
      </w:r>
      <w:r w:rsidR="00176FD2">
        <w:rPr>
          <w:rFonts w:ascii="Arial" w:hAnsi="Arial" w:cs="Arial"/>
          <w:sz w:val="22"/>
          <w:szCs w:val="22"/>
        </w:rPr>
        <w:t>, Mathematica,</w:t>
      </w:r>
      <w:r w:rsidR="000E6CE7">
        <w:rPr>
          <w:rFonts w:ascii="Arial" w:hAnsi="Arial" w:cs="Arial"/>
          <w:sz w:val="22"/>
          <w:szCs w:val="22"/>
        </w:rPr>
        <w:t xml:space="preserve"> as well as the R programming language.    </w:t>
      </w:r>
    </w:p>
    <w:p w:rsidR="007D638D" w:rsidRDefault="007D638D" w:rsidP="00610647">
      <w:pPr>
        <w:spacing w:line="120" w:lineRule="auto"/>
        <w:jc w:val="both"/>
        <w:rPr>
          <w:rFonts w:ascii="Arial" w:hAnsi="Arial" w:cs="Arial"/>
          <w:b/>
          <w:sz w:val="22"/>
          <w:szCs w:val="22"/>
        </w:rPr>
      </w:pPr>
    </w:p>
    <w:p w:rsidR="009F1B87" w:rsidRPr="00A452BE" w:rsidRDefault="009F1B87" w:rsidP="00125A6E">
      <w:pPr>
        <w:jc w:val="both"/>
        <w:rPr>
          <w:rFonts w:ascii="Arial" w:hAnsi="Arial" w:cs="Arial"/>
          <w:b/>
          <w:sz w:val="22"/>
          <w:szCs w:val="22"/>
        </w:rPr>
      </w:pPr>
      <w:r w:rsidRPr="00D13AD0">
        <w:rPr>
          <w:rFonts w:ascii="Arial" w:hAnsi="Arial" w:cs="Arial"/>
          <w:b/>
          <w:sz w:val="22"/>
          <w:szCs w:val="22"/>
        </w:rPr>
        <w:t xml:space="preserve">Penalized </w:t>
      </w:r>
      <w:r w:rsidR="00DF4652" w:rsidRPr="00D13AD0">
        <w:rPr>
          <w:rFonts w:ascii="Arial" w:hAnsi="Arial" w:cs="Arial"/>
          <w:b/>
          <w:sz w:val="22"/>
          <w:szCs w:val="22"/>
        </w:rPr>
        <w:t>Logistic Regression with Adaptive Lasso</w:t>
      </w:r>
      <w:r w:rsidR="00A452BE">
        <w:rPr>
          <w:rFonts w:ascii="Arial" w:hAnsi="Arial" w:cs="Arial"/>
          <w:b/>
          <w:sz w:val="22"/>
          <w:szCs w:val="22"/>
        </w:rPr>
        <w:t xml:space="preserve">: </w:t>
      </w:r>
      <w:r w:rsidR="003334CB">
        <w:rPr>
          <w:rFonts w:ascii="Arial" w:hAnsi="Arial" w:cs="Arial"/>
          <w:sz w:val="22"/>
          <w:szCs w:val="22"/>
        </w:rPr>
        <w:t xml:space="preserve">As an alternative classification approach, we will use penalized logistic regression with adaptive lasso. </w:t>
      </w:r>
      <w:r w:rsidR="00427799" w:rsidRPr="00D13AD0">
        <w:rPr>
          <w:rFonts w:ascii="Arial" w:hAnsi="Arial" w:cs="Arial"/>
          <w:sz w:val="22"/>
          <w:szCs w:val="22"/>
        </w:rPr>
        <w:t>High dimensional logistic regression</w:t>
      </w:r>
      <w:r w:rsidR="00D13AD0">
        <w:rPr>
          <w:rFonts w:ascii="Arial" w:hAnsi="Arial" w:cs="Arial"/>
          <w:sz w:val="22"/>
          <w:szCs w:val="22"/>
        </w:rPr>
        <w:t xml:space="preserve"> with adaptive l</w:t>
      </w:r>
      <w:r w:rsidR="00427799" w:rsidRPr="00D13AD0">
        <w:rPr>
          <w:rFonts w:ascii="Arial" w:hAnsi="Arial" w:cs="Arial"/>
          <w:sz w:val="22"/>
          <w:szCs w:val="22"/>
        </w:rPr>
        <w:t>asso has several compelling statistical features for analysis of these data.</w:t>
      </w:r>
      <w:r w:rsidR="00D13AD0">
        <w:rPr>
          <w:rFonts w:ascii="Arial" w:hAnsi="Arial" w:cs="Arial"/>
          <w:sz w:val="22"/>
          <w:szCs w:val="22"/>
        </w:rPr>
        <w:t xml:space="preserve"> Logistic regression is a likelihood-base predictive model that is commonly used across numerous fields including genetics and bioinformatics for analysis of binary outcomes. A penalized logistic regression is incorporated for instances with a large number of features and small number of subjects.</w:t>
      </w:r>
      <w:r w:rsidR="00D13AD0" w:rsidRPr="00D13AD0">
        <w:rPr>
          <w:rFonts w:ascii="Arial" w:hAnsi="Arial" w:cs="Arial"/>
          <w:sz w:val="22"/>
          <w:szCs w:val="22"/>
          <w:vertAlign w:val="superscript"/>
        </w:rPr>
        <w:t>74</w:t>
      </w:r>
      <w:r w:rsidR="00D13AD0">
        <w:rPr>
          <w:rFonts w:ascii="Arial" w:hAnsi="Arial" w:cs="Arial"/>
          <w:sz w:val="22"/>
          <w:szCs w:val="22"/>
        </w:rPr>
        <w:t xml:space="preserve"> A popular penalty for model selection and estimation is lasso.</w:t>
      </w:r>
      <w:r w:rsidR="00D13AD0" w:rsidRPr="00D13AD0">
        <w:rPr>
          <w:rFonts w:ascii="Arial" w:hAnsi="Arial" w:cs="Arial"/>
          <w:sz w:val="22"/>
          <w:szCs w:val="22"/>
          <w:vertAlign w:val="superscript"/>
        </w:rPr>
        <w:t>75</w:t>
      </w:r>
      <w:r w:rsidR="00D13AD0">
        <w:rPr>
          <w:rFonts w:ascii="Arial" w:hAnsi="Arial" w:cs="Arial"/>
          <w:sz w:val="22"/>
          <w:szCs w:val="22"/>
        </w:rPr>
        <w:t xml:space="preserve"> </w:t>
      </w:r>
      <w:r w:rsidR="00610647">
        <w:rPr>
          <w:rFonts w:ascii="Arial" w:hAnsi="Arial" w:cs="Arial"/>
          <w:sz w:val="22"/>
          <w:szCs w:val="22"/>
        </w:rPr>
        <w:t xml:space="preserve">In some scenarios with high-dimensional input, such as is the case with this study, the lasso variable selection </w:t>
      </w:r>
      <w:r w:rsidR="00610647">
        <w:rPr>
          <w:rFonts w:ascii="Arial" w:hAnsi="Arial" w:cs="Arial"/>
          <w:sz w:val="22"/>
          <w:szCs w:val="22"/>
        </w:rPr>
        <w:lastRenderedPageBreak/>
        <w:t>can be inconsistent.</w:t>
      </w:r>
      <w:r w:rsidR="00610647" w:rsidRPr="00610647">
        <w:rPr>
          <w:rFonts w:ascii="Arial" w:hAnsi="Arial" w:cs="Arial"/>
          <w:sz w:val="22"/>
          <w:szCs w:val="22"/>
          <w:vertAlign w:val="superscript"/>
        </w:rPr>
        <w:t>76</w:t>
      </w:r>
      <w:r w:rsidR="00610647">
        <w:rPr>
          <w:rFonts w:ascii="Arial" w:hAnsi="Arial" w:cs="Arial"/>
          <w:sz w:val="22"/>
          <w:szCs w:val="22"/>
        </w:rPr>
        <w:t xml:space="preserve"> To avoid this potential inconsistency, we will adopt an adaptive lasso, which is consistent under very general conditions.</w:t>
      </w:r>
      <w:r w:rsidR="00610647" w:rsidRPr="00610647">
        <w:rPr>
          <w:rFonts w:ascii="Arial" w:hAnsi="Arial" w:cs="Arial"/>
          <w:sz w:val="22"/>
          <w:szCs w:val="22"/>
          <w:vertAlign w:val="superscript"/>
        </w:rPr>
        <w:t>74</w:t>
      </w:r>
      <w:proofErr w:type="gramStart"/>
      <w:r w:rsidR="00610647" w:rsidRPr="00610647">
        <w:rPr>
          <w:rFonts w:ascii="Arial" w:hAnsi="Arial" w:cs="Arial"/>
          <w:sz w:val="22"/>
          <w:szCs w:val="22"/>
          <w:vertAlign w:val="superscript"/>
        </w:rPr>
        <w:t>,76</w:t>
      </w:r>
      <w:proofErr w:type="gramEnd"/>
      <w:r w:rsidR="00610647">
        <w:rPr>
          <w:rFonts w:ascii="Arial" w:hAnsi="Arial" w:cs="Arial"/>
          <w:sz w:val="22"/>
          <w:szCs w:val="22"/>
        </w:rPr>
        <w:t xml:space="preserve">   </w:t>
      </w:r>
      <w:r w:rsidR="00D13AD0">
        <w:rPr>
          <w:rFonts w:ascii="Arial" w:hAnsi="Arial" w:cs="Arial"/>
          <w:sz w:val="22"/>
          <w:szCs w:val="22"/>
        </w:rPr>
        <w:t xml:space="preserve"> </w:t>
      </w:r>
      <w:r>
        <w:rPr>
          <w:rFonts w:ascii="Arial" w:hAnsi="Arial" w:cs="Arial"/>
          <w:sz w:val="22"/>
          <w:szCs w:val="22"/>
        </w:rPr>
        <w:t xml:space="preserve"> </w:t>
      </w:r>
    </w:p>
    <w:p w:rsidR="00427799" w:rsidRDefault="00427799" w:rsidP="00610647">
      <w:pPr>
        <w:spacing w:line="120" w:lineRule="auto"/>
        <w:jc w:val="both"/>
        <w:rPr>
          <w:rFonts w:ascii="Arial" w:hAnsi="Arial" w:cs="Arial"/>
          <w:b/>
          <w:sz w:val="22"/>
          <w:szCs w:val="22"/>
        </w:rPr>
      </w:pPr>
    </w:p>
    <w:p w:rsidR="00521575" w:rsidRPr="00A452BE" w:rsidRDefault="007D638D" w:rsidP="00125A6E">
      <w:pPr>
        <w:jc w:val="both"/>
        <w:rPr>
          <w:rFonts w:ascii="Arial" w:hAnsi="Arial" w:cs="Arial"/>
          <w:b/>
          <w:sz w:val="22"/>
          <w:szCs w:val="22"/>
        </w:rPr>
      </w:pPr>
      <w:r>
        <w:rPr>
          <w:rFonts w:ascii="Arial" w:hAnsi="Arial" w:cs="Arial"/>
          <w:b/>
          <w:sz w:val="22"/>
          <w:szCs w:val="22"/>
        </w:rPr>
        <w:t>Control for Overfitting</w:t>
      </w:r>
      <w:r w:rsidR="00A452BE">
        <w:rPr>
          <w:rFonts w:ascii="Arial" w:hAnsi="Arial" w:cs="Arial"/>
          <w:b/>
          <w:sz w:val="22"/>
          <w:szCs w:val="22"/>
        </w:rPr>
        <w:t xml:space="preserve">: </w:t>
      </w:r>
      <w:r w:rsidR="00CA4939" w:rsidRPr="00CA4939">
        <w:rPr>
          <w:rFonts w:ascii="Arial" w:hAnsi="Arial" w:cs="Arial"/>
          <w:sz w:val="22"/>
          <w:szCs w:val="22"/>
        </w:rPr>
        <w:t>A common</w:t>
      </w:r>
      <w:r w:rsidR="00CA4939">
        <w:rPr>
          <w:rFonts w:ascii="Arial" w:hAnsi="Arial" w:cs="Arial"/>
          <w:sz w:val="22"/>
          <w:szCs w:val="22"/>
        </w:rPr>
        <w:t xml:space="preserve"> pitfall encountered in predictive modeling </w:t>
      </w:r>
      <w:r w:rsidR="00F27523">
        <w:rPr>
          <w:rFonts w:ascii="Arial" w:hAnsi="Arial" w:cs="Arial"/>
          <w:sz w:val="22"/>
          <w:szCs w:val="22"/>
        </w:rPr>
        <w:t xml:space="preserve">is overfitting the data. </w:t>
      </w:r>
      <w:r w:rsidR="0002191D">
        <w:rPr>
          <w:rFonts w:ascii="Arial" w:hAnsi="Arial" w:cs="Arial"/>
          <w:sz w:val="22"/>
          <w:szCs w:val="22"/>
        </w:rPr>
        <w:t>10-fold cross validation will be employed to reduce the effect of overfitting.</w:t>
      </w:r>
      <w:r w:rsidR="00F27523">
        <w:rPr>
          <w:rFonts w:ascii="Arial" w:hAnsi="Arial" w:cs="Arial"/>
          <w:sz w:val="22"/>
          <w:szCs w:val="22"/>
        </w:rPr>
        <w:t xml:space="preserve"> </w:t>
      </w:r>
      <w:r w:rsidR="00442D91">
        <w:rPr>
          <w:rFonts w:ascii="Arial" w:hAnsi="Arial" w:cs="Arial"/>
          <w:sz w:val="22"/>
          <w:szCs w:val="22"/>
        </w:rPr>
        <w:t xml:space="preserve">The feature selection procedure will be embedded in the cross validation routine.   </w:t>
      </w:r>
    </w:p>
    <w:p w:rsidR="00427799" w:rsidRPr="00427799" w:rsidRDefault="00427799" w:rsidP="002A4FD6">
      <w:pPr>
        <w:spacing w:line="120" w:lineRule="auto"/>
        <w:jc w:val="both"/>
        <w:rPr>
          <w:rFonts w:ascii="Arial" w:hAnsi="Arial" w:cs="Arial"/>
          <w:sz w:val="22"/>
          <w:szCs w:val="22"/>
        </w:rPr>
      </w:pPr>
    </w:p>
    <w:p w:rsidR="00A40800" w:rsidRPr="009864FD" w:rsidRDefault="00A40800" w:rsidP="00125A6E">
      <w:pPr>
        <w:jc w:val="both"/>
        <w:rPr>
          <w:rFonts w:ascii="Arial" w:hAnsi="Arial" w:cs="Arial"/>
          <w:sz w:val="22"/>
          <w:szCs w:val="22"/>
        </w:rPr>
      </w:pPr>
      <w:r>
        <w:rPr>
          <w:rFonts w:ascii="Arial" w:hAnsi="Arial" w:cs="Arial"/>
          <w:b/>
          <w:sz w:val="22"/>
          <w:szCs w:val="22"/>
        </w:rPr>
        <w:t>Incorporation of Antigen/Antibody Profiles:</w:t>
      </w:r>
      <w:r w:rsidR="009864FD">
        <w:rPr>
          <w:rFonts w:ascii="Arial" w:hAnsi="Arial" w:cs="Arial"/>
          <w:b/>
          <w:sz w:val="22"/>
          <w:szCs w:val="22"/>
        </w:rPr>
        <w:t xml:space="preserve"> </w:t>
      </w:r>
      <w:r w:rsidR="009864FD">
        <w:rPr>
          <w:rFonts w:ascii="Arial" w:hAnsi="Arial" w:cs="Arial"/>
          <w:sz w:val="22"/>
          <w:szCs w:val="22"/>
        </w:rPr>
        <w:t>For rheumatoid arthritis and systemic lupus erythematosus sample sets, we</w:t>
      </w:r>
      <w:r w:rsidR="00C73A7E">
        <w:rPr>
          <w:rFonts w:ascii="Arial" w:hAnsi="Arial" w:cs="Arial"/>
          <w:sz w:val="22"/>
          <w:szCs w:val="22"/>
        </w:rPr>
        <w:t xml:space="preserve"> will incorporate the results derived from </w:t>
      </w:r>
      <w:r w:rsidR="009864FD">
        <w:rPr>
          <w:rFonts w:ascii="Arial" w:hAnsi="Arial" w:cs="Arial"/>
          <w:sz w:val="22"/>
          <w:szCs w:val="22"/>
        </w:rPr>
        <w:t>the ADI antigen</w:t>
      </w:r>
      <w:r w:rsidR="00C73A7E">
        <w:rPr>
          <w:rFonts w:ascii="Arial" w:hAnsi="Arial" w:cs="Arial"/>
          <w:sz w:val="22"/>
          <w:szCs w:val="22"/>
        </w:rPr>
        <w:t xml:space="preserve"> </w:t>
      </w:r>
      <w:r w:rsidR="00C73A7E" w:rsidRPr="00C73A7E">
        <w:rPr>
          <w:rFonts w:ascii="Arial" w:hAnsi="Arial" w:cs="Arial"/>
          <w:i/>
          <w:sz w:val="22"/>
          <w:szCs w:val="22"/>
        </w:rPr>
        <w:t>in vitro</w:t>
      </w:r>
      <w:r w:rsidR="00C73A7E">
        <w:rPr>
          <w:rFonts w:ascii="Arial" w:hAnsi="Arial" w:cs="Arial"/>
          <w:sz w:val="22"/>
          <w:szCs w:val="22"/>
        </w:rPr>
        <w:t xml:space="preserve"> transcription/translation system as features for the Bayesian network and penalized logistic regression classifiers. </w:t>
      </w:r>
      <w:r w:rsidR="009864FD">
        <w:rPr>
          <w:rFonts w:ascii="Arial" w:hAnsi="Arial" w:cs="Arial"/>
          <w:sz w:val="22"/>
          <w:szCs w:val="22"/>
        </w:rPr>
        <w:t xml:space="preserve">  </w:t>
      </w:r>
    </w:p>
    <w:p w:rsidR="00A40800" w:rsidRDefault="00A40800" w:rsidP="00C73A7E">
      <w:pPr>
        <w:spacing w:line="120" w:lineRule="auto"/>
        <w:jc w:val="both"/>
        <w:rPr>
          <w:rFonts w:ascii="Arial" w:hAnsi="Arial" w:cs="Arial"/>
          <w:b/>
          <w:sz w:val="22"/>
          <w:szCs w:val="22"/>
        </w:rPr>
      </w:pPr>
    </w:p>
    <w:p w:rsidR="00A452BE" w:rsidRPr="00A452BE" w:rsidRDefault="00570405" w:rsidP="00125A6E">
      <w:pPr>
        <w:jc w:val="both"/>
        <w:rPr>
          <w:rFonts w:ascii="Arial" w:hAnsi="Arial" w:cs="Arial"/>
          <w:b/>
          <w:sz w:val="22"/>
          <w:szCs w:val="22"/>
        </w:rPr>
      </w:pPr>
      <w:r>
        <w:rPr>
          <w:rFonts w:ascii="Arial" w:hAnsi="Arial" w:cs="Arial"/>
          <w:b/>
          <w:sz w:val="22"/>
          <w:szCs w:val="22"/>
        </w:rPr>
        <w:t>Evaluating Diagnostic Utility of Classifiers</w:t>
      </w:r>
      <w:r w:rsidR="00A452BE">
        <w:rPr>
          <w:rFonts w:ascii="Arial" w:hAnsi="Arial" w:cs="Arial"/>
          <w:b/>
          <w:sz w:val="22"/>
          <w:szCs w:val="22"/>
        </w:rPr>
        <w:t xml:space="preserve">: </w:t>
      </w:r>
      <w:r w:rsidR="003C7564">
        <w:rPr>
          <w:rFonts w:ascii="Arial" w:hAnsi="Arial" w:cs="Arial"/>
          <w:sz w:val="22"/>
          <w:szCs w:val="22"/>
        </w:rPr>
        <w:t xml:space="preserve">Proper and informative evaluation of the performance of classifiers is critically important to understanding the potential utility of disease predictive models. The primary method that will be employed to do so will be the area under the ROC curve, or AUC. </w:t>
      </w:r>
      <w:r w:rsidR="00A420C5">
        <w:rPr>
          <w:rFonts w:ascii="Arial" w:hAnsi="Arial" w:cs="Arial"/>
          <w:sz w:val="22"/>
          <w:szCs w:val="22"/>
        </w:rPr>
        <w:t>That said</w:t>
      </w:r>
      <w:proofErr w:type="gramStart"/>
      <w:r w:rsidR="00A420C5">
        <w:rPr>
          <w:rFonts w:ascii="Arial" w:hAnsi="Arial" w:cs="Arial"/>
          <w:sz w:val="22"/>
          <w:szCs w:val="22"/>
        </w:rPr>
        <w:t>,</w:t>
      </w:r>
      <w:proofErr w:type="gramEnd"/>
      <w:r w:rsidR="00A420C5">
        <w:rPr>
          <w:rFonts w:ascii="Arial" w:hAnsi="Arial" w:cs="Arial"/>
          <w:sz w:val="22"/>
          <w:szCs w:val="22"/>
        </w:rPr>
        <w:t xml:space="preserve"> we will explore methods to evaluate the diagnostic utility of the Bayesian Network classifier results that both capture the predictive capacity of the classification and have interpretability in a clinical setting. One such approach is to calculate a posterior probability of disease</w:t>
      </w:r>
      <w:r w:rsidR="009D0F2A">
        <w:rPr>
          <w:rFonts w:ascii="Arial" w:hAnsi="Arial" w:cs="Arial"/>
          <w:sz w:val="22"/>
          <w:szCs w:val="22"/>
        </w:rPr>
        <w:t xml:space="preserve"> (PPD)</w:t>
      </w:r>
      <w:r w:rsidR="00A420C5">
        <w:rPr>
          <w:rFonts w:ascii="Arial" w:hAnsi="Arial" w:cs="Arial"/>
          <w:sz w:val="22"/>
          <w:szCs w:val="22"/>
        </w:rPr>
        <w:t xml:space="preserve"> using a prior density that reflects the risk in a population from which potential patients may be derived for initial evaluation by physicians (e.g., those with symmetrical joint pain being evaluated for possible r</w:t>
      </w:r>
      <w:r w:rsidR="009D0F2A">
        <w:rPr>
          <w:rFonts w:ascii="Arial" w:hAnsi="Arial" w:cs="Arial"/>
          <w:sz w:val="22"/>
          <w:szCs w:val="22"/>
        </w:rPr>
        <w:t xml:space="preserve">heumatoid arthritis). Setting </w:t>
      </w:r>
      <w:r w:rsidR="00A420C5">
        <w:rPr>
          <w:rFonts w:ascii="Arial" w:hAnsi="Arial" w:cs="Arial"/>
          <w:sz w:val="22"/>
          <w:szCs w:val="22"/>
        </w:rPr>
        <w:t>threshold</w:t>
      </w:r>
      <w:r w:rsidR="009D0F2A">
        <w:rPr>
          <w:rFonts w:ascii="Arial" w:hAnsi="Arial" w:cs="Arial"/>
          <w:sz w:val="22"/>
          <w:szCs w:val="22"/>
        </w:rPr>
        <w:t>s</w:t>
      </w:r>
      <w:r w:rsidR="00A420C5">
        <w:rPr>
          <w:rFonts w:ascii="Arial" w:hAnsi="Arial" w:cs="Arial"/>
          <w:sz w:val="22"/>
          <w:szCs w:val="22"/>
        </w:rPr>
        <w:t xml:space="preserve"> for </w:t>
      </w:r>
      <w:r w:rsidR="009D0F2A">
        <w:rPr>
          <w:rFonts w:ascii="Arial" w:hAnsi="Arial" w:cs="Arial"/>
          <w:sz w:val="22"/>
          <w:szCs w:val="22"/>
        </w:rPr>
        <w:t>the density mass that exceeds the threshold (</w:t>
      </w:r>
      <w:r w:rsidR="009D0F2A" w:rsidRPr="00D301CB">
        <w:rPr>
          <w:rFonts w:ascii="Symbol" w:hAnsi="Symbol" w:cs="Arial"/>
          <w:sz w:val="28"/>
          <w:szCs w:val="28"/>
        </w:rPr>
        <w:t></w:t>
      </w:r>
      <w:proofErr w:type="spellStart"/>
      <w:r w:rsidR="009D0F2A" w:rsidRPr="00D301CB">
        <w:rPr>
          <w:rFonts w:ascii="Arial" w:hAnsi="Arial" w:cs="Arial"/>
          <w:sz w:val="22"/>
          <w:szCs w:val="22"/>
          <w:vertAlign w:val="subscript"/>
        </w:rPr>
        <w:t>pos</w:t>
      </w:r>
      <w:proofErr w:type="spellEnd"/>
      <w:r w:rsidR="009D0F2A">
        <w:rPr>
          <w:rFonts w:ascii="Arial" w:hAnsi="Arial" w:cs="Arial"/>
          <w:sz w:val="22"/>
          <w:szCs w:val="22"/>
        </w:rPr>
        <w:t>)</w:t>
      </w:r>
      <w:r w:rsidR="00D301CB">
        <w:rPr>
          <w:rFonts w:ascii="Arial" w:hAnsi="Arial" w:cs="Arial"/>
          <w:sz w:val="22"/>
          <w:szCs w:val="22"/>
        </w:rPr>
        <w:t xml:space="preserve"> and does not exceed a lower threshold (</w:t>
      </w:r>
      <w:r w:rsidR="00D301CB" w:rsidRPr="00D301CB">
        <w:rPr>
          <w:rFonts w:ascii="Symbol" w:hAnsi="Symbol" w:cs="Arial"/>
          <w:sz w:val="28"/>
          <w:szCs w:val="28"/>
        </w:rPr>
        <w:t></w:t>
      </w:r>
      <w:proofErr w:type="spellStart"/>
      <w:r w:rsidR="00D301CB">
        <w:rPr>
          <w:rFonts w:ascii="Arial" w:hAnsi="Arial" w:cs="Arial"/>
          <w:sz w:val="22"/>
          <w:szCs w:val="22"/>
          <w:vertAlign w:val="subscript"/>
        </w:rPr>
        <w:t>neg</w:t>
      </w:r>
      <w:proofErr w:type="spellEnd"/>
      <w:r w:rsidR="00D301CB">
        <w:rPr>
          <w:rFonts w:ascii="Arial" w:hAnsi="Arial" w:cs="Arial"/>
          <w:sz w:val="22"/>
          <w:szCs w:val="22"/>
        </w:rPr>
        <w:t xml:space="preserve">) is one such approach:  </w:t>
      </w:r>
      <w:r w:rsidR="009D0F2A">
        <w:rPr>
          <w:rFonts w:ascii="Arial" w:hAnsi="Arial" w:cs="Arial"/>
          <w:sz w:val="22"/>
          <w:szCs w:val="22"/>
        </w:rPr>
        <w:t xml:space="preserve"> </w:t>
      </w:r>
      <w:r w:rsidR="00A420C5">
        <w:rPr>
          <w:rFonts w:ascii="Arial" w:hAnsi="Arial" w:cs="Arial"/>
          <w:sz w:val="22"/>
          <w:szCs w:val="22"/>
        </w:rPr>
        <w:t xml:space="preserve"> </w:t>
      </w:r>
      <w:r w:rsidR="003C7564">
        <w:rPr>
          <w:rFonts w:ascii="Arial" w:hAnsi="Arial" w:cs="Arial"/>
          <w:sz w:val="22"/>
          <w:szCs w:val="22"/>
        </w:rPr>
        <w:t xml:space="preserve"> </w:t>
      </w:r>
    </w:p>
    <w:p w:rsidR="00D0446A" w:rsidRPr="002A4FD6" w:rsidRDefault="002A4FD6" w:rsidP="00125A6E">
      <w:pPr>
        <w:jc w:val="both"/>
        <w:rPr>
          <w:rFonts w:ascii="Arial" w:hAnsi="Arial" w:cs="Arial"/>
          <w:sz w:val="22"/>
          <w:szCs w:val="22"/>
        </w:rPr>
      </w:pPr>
      <w:r w:rsidRPr="00D301CB">
        <w:rPr>
          <w:rFonts w:ascii="Arial" w:hAnsi="Arial" w:cs="Arial"/>
          <w:noProof/>
          <w:sz w:val="22"/>
          <w:szCs w:val="22"/>
        </w:rPr>
        <mc:AlternateContent>
          <mc:Choice Requires="wps">
            <w:drawing>
              <wp:anchor distT="0" distB="0" distL="114300" distR="114300" simplePos="0" relativeHeight="251684864" behindDoc="0" locked="0" layoutInCell="1" allowOverlap="1" wp14:anchorId="394DE623" wp14:editId="7C82A846">
                <wp:simplePos x="0" y="0"/>
                <wp:positionH relativeFrom="column">
                  <wp:posOffset>2714624</wp:posOffset>
                </wp:positionH>
                <wp:positionV relativeFrom="paragraph">
                  <wp:posOffset>38099</wp:posOffset>
                </wp:positionV>
                <wp:extent cx="4143375" cy="3057525"/>
                <wp:effectExtent l="0" t="0" r="9525"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3375" cy="3057525"/>
                        </a:xfrm>
                        <a:prstGeom prst="rect">
                          <a:avLst/>
                        </a:prstGeom>
                        <a:solidFill>
                          <a:srgbClr val="FFFFFF"/>
                        </a:solidFill>
                        <a:ln w="9525">
                          <a:noFill/>
                          <a:miter lim="800000"/>
                          <a:headEnd/>
                          <a:tailEnd/>
                        </a:ln>
                      </wps:spPr>
                      <wps:txbx>
                        <w:txbxContent>
                          <w:p w:rsidR="00D301CB" w:rsidRDefault="00D301CB">
                            <w:r>
                              <w:rPr>
                                <w:rFonts w:ascii="Arial" w:hAnsi="Arial" w:cs="Arial"/>
                                <w:b/>
                                <w:noProof/>
                                <w:sz w:val="22"/>
                                <w:szCs w:val="22"/>
                              </w:rPr>
                              <w:drawing>
                                <wp:inline distT="0" distB="0" distL="0" distR="0" wp14:anchorId="1F69C56C" wp14:editId="37C78E4F">
                                  <wp:extent cx="3764924" cy="495300"/>
                                  <wp:effectExtent l="0" t="0" r="6985"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C2_def.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63037" cy="495052"/>
                                          </a:xfrm>
                                          <a:prstGeom prst="rect">
                                            <a:avLst/>
                                          </a:prstGeom>
                                        </pic:spPr>
                                      </pic:pic>
                                    </a:graphicData>
                                  </a:graphic>
                                </wp:inline>
                              </w:drawing>
                            </w:r>
                          </w:p>
                          <w:p w:rsidR="00D301CB" w:rsidRPr="004B3F19" w:rsidRDefault="00D301CB" w:rsidP="00D301CB">
                            <w:pPr>
                              <w:jc w:val="both"/>
                              <w:rPr>
                                <w:rFonts w:ascii="Arial" w:hAnsi="Arial" w:cs="Arial"/>
                                <w:sz w:val="22"/>
                                <w:szCs w:val="22"/>
                              </w:rPr>
                            </w:pPr>
                            <w:r w:rsidRPr="004B3F19">
                              <w:rPr>
                                <w:rFonts w:ascii="Arial" w:hAnsi="Arial" w:cs="Arial"/>
                                <w:b/>
                                <w:sz w:val="22"/>
                                <w:szCs w:val="22"/>
                              </w:rPr>
                              <w:t>Example:</w:t>
                            </w:r>
                            <w:r w:rsidRPr="00D301CB">
                              <w:rPr>
                                <w:rFonts w:ascii="Arial" w:hAnsi="Arial" w:cs="Arial"/>
                                <w:sz w:val="22"/>
                                <w:szCs w:val="22"/>
                              </w:rPr>
                              <w:t xml:space="preserve"> Using </w:t>
                            </w:r>
                            <w:r>
                              <w:rPr>
                                <w:rFonts w:ascii="Arial" w:hAnsi="Arial" w:cs="Arial"/>
                                <w:sz w:val="22"/>
                                <w:szCs w:val="22"/>
                              </w:rPr>
                              <w:t xml:space="preserve">the molecular data, we can calculate the posterior probability of RA for each individual. Thus, we would generate a distribution of posterior probabilities for RA. </w:t>
                            </w:r>
                            <w:r w:rsidR="004B3F19">
                              <w:rPr>
                                <w:rFonts w:ascii="Arial" w:hAnsi="Arial" w:cs="Arial"/>
                                <w:sz w:val="22"/>
                                <w:szCs w:val="22"/>
                              </w:rPr>
                              <w:t xml:space="preserve">With perfect information, the PPD mass is concentrated at 1 and 0 (everyone either has or does not have RA). </w:t>
                            </w:r>
                            <w:r>
                              <w:rPr>
                                <w:rFonts w:ascii="Arial" w:hAnsi="Arial" w:cs="Arial"/>
                                <w:sz w:val="22"/>
                                <w:szCs w:val="22"/>
                              </w:rPr>
                              <w:t xml:space="preserve">Suppose that clinicians would likely intervene therapeutically if their assessment of the probability of RA exceeds 0.95. That is, suppose a common clinical threshold for employing a particular therapeutic (e.g., methotrexate) </w:t>
                            </w:r>
                            <w:r w:rsidR="004B3F19">
                              <w:rPr>
                                <w:rFonts w:ascii="Arial" w:hAnsi="Arial" w:cs="Arial"/>
                                <w:sz w:val="22"/>
                                <w:szCs w:val="22"/>
                              </w:rPr>
                              <w:t xml:space="preserve">is 0.95 probability of RA. Then, the proportion of individuals with PPD&gt;0.95 should be close to the frequency of RA in the population evaluated for a classifier with high predictive capacity. Similarly, one can argue for the lower threshold. </w:t>
                            </w:r>
                            <w:r w:rsidR="00AD1A54">
                              <w:rPr>
                                <w:rFonts w:ascii="Arial" w:hAnsi="Arial" w:cs="Arial"/>
                                <w:sz w:val="22"/>
                                <w:szCs w:val="22"/>
                              </w:rPr>
                              <w:t xml:space="preserve">The plot to the left shows the impact of the expectation of the prior probability of disease on the PPD mass. </w:t>
                            </w:r>
                            <w:r>
                              <w:rPr>
                                <w:rFonts w:ascii="Arial" w:hAnsi="Arial" w:cs="Arial"/>
                                <w:sz w:val="22"/>
                                <w:szCs w:val="22"/>
                              </w:rPr>
                              <w:t xml:space="preserve">   </w:t>
                            </w:r>
                          </w:p>
                          <w:p w:rsidR="00D301CB" w:rsidRPr="00D301CB" w:rsidRDefault="00D301CB" w:rsidP="00D301CB">
                            <w:pPr>
                              <w:jc w:val="both"/>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213.75pt;margin-top:3pt;width:326.25pt;height:240.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" stroked="f">
                <v:textbox>
                  <w:txbxContent>
                    <w:p w:rsidR="00D301CB" w:rsidRDefault="00D301CB">
                      <w:r>
                        <w:rPr>
                          <w:rFonts w:ascii="Arial" w:hAnsi="Arial" w:cs="Arial"/>
                          <w:b/>
                          <w:noProof/>
                          <w:sz w:val="22"/>
                          <w:szCs w:val="22"/>
                        </w:rPr>
                        <w:drawing>
                          <wp:inline distT="0" distB="0" distL="0" distR="0" wp14:anchorId="1F69C56C" wp14:editId="37C78E4F">
                            <wp:extent cx="3764924" cy="495300"/>
                            <wp:effectExtent l="0" t="0" r="6985"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C2_def.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763037" cy="495052"/>
                                    </a:xfrm>
                                    <a:prstGeom prst="rect">
                                      <a:avLst/>
                                    </a:prstGeom>
                                  </pic:spPr>
                                </pic:pic>
                              </a:graphicData>
                            </a:graphic>
                          </wp:inline>
                        </w:drawing>
                      </w:r>
                    </w:p>
                    <w:p w:rsidR="00D301CB" w:rsidRPr="004B3F19" w:rsidRDefault="00D301CB" w:rsidP="00D301CB">
                      <w:pPr>
                        <w:jc w:val="both"/>
                        <w:rPr>
                          <w:rFonts w:ascii="Arial" w:hAnsi="Arial" w:cs="Arial"/>
                          <w:sz w:val="22"/>
                          <w:szCs w:val="22"/>
                        </w:rPr>
                      </w:pPr>
                      <w:r w:rsidRPr="004B3F19">
                        <w:rPr>
                          <w:rFonts w:ascii="Arial" w:hAnsi="Arial" w:cs="Arial"/>
                          <w:b/>
                          <w:sz w:val="22"/>
                          <w:szCs w:val="22"/>
                        </w:rPr>
                        <w:t>Example:</w:t>
                      </w:r>
                      <w:r w:rsidRPr="00D301CB">
                        <w:rPr>
                          <w:rFonts w:ascii="Arial" w:hAnsi="Arial" w:cs="Arial"/>
                          <w:sz w:val="22"/>
                          <w:szCs w:val="22"/>
                        </w:rPr>
                        <w:t xml:space="preserve"> Using </w:t>
                      </w:r>
                      <w:r>
                        <w:rPr>
                          <w:rFonts w:ascii="Arial" w:hAnsi="Arial" w:cs="Arial"/>
                          <w:sz w:val="22"/>
                          <w:szCs w:val="22"/>
                        </w:rPr>
                        <w:t xml:space="preserve">the molecular data, we can calculate the posterior probability of RA for each individual. Thus, we would generate a distribution of posterior probabilities for RA. </w:t>
                      </w:r>
                      <w:r w:rsidR="004B3F19">
                        <w:rPr>
                          <w:rFonts w:ascii="Arial" w:hAnsi="Arial" w:cs="Arial"/>
                          <w:sz w:val="22"/>
                          <w:szCs w:val="22"/>
                        </w:rPr>
                        <w:t xml:space="preserve">With perfect information, the PPD mass is concentrated at 1 and 0 (everyone either has or does not have RA). </w:t>
                      </w:r>
                      <w:r>
                        <w:rPr>
                          <w:rFonts w:ascii="Arial" w:hAnsi="Arial" w:cs="Arial"/>
                          <w:sz w:val="22"/>
                          <w:szCs w:val="22"/>
                        </w:rPr>
                        <w:t xml:space="preserve">Suppose that clinicians would likely intervene therapeutically if their assessment of the probability of RA exceeds 0.95. That is, suppose a common clinical threshold for employing a particular therapeutic (e.g., methotrexate) </w:t>
                      </w:r>
                      <w:r w:rsidR="004B3F19">
                        <w:rPr>
                          <w:rFonts w:ascii="Arial" w:hAnsi="Arial" w:cs="Arial"/>
                          <w:sz w:val="22"/>
                          <w:szCs w:val="22"/>
                        </w:rPr>
                        <w:t xml:space="preserve">is 0.95 probability of RA. Then, the proportion of individuals with PPD&gt;0.95 should be close to the frequency of RA in the population evaluated for a classifier with high predictive capacity. Similarly, one can argue for the lower threshold. </w:t>
                      </w:r>
                      <w:r w:rsidR="00AD1A54">
                        <w:rPr>
                          <w:rFonts w:ascii="Arial" w:hAnsi="Arial" w:cs="Arial"/>
                          <w:sz w:val="22"/>
                          <w:szCs w:val="22"/>
                        </w:rPr>
                        <w:t xml:space="preserve">The plot to the left shows the impact of the expectation of the prior probability of disease on the PPD mass. </w:t>
                      </w:r>
                      <w:r>
                        <w:rPr>
                          <w:rFonts w:ascii="Arial" w:hAnsi="Arial" w:cs="Arial"/>
                          <w:sz w:val="22"/>
                          <w:szCs w:val="22"/>
                        </w:rPr>
                        <w:t xml:space="preserve">   </w:t>
                      </w:r>
                    </w:p>
                    <w:p w:rsidR="00D301CB" w:rsidRPr="00D301CB" w:rsidRDefault="00D301CB" w:rsidP="00D301CB">
                      <w:pPr>
                        <w:jc w:val="both"/>
                        <w:rPr>
                          <w:rFonts w:ascii="Arial" w:hAnsi="Arial" w:cs="Arial"/>
                        </w:rPr>
                      </w:pPr>
                    </w:p>
                  </w:txbxContent>
                </v:textbox>
              </v:shape>
            </w:pict>
          </mc:Fallback>
        </mc:AlternateContent>
      </w:r>
    </w:p>
    <w:p w:rsidR="00174C4E" w:rsidRDefault="00D0446A" w:rsidP="00125A6E">
      <w:pPr>
        <w:jc w:val="both"/>
        <w:rPr>
          <w:rFonts w:ascii="Arial" w:hAnsi="Arial" w:cs="Arial"/>
          <w:b/>
          <w:sz w:val="22"/>
          <w:szCs w:val="22"/>
        </w:rPr>
      </w:pPr>
      <w:r>
        <w:rPr>
          <w:rFonts w:ascii="Arial" w:hAnsi="Arial" w:cs="Arial"/>
          <w:b/>
          <w:noProof/>
          <w:sz w:val="22"/>
          <w:szCs w:val="22"/>
        </w:rPr>
        <w:drawing>
          <wp:inline distT="0" distB="0" distL="0" distR="0">
            <wp:extent cx="2374827" cy="2352675"/>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C2.jpg"/>
                    <pic:cNvPicPr/>
                  </pic:nvPicPr>
                  <pic:blipFill>
                    <a:blip r:embed="rId21">
                      <a:extLst>
                        <a:ext uri="{28A0092B-C50C-407E-A947-70E740481C1C}">
                          <a14:useLocalDpi xmlns:a14="http://schemas.microsoft.com/office/drawing/2010/main" val="0"/>
                        </a:ext>
                      </a:extLst>
                    </a:blip>
                    <a:stretch>
                      <a:fillRect/>
                    </a:stretch>
                  </pic:blipFill>
                  <pic:spPr>
                    <a:xfrm>
                      <a:off x="0" y="0"/>
                      <a:ext cx="2383538" cy="2361305"/>
                    </a:xfrm>
                    <a:prstGeom prst="rect">
                      <a:avLst/>
                    </a:prstGeom>
                  </pic:spPr>
                </pic:pic>
              </a:graphicData>
            </a:graphic>
          </wp:inline>
        </w:drawing>
      </w:r>
    </w:p>
    <w:p w:rsidR="00CA1350" w:rsidRDefault="00CA1350" w:rsidP="00CA1350">
      <w:pPr>
        <w:spacing w:line="120" w:lineRule="auto"/>
        <w:jc w:val="both"/>
        <w:rPr>
          <w:rFonts w:ascii="Arial" w:hAnsi="Arial" w:cs="Arial"/>
          <w:b/>
          <w:sz w:val="22"/>
          <w:szCs w:val="22"/>
        </w:rPr>
      </w:pPr>
    </w:p>
    <w:p w:rsidR="00AD1A54" w:rsidRDefault="00AD1A54" w:rsidP="00125A6E">
      <w:pPr>
        <w:jc w:val="both"/>
        <w:rPr>
          <w:rFonts w:ascii="Arial" w:hAnsi="Arial" w:cs="Arial"/>
          <w:b/>
          <w:sz w:val="22"/>
          <w:szCs w:val="22"/>
          <w:highlight w:val="yellow"/>
        </w:rPr>
      </w:pPr>
    </w:p>
    <w:p w:rsidR="008B42E3" w:rsidRDefault="008B42E3" w:rsidP="00125A6E">
      <w:pPr>
        <w:jc w:val="both"/>
        <w:rPr>
          <w:rFonts w:ascii="Arial" w:hAnsi="Arial" w:cs="Arial"/>
          <w:b/>
          <w:sz w:val="22"/>
          <w:szCs w:val="22"/>
        </w:rPr>
      </w:pPr>
    </w:p>
    <w:p w:rsidR="00165849" w:rsidRDefault="00165849" w:rsidP="00125A6E">
      <w:pPr>
        <w:jc w:val="both"/>
        <w:rPr>
          <w:rFonts w:ascii="Arial" w:hAnsi="Arial" w:cs="Arial"/>
          <w:b/>
          <w:sz w:val="22"/>
          <w:szCs w:val="22"/>
        </w:rPr>
      </w:pPr>
    </w:p>
    <w:p w:rsidR="00A8518C" w:rsidRPr="00E60963" w:rsidRDefault="00A8518C" w:rsidP="00125A6E">
      <w:pPr>
        <w:jc w:val="both"/>
        <w:rPr>
          <w:rFonts w:ascii="Arial" w:hAnsi="Arial" w:cs="Arial"/>
          <w:b/>
          <w:sz w:val="22"/>
          <w:szCs w:val="22"/>
        </w:rPr>
      </w:pPr>
      <w:r w:rsidRPr="00610647">
        <w:rPr>
          <w:rFonts w:ascii="Arial" w:hAnsi="Arial" w:cs="Arial"/>
          <w:b/>
          <w:sz w:val="22"/>
          <w:szCs w:val="22"/>
        </w:rPr>
        <w:t xml:space="preserve">Testing for Significant </w:t>
      </w:r>
      <w:r w:rsidR="00E6423C" w:rsidRPr="00610647">
        <w:rPr>
          <w:rFonts w:ascii="Arial" w:hAnsi="Arial" w:cs="Arial"/>
          <w:b/>
          <w:sz w:val="22"/>
          <w:szCs w:val="22"/>
        </w:rPr>
        <w:t>Clustering Within Each Disease</w:t>
      </w:r>
      <w:r w:rsidR="00E60963">
        <w:rPr>
          <w:rFonts w:ascii="Arial" w:hAnsi="Arial" w:cs="Arial"/>
          <w:b/>
          <w:sz w:val="22"/>
          <w:szCs w:val="22"/>
        </w:rPr>
        <w:t xml:space="preserve">: </w:t>
      </w:r>
      <w:r w:rsidR="00E6423C" w:rsidRPr="00610647">
        <w:rPr>
          <w:rFonts w:ascii="Arial" w:hAnsi="Arial" w:cs="Arial"/>
          <w:sz w:val="22"/>
          <w:szCs w:val="22"/>
        </w:rPr>
        <w:t xml:space="preserve">To test for significant molecular subgroups within each disease, we will </w:t>
      </w:r>
      <w:r w:rsidR="00427799" w:rsidRPr="00610647">
        <w:rPr>
          <w:rFonts w:ascii="Arial" w:hAnsi="Arial" w:cs="Arial"/>
          <w:sz w:val="22"/>
          <w:szCs w:val="22"/>
        </w:rPr>
        <w:t>use</w:t>
      </w:r>
      <w:r w:rsidR="00610647">
        <w:rPr>
          <w:rFonts w:ascii="Arial" w:hAnsi="Arial" w:cs="Arial"/>
          <w:sz w:val="22"/>
          <w:szCs w:val="22"/>
        </w:rPr>
        <w:t xml:space="preserve"> </w:t>
      </w:r>
      <w:r w:rsidR="00606CBB">
        <w:rPr>
          <w:rFonts w:ascii="Arial" w:hAnsi="Arial" w:cs="Arial"/>
          <w:sz w:val="22"/>
          <w:szCs w:val="22"/>
        </w:rPr>
        <w:t>a generalization of logistics PCA</w:t>
      </w:r>
      <w:r w:rsidR="00606CBB" w:rsidRPr="00606CBB">
        <w:rPr>
          <w:rFonts w:ascii="Arial" w:hAnsi="Arial" w:cs="Arial"/>
          <w:sz w:val="22"/>
          <w:szCs w:val="22"/>
          <w:vertAlign w:val="superscript"/>
        </w:rPr>
        <w:t>77</w:t>
      </w:r>
      <w:r w:rsidR="00427799" w:rsidRPr="00610647">
        <w:rPr>
          <w:rFonts w:ascii="Arial" w:hAnsi="Arial" w:cs="Arial"/>
          <w:sz w:val="22"/>
          <w:szCs w:val="22"/>
        </w:rPr>
        <w:t xml:space="preserve"> </w:t>
      </w:r>
      <w:r w:rsidR="00606CBB">
        <w:rPr>
          <w:rFonts w:ascii="Arial" w:hAnsi="Arial" w:cs="Arial"/>
          <w:sz w:val="22"/>
          <w:szCs w:val="22"/>
        </w:rPr>
        <w:t xml:space="preserve">and </w:t>
      </w:r>
      <w:proofErr w:type="spellStart"/>
      <w:r w:rsidR="00606CBB">
        <w:rPr>
          <w:rFonts w:ascii="Arial" w:hAnsi="Arial" w:cs="Arial"/>
          <w:sz w:val="22"/>
          <w:szCs w:val="22"/>
        </w:rPr>
        <w:t>biclustering</w:t>
      </w:r>
      <w:proofErr w:type="spellEnd"/>
      <w:r w:rsidR="00606CBB">
        <w:rPr>
          <w:rFonts w:ascii="Arial" w:hAnsi="Arial" w:cs="Arial"/>
          <w:sz w:val="22"/>
          <w:szCs w:val="22"/>
        </w:rPr>
        <w:t xml:space="preserve"> approaches.</w:t>
      </w:r>
      <w:r w:rsidR="00606CBB" w:rsidRPr="00606CBB">
        <w:rPr>
          <w:rFonts w:ascii="Arial" w:hAnsi="Arial" w:cs="Arial"/>
          <w:sz w:val="22"/>
          <w:szCs w:val="22"/>
          <w:vertAlign w:val="superscript"/>
        </w:rPr>
        <w:t>78</w:t>
      </w:r>
      <w:r w:rsidR="00606CBB">
        <w:rPr>
          <w:rFonts w:ascii="Arial" w:hAnsi="Arial" w:cs="Arial"/>
          <w:sz w:val="22"/>
          <w:szCs w:val="22"/>
        </w:rPr>
        <w:t xml:space="preserve"> The probabilistic nature of the logistic PCA model will allow us to extend the methodology to obtain a dimension reduction tool that handles both binary and continuous variables in a unified framework.</w:t>
      </w:r>
      <w:r w:rsidR="00606CBB" w:rsidRPr="00606CBB">
        <w:rPr>
          <w:rFonts w:ascii="Arial" w:hAnsi="Arial" w:cs="Arial"/>
          <w:sz w:val="22"/>
          <w:szCs w:val="22"/>
          <w:vertAlign w:val="superscript"/>
        </w:rPr>
        <w:t>77</w:t>
      </w:r>
      <w:r w:rsidR="00606CBB">
        <w:rPr>
          <w:rFonts w:ascii="Arial" w:hAnsi="Arial" w:cs="Arial"/>
          <w:sz w:val="22"/>
          <w:szCs w:val="22"/>
        </w:rPr>
        <w:t xml:space="preserve"> </w:t>
      </w:r>
      <w:r w:rsidR="00427799" w:rsidRPr="00610647">
        <w:rPr>
          <w:rFonts w:ascii="Arial" w:hAnsi="Arial" w:cs="Arial"/>
          <w:sz w:val="22"/>
          <w:szCs w:val="22"/>
        </w:rPr>
        <w:t>Dr. Maadooliat is an expert in PCA methods</w:t>
      </w:r>
      <w:r w:rsidR="000D0DA0" w:rsidRPr="00610647">
        <w:rPr>
          <w:rFonts w:ascii="Arial" w:hAnsi="Arial" w:cs="Arial"/>
          <w:sz w:val="22"/>
          <w:szCs w:val="22"/>
        </w:rPr>
        <w:t xml:space="preserve"> and dimensional reduction</w:t>
      </w:r>
      <w:r w:rsidR="00427799" w:rsidRPr="00610647">
        <w:rPr>
          <w:rFonts w:ascii="Arial" w:hAnsi="Arial" w:cs="Arial"/>
          <w:sz w:val="22"/>
          <w:szCs w:val="22"/>
        </w:rPr>
        <w:t>.</w:t>
      </w:r>
      <w:r w:rsidR="000D0DA0">
        <w:rPr>
          <w:rFonts w:ascii="Arial" w:hAnsi="Arial" w:cs="Arial"/>
          <w:sz w:val="22"/>
          <w:szCs w:val="22"/>
        </w:rPr>
        <w:t xml:space="preserve"> </w:t>
      </w:r>
      <w:r w:rsidR="00427799">
        <w:rPr>
          <w:rFonts w:ascii="Arial" w:hAnsi="Arial" w:cs="Arial"/>
          <w:sz w:val="22"/>
          <w:szCs w:val="22"/>
        </w:rPr>
        <w:t xml:space="preserve"> </w:t>
      </w:r>
      <w:r w:rsidR="00E6423C">
        <w:rPr>
          <w:rFonts w:ascii="Arial" w:hAnsi="Arial" w:cs="Arial"/>
          <w:sz w:val="22"/>
          <w:szCs w:val="22"/>
        </w:rPr>
        <w:t xml:space="preserve"> </w:t>
      </w:r>
    </w:p>
    <w:p w:rsidR="00174C4E" w:rsidRDefault="00174C4E" w:rsidP="00CA1350">
      <w:pPr>
        <w:spacing w:line="120" w:lineRule="auto"/>
        <w:jc w:val="both"/>
        <w:rPr>
          <w:rFonts w:ascii="Arial" w:hAnsi="Arial" w:cs="Arial"/>
          <w:b/>
          <w:sz w:val="22"/>
          <w:szCs w:val="22"/>
        </w:rPr>
      </w:pPr>
    </w:p>
    <w:p w:rsidR="007D638D" w:rsidRPr="00E60963" w:rsidRDefault="007D638D" w:rsidP="00125A6E">
      <w:pPr>
        <w:jc w:val="both"/>
        <w:rPr>
          <w:rFonts w:ascii="Arial" w:hAnsi="Arial" w:cs="Arial"/>
          <w:b/>
          <w:sz w:val="22"/>
          <w:szCs w:val="22"/>
        </w:rPr>
      </w:pPr>
      <w:r>
        <w:rPr>
          <w:rFonts w:ascii="Arial" w:hAnsi="Arial" w:cs="Arial"/>
          <w:b/>
          <w:sz w:val="22"/>
          <w:szCs w:val="22"/>
        </w:rPr>
        <w:t>Preliminary Data on Type 2 Diabetes</w:t>
      </w:r>
      <w:r w:rsidR="00E60963">
        <w:rPr>
          <w:rFonts w:ascii="Arial" w:hAnsi="Arial" w:cs="Arial"/>
          <w:b/>
          <w:sz w:val="22"/>
          <w:szCs w:val="22"/>
        </w:rPr>
        <w:t xml:space="preserve">: </w:t>
      </w:r>
      <w:r w:rsidR="008E73C5">
        <w:rPr>
          <w:rFonts w:ascii="Arial" w:hAnsi="Arial" w:cs="Arial"/>
          <w:sz w:val="22"/>
          <w:szCs w:val="22"/>
        </w:rPr>
        <w:t xml:space="preserve">The Schrodi lab has recently conducted a </w:t>
      </w:r>
      <w:r w:rsidR="00410738">
        <w:rPr>
          <w:rFonts w:ascii="Arial" w:hAnsi="Arial" w:cs="Arial"/>
          <w:sz w:val="22"/>
          <w:szCs w:val="22"/>
        </w:rPr>
        <w:t xml:space="preserve">predictive </w:t>
      </w:r>
      <w:r w:rsidR="008E73C5">
        <w:rPr>
          <w:rFonts w:ascii="Arial" w:hAnsi="Arial" w:cs="Arial"/>
          <w:sz w:val="22"/>
          <w:szCs w:val="22"/>
        </w:rPr>
        <w:t xml:space="preserve">study </w:t>
      </w:r>
      <w:r w:rsidR="00410738">
        <w:rPr>
          <w:rFonts w:ascii="Arial" w:hAnsi="Arial" w:cs="Arial"/>
          <w:sz w:val="22"/>
          <w:szCs w:val="22"/>
        </w:rPr>
        <w:t xml:space="preserve">of type 2 diabetes </w:t>
      </w:r>
      <w:r w:rsidR="00A57D20">
        <w:rPr>
          <w:rFonts w:ascii="Arial" w:hAnsi="Arial" w:cs="Arial"/>
          <w:sz w:val="22"/>
          <w:szCs w:val="22"/>
        </w:rPr>
        <w:t xml:space="preserve">(T2D) </w:t>
      </w:r>
      <w:r w:rsidR="00410738">
        <w:rPr>
          <w:rFonts w:ascii="Arial" w:hAnsi="Arial" w:cs="Arial"/>
          <w:sz w:val="22"/>
          <w:szCs w:val="22"/>
        </w:rPr>
        <w:t xml:space="preserve">using a panel of metabolites, immunological and metabolic markers, and </w:t>
      </w:r>
      <w:r w:rsidR="00A57D20">
        <w:rPr>
          <w:rFonts w:ascii="Arial" w:hAnsi="Arial" w:cs="Arial"/>
          <w:sz w:val="22"/>
          <w:szCs w:val="22"/>
        </w:rPr>
        <w:t xml:space="preserve">T2D-associated </w:t>
      </w:r>
      <w:r w:rsidR="00410738">
        <w:rPr>
          <w:rFonts w:ascii="Arial" w:hAnsi="Arial" w:cs="Arial"/>
          <w:sz w:val="22"/>
          <w:szCs w:val="22"/>
        </w:rPr>
        <w:t xml:space="preserve">genetic markers. </w:t>
      </w:r>
      <w:r w:rsidR="00A57D20">
        <w:rPr>
          <w:rFonts w:ascii="Arial" w:hAnsi="Arial" w:cs="Arial"/>
          <w:sz w:val="22"/>
          <w:szCs w:val="22"/>
        </w:rPr>
        <w:t xml:space="preserve">The samples were obtained from PMRP and all case individuals (n=56) were selected to have a T2D </w:t>
      </w:r>
      <w:r w:rsidR="00345BDE">
        <w:rPr>
          <w:rFonts w:ascii="Arial" w:hAnsi="Arial" w:cs="Arial"/>
          <w:sz w:val="22"/>
          <w:szCs w:val="22"/>
        </w:rPr>
        <w:t>diagnosis within 18 months following</w:t>
      </w:r>
      <w:r w:rsidR="00A57D20">
        <w:rPr>
          <w:rFonts w:ascii="Arial" w:hAnsi="Arial" w:cs="Arial"/>
          <w:sz w:val="22"/>
          <w:szCs w:val="22"/>
        </w:rPr>
        <w:t xml:space="preserve"> enrollment in the biobank. </w:t>
      </w:r>
      <w:r w:rsidR="00345BDE">
        <w:rPr>
          <w:rFonts w:ascii="Arial" w:hAnsi="Arial" w:cs="Arial"/>
          <w:sz w:val="22"/>
          <w:szCs w:val="22"/>
        </w:rPr>
        <w:t>T2D diagnosis was determined by the Marshfield Clinic electronic medical record information and was defined as fasting glucose &gt; 125 mg/</w:t>
      </w:r>
      <w:proofErr w:type="spellStart"/>
      <w:r w:rsidR="00345BDE">
        <w:rPr>
          <w:rFonts w:ascii="Arial" w:hAnsi="Arial" w:cs="Arial"/>
          <w:sz w:val="22"/>
          <w:szCs w:val="22"/>
        </w:rPr>
        <w:t>dL</w:t>
      </w:r>
      <w:proofErr w:type="spellEnd"/>
      <w:r w:rsidR="00345BDE">
        <w:rPr>
          <w:rFonts w:ascii="Arial" w:hAnsi="Arial" w:cs="Arial"/>
          <w:sz w:val="22"/>
          <w:szCs w:val="22"/>
        </w:rPr>
        <w:t>, random plasma glucose &gt; 200 mg/</w:t>
      </w:r>
      <w:proofErr w:type="spellStart"/>
      <w:r w:rsidR="00345BDE">
        <w:rPr>
          <w:rFonts w:ascii="Arial" w:hAnsi="Arial" w:cs="Arial"/>
          <w:sz w:val="22"/>
          <w:szCs w:val="22"/>
        </w:rPr>
        <w:t>dL</w:t>
      </w:r>
      <w:proofErr w:type="spellEnd"/>
      <w:r w:rsidR="00345BDE">
        <w:rPr>
          <w:rFonts w:ascii="Arial" w:hAnsi="Arial" w:cs="Arial"/>
          <w:sz w:val="22"/>
          <w:szCs w:val="22"/>
        </w:rPr>
        <w:t>, and/or HbA1c exceeding</w:t>
      </w:r>
      <w:r w:rsidR="004F140C">
        <w:rPr>
          <w:rFonts w:ascii="Arial" w:hAnsi="Arial" w:cs="Arial"/>
          <w:sz w:val="22"/>
          <w:szCs w:val="22"/>
        </w:rPr>
        <w:t xml:space="preserve"> or equal to 6.5%.</w:t>
      </w:r>
      <w:r w:rsidR="00345BDE">
        <w:rPr>
          <w:rFonts w:ascii="Arial" w:hAnsi="Arial" w:cs="Arial"/>
          <w:sz w:val="22"/>
          <w:szCs w:val="22"/>
        </w:rPr>
        <w:t xml:space="preserve"> Controls totaled 445 individuals who did not have any ICD9 codes for diabetes and all measurements of fasting glucose, random glucose and HbA1c were within the normal range. Using the stored plasma samples on all T2D cases and controls, a metabolite panel was measured by </w:t>
      </w:r>
      <w:proofErr w:type="spellStart"/>
      <w:r w:rsidR="00345BDE">
        <w:rPr>
          <w:rFonts w:ascii="Arial" w:hAnsi="Arial" w:cs="Arial"/>
          <w:sz w:val="22"/>
          <w:szCs w:val="22"/>
        </w:rPr>
        <w:t>Metanomics</w:t>
      </w:r>
      <w:proofErr w:type="spellEnd"/>
      <w:r w:rsidR="00345BDE">
        <w:rPr>
          <w:rFonts w:ascii="Arial" w:hAnsi="Arial" w:cs="Arial"/>
          <w:sz w:val="22"/>
          <w:szCs w:val="22"/>
        </w:rPr>
        <w:t xml:space="preserve"> Health. </w:t>
      </w:r>
      <w:r w:rsidR="00EA6EBB">
        <w:rPr>
          <w:rFonts w:ascii="Arial" w:hAnsi="Arial" w:cs="Arial"/>
          <w:sz w:val="22"/>
          <w:szCs w:val="22"/>
        </w:rPr>
        <w:t>W</w:t>
      </w:r>
      <w:r w:rsidR="00345BDE">
        <w:rPr>
          <w:rFonts w:ascii="Arial" w:hAnsi="Arial" w:cs="Arial"/>
          <w:sz w:val="22"/>
          <w:szCs w:val="22"/>
        </w:rPr>
        <w:t xml:space="preserve">e measured concentrations of </w:t>
      </w:r>
      <w:r w:rsidR="00176FD2">
        <w:rPr>
          <w:rFonts w:ascii="Arial" w:hAnsi="Arial" w:cs="Arial"/>
          <w:sz w:val="22"/>
          <w:szCs w:val="22"/>
        </w:rPr>
        <w:t>6</w:t>
      </w:r>
      <w:r w:rsidR="00345BDE">
        <w:rPr>
          <w:rFonts w:ascii="Arial" w:hAnsi="Arial" w:cs="Arial"/>
          <w:sz w:val="22"/>
          <w:szCs w:val="22"/>
        </w:rPr>
        <w:t xml:space="preserve"> inflammatory and metabolic proteins: C-peptide, adiponectin, IL-6, insulin, glucagon, and leptin. </w:t>
      </w:r>
      <w:r w:rsidR="00281A9C" w:rsidRPr="00916E39">
        <w:rPr>
          <w:rFonts w:ascii="Arial" w:hAnsi="Arial" w:cs="Arial"/>
          <w:sz w:val="22"/>
          <w:szCs w:val="22"/>
        </w:rPr>
        <w:t xml:space="preserve">Using </w:t>
      </w:r>
      <w:r w:rsidR="00281A9C">
        <w:rPr>
          <w:rFonts w:ascii="Arial" w:hAnsi="Arial" w:cs="Arial"/>
          <w:sz w:val="22"/>
          <w:szCs w:val="22"/>
        </w:rPr>
        <w:t>a combination of (</w:t>
      </w:r>
      <w:proofErr w:type="spellStart"/>
      <w:r w:rsidR="00281A9C">
        <w:rPr>
          <w:rFonts w:ascii="Arial" w:hAnsi="Arial" w:cs="Arial"/>
          <w:sz w:val="22"/>
          <w:szCs w:val="22"/>
        </w:rPr>
        <w:t>i</w:t>
      </w:r>
      <w:proofErr w:type="spellEnd"/>
      <w:r w:rsidR="00281A9C">
        <w:rPr>
          <w:rFonts w:ascii="Arial" w:hAnsi="Arial" w:cs="Arial"/>
          <w:sz w:val="22"/>
          <w:szCs w:val="22"/>
        </w:rPr>
        <w:t xml:space="preserve">) forward selection that maximizes orthogonality between features, and (ii) an elastic net logistic regression model selecting features with the highest correlation with residuals, we select features to be </w:t>
      </w:r>
      <w:r w:rsidR="00281A9C">
        <w:rPr>
          <w:rFonts w:ascii="Arial" w:hAnsi="Arial" w:cs="Arial"/>
          <w:sz w:val="22"/>
          <w:szCs w:val="22"/>
        </w:rPr>
        <w:lastRenderedPageBreak/>
        <w:t>used in the classifier. A Bayesian Network was generated for the selected features within each cross-validation run and an AUC calculated</w:t>
      </w:r>
      <w:r w:rsidR="00CA1350">
        <w:rPr>
          <w:rFonts w:ascii="Arial" w:hAnsi="Arial" w:cs="Arial"/>
          <w:sz w:val="22"/>
          <w:szCs w:val="22"/>
        </w:rPr>
        <w:t xml:space="preserve"> (</w:t>
      </w:r>
      <w:proofErr w:type="spellStart"/>
      <w:r w:rsidR="00CA1350">
        <w:rPr>
          <w:rFonts w:ascii="Arial" w:hAnsi="Arial" w:cs="Arial"/>
          <w:sz w:val="22"/>
          <w:szCs w:val="22"/>
        </w:rPr>
        <w:t>avg</w:t>
      </w:r>
      <w:proofErr w:type="spellEnd"/>
      <w:r w:rsidR="00281A9C">
        <w:rPr>
          <w:rFonts w:ascii="Arial" w:hAnsi="Arial" w:cs="Arial"/>
          <w:sz w:val="22"/>
          <w:szCs w:val="22"/>
        </w:rPr>
        <w:t xml:space="preserve"> AUC 0.912).</w:t>
      </w:r>
      <w:r w:rsidR="00281A9C" w:rsidRPr="00281A9C">
        <w:rPr>
          <w:rFonts w:ascii="Arial" w:hAnsi="Arial" w:cs="Arial"/>
          <w:sz w:val="22"/>
          <w:szCs w:val="22"/>
          <w:vertAlign w:val="superscript"/>
        </w:rPr>
        <w:t>17</w:t>
      </w:r>
      <w:r w:rsidR="00281A9C">
        <w:rPr>
          <w:rFonts w:ascii="Arial" w:hAnsi="Arial" w:cs="Arial"/>
          <w:sz w:val="22"/>
          <w:szCs w:val="22"/>
        </w:rPr>
        <w:t xml:space="preserve">  </w:t>
      </w:r>
    </w:p>
    <w:p w:rsidR="00BA783F" w:rsidRDefault="00BA783F" w:rsidP="00125A6E">
      <w:pPr>
        <w:jc w:val="both"/>
        <w:rPr>
          <w:rFonts w:ascii="Arial" w:hAnsi="Arial" w:cs="Arial"/>
          <w:b/>
          <w:sz w:val="22"/>
          <w:szCs w:val="22"/>
        </w:rPr>
      </w:pPr>
    </w:p>
    <w:p w:rsidR="00BA783F" w:rsidRDefault="00B52699" w:rsidP="00125A6E">
      <w:pPr>
        <w:jc w:val="both"/>
        <w:rPr>
          <w:rFonts w:ascii="Arial" w:hAnsi="Arial" w:cs="Arial"/>
          <w:b/>
          <w:sz w:val="22"/>
          <w:szCs w:val="22"/>
        </w:rPr>
      </w:pPr>
      <w:r w:rsidRPr="00B52699">
        <w:rPr>
          <w:rFonts w:ascii="Arial" w:hAnsi="Arial" w:cs="Arial"/>
          <w:b/>
          <w:noProof/>
          <w:sz w:val="22"/>
          <w:szCs w:val="22"/>
        </w:rPr>
        <mc:AlternateContent>
          <mc:Choice Requires="wps">
            <w:drawing>
              <wp:anchor distT="0" distB="0" distL="114300" distR="114300" simplePos="0" relativeHeight="251697152" behindDoc="0" locked="0" layoutInCell="1" allowOverlap="1" wp14:anchorId="0CC43495" wp14:editId="5E21FC16">
                <wp:simplePos x="0" y="0"/>
                <wp:positionH relativeFrom="column">
                  <wp:posOffset>3495675</wp:posOffset>
                </wp:positionH>
                <wp:positionV relativeFrom="paragraph">
                  <wp:posOffset>183515</wp:posOffset>
                </wp:positionV>
                <wp:extent cx="3200400" cy="2381250"/>
                <wp:effectExtent l="0" t="0" r="0" b="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381250"/>
                        </a:xfrm>
                        <a:prstGeom prst="rect">
                          <a:avLst/>
                        </a:prstGeom>
                        <a:solidFill>
                          <a:srgbClr val="FFFFFF"/>
                        </a:solidFill>
                        <a:ln w="9525">
                          <a:noFill/>
                          <a:miter lim="800000"/>
                          <a:headEnd/>
                          <a:tailEnd/>
                        </a:ln>
                      </wps:spPr>
                      <wps:txbx>
                        <w:txbxContent>
                          <w:p w:rsidR="00B52699" w:rsidRPr="00B52699" w:rsidRDefault="00B52699" w:rsidP="00B52699">
                            <w:pPr>
                              <w:jc w:val="both"/>
                              <w:rPr>
                                <w:rFonts w:ascii="Arial" w:hAnsi="Arial" w:cs="Arial"/>
                                <w:sz w:val="22"/>
                                <w:szCs w:val="22"/>
                              </w:rPr>
                            </w:pPr>
                            <w:r>
                              <w:rPr>
                                <w:rFonts w:ascii="Arial" w:hAnsi="Arial" w:cs="Arial"/>
                                <w:sz w:val="22"/>
                                <w:szCs w:val="22"/>
                              </w:rPr>
                              <w:t>The results of the Bayesian Network classifier for early T2D prediction shows high sensitivity and specificity using an elastic net for feature selection, followed by calculation of PPD incorporating correlative structure across the features. The addition of other data types, in this example proteins and additional metabolites, improves the averaged cross validated AUC values.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275.25pt;margin-top:14.45pt;width:252pt;height:18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" stroked="f">
                <v:textbox>
                  <w:txbxContent>
                    <w:p w:rsidR="00B52699" w:rsidRPr="00B52699" w:rsidRDefault="00B52699" w:rsidP="00B52699">
                      <w:pPr>
                        <w:jc w:val="both"/>
                        <w:rPr>
                          <w:rFonts w:ascii="Arial" w:hAnsi="Arial" w:cs="Arial"/>
                          <w:sz w:val="22"/>
                          <w:szCs w:val="22"/>
                        </w:rPr>
                      </w:pPr>
                      <w:r>
                        <w:rPr>
                          <w:rFonts w:ascii="Arial" w:hAnsi="Arial" w:cs="Arial"/>
                          <w:sz w:val="22"/>
                          <w:szCs w:val="22"/>
                        </w:rPr>
                        <w:t>The results of the Bayesian Network classifier for early T2D prediction shows high sensitivity and specificity using an elastic net for feature selection, followed by calculation of PPD incorporating correlative structure across the features. The addition of other data types, in this example proteins and additional metabolites, improves the averaged cross validated AUC values.</w:t>
                      </w:r>
                    </w:p>
                  </w:txbxContent>
                </v:textbox>
              </v:shape>
            </w:pict>
          </mc:Fallback>
        </mc:AlternateContent>
      </w:r>
      <w:r w:rsidR="00BA783F">
        <w:rPr>
          <w:rFonts w:ascii="Arial" w:hAnsi="Arial" w:cs="Arial"/>
          <w:b/>
          <w:noProof/>
          <w:sz w:val="22"/>
          <w:szCs w:val="22"/>
        </w:rPr>
        <w:drawing>
          <wp:inline distT="0" distB="0" distL="0" distR="0" wp14:anchorId="631750CA" wp14:editId="10833106">
            <wp:extent cx="3445179" cy="31242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45660" cy="3124637"/>
                    </a:xfrm>
                    <a:prstGeom prst="rect">
                      <a:avLst/>
                    </a:prstGeom>
                    <a:noFill/>
                    <a:ln>
                      <a:noFill/>
                    </a:ln>
                  </pic:spPr>
                </pic:pic>
              </a:graphicData>
            </a:graphic>
          </wp:inline>
        </w:drawing>
      </w:r>
    </w:p>
    <w:p w:rsidR="007D638D" w:rsidRDefault="007D638D" w:rsidP="00125A6E">
      <w:pPr>
        <w:jc w:val="both"/>
        <w:rPr>
          <w:rFonts w:ascii="Arial" w:hAnsi="Arial" w:cs="Arial"/>
          <w:b/>
          <w:sz w:val="22"/>
          <w:szCs w:val="22"/>
        </w:rPr>
      </w:pPr>
    </w:p>
    <w:p w:rsidR="00362BEF" w:rsidRDefault="00383522" w:rsidP="00125A6E">
      <w:pPr>
        <w:jc w:val="both"/>
        <w:rPr>
          <w:rFonts w:ascii="Arial" w:hAnsi="Arial" w:cs="Arial"/>
          <w:b/>
          <w:sz w:val="22"/>
          <w:szCs w:val="22"/>
        </w:rPr>
      </w:pPr>
      <w:r>
        <w:rPr>
          <w:rFonts w:ascii="Arial" w:hAnsi="Arial" w:cs="Arial"/>
          <w:b/>
          <w:sz w:val="22"/>
          <w:szCs w:val="22"/>
        </w:rPr>
        <w:t>Specific Aim 3</w:t>
      </w:r>
    </w:p>
    <w:p w:rsidR="004157E8" w:rsidRDefault="004157E8" w:rsidP="00125A6E">
      <w:pPr>
        <w:pStyle w:val="Default"/>
        <w:jc w:val="both"/>
      </w:pPr>
      <w:r>
        <w:rPr>
          <w:noProof/>
        </w:rPr>
        <mc:AlternateContent>
          <mc:Choice Requires="wps">
            <w:drawing>
              <wp:anchor distT="0" distB="0" distL="114300" distR="114300" simplePos="0" relativeHeight="251663360" behindDoc="0" locked="0" layoutInCell="1" allowOverlap="1" wp14:anchorId="13FC6C47" wp14:editId="55D2A301">
                <wp:simplePos x="0" y="0"/>
                <wp:positionH relativeFrom="column">
                  <wp:posOffset>-47625</wp:posOffset>
                </wp:positionH>
                <wp:positionV relativeFrom="paragraph">
                  <wp:posOffset>102870</wp:posOffset>
                </wp:positionV>
                <wp:extent cx="5895975" cy="3238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5895975" cy="3238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3.75pt;margin-top:8.1pt;width:464.25pt;height: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" filled="f" strokecolor="red" strokeweight="2pt"/>
            </w:pict>
          </mc:Fallback>
        </mc:AlternateContent>
      </w:r>
    </w:p>
    <w:p w:rsidR="004157E8" w:rsidRPr="004157E8" w:rsidRDefault="001313AC" w:rsidP="00125A6E">
      <w:pPr>
        <w:jc w:val="both"/>
        <w:rPr>
          <w:rFonts w:ascii="Arial" w:hAnsi="Arial" w:cs="Arial"/>
          <w:b/>
          <w:sz w:val="22"/>
          <w:szCs w:val="22"/>
        </w:rPr>
      </w:pPr>
      <w:r>
        <w:rPr>
          <w:rFonts w:ascii="Arial" w:hAnsi="Arial" w:cs="Arial"/>
          <w:b/>
          <w:bCs/>
          <w:sz w:val="22"/>
          <w:szCs w:val="22"/>
        </w:rPr>
        <w:t>To validate</w:t>
      </w:r>
      <w:r w:rsidR="004157E8" w:rsidRPr="004157E8">
        <w:rPr>
          <w:rFonts w:ascii="Arial" w:hAnsi="Arial" w:cs="Arial"/>
          <w:b/>
          <w:bCs/>
          <w:sz w:val="22"/>
          <w:szCs w:val="22"/>
        </w:rPr>
        <w:t xml:space="preserve"> the predictive model for </w:t>
      </w:r>
      <w:r>
        <w:rPr>
          <w:rFonts w:ascii="Arial" w:hAnsi="Arial" w:cs="Arial"/>
          <w:b/>
          <w:bCs/>
          <w:sz w:val="22"/>
          <w:szCs w:val="22"/>
        </w:rPr>
        <w:t>rheumatoid arthritis</w:t>
      </w:r>
      <w:r w:rsidR="004157E8" w:rsidRPr="004157E8">
        <w:rPr>
          <w:rFonts w:ascii="Arial" w:hAnsi="Arial" w:cs="Arial"/>
          <w:b/>
          <w:bCs/>
          <w:sz w:val="22"/>
          <w:szCs w:val="22"/>
        </w:rPr>
        <w:t xml:space="preserve"> in an independent sample set.</w:t>
      </w:r>
    </w:p>
    <w:p w:rsidR="004157E8" w:rsidRDefault="004157E8" w:rsidP="00125A6E">
      <w:pPr>
        <w:jc w:val="both"/>
        <w:rPr>
          <w:rFonts w:ascii="Arial" w:hAnsi="Arial" w:cs="Arial"/>
          <w:b/>
          <w:sz w:val="22"/>
          <w:szCs w:val="22"/>
        </w:rPr>
      </w:pPr>
    </w:p>
    <w:p w:rsidR="004157E8" w:rsidRPr="00391205" w:rsidRDefault="00391205" w:rsidP="00125A6E">
      <w:pPr>
        <w:jc w:val="both"/>
        <w:rPr>
          <w:rFonts w:ascii="Arial" w:hAnsi="Arial" w:cs="Arial"/>
          <w:sz w:val="22"/>
          <w:szCs w:val="22"/>
        </w:rPr>
      </w:pPr>
      <w:r>
        <w:rPr>
          <w:rFonts w:ascii="Arial" w:hAnsi="Arial" w:cs="Arial"/>
          <w:sz w:val="22"/>
          <w:szCs w:val="22"/>
        </w:rPr>
        <w:t>The PMRP houses sufficient RA patients with diagnoses following sample collection and controls to split the sample into training and test sample sets. The same predictive modeling procedure will be used for the initial set of RA and controls as will be used for the remaining 7 diseases (i.e., SIS, elastic net feature selection, classifier development, and 10-fold cross validation incorporating the SIS/feature selection steps). The predictive model with the highest average cross validation AUC values will be tested in the indep</w:t>
      </w:r>
      <w:r w:rsidR="008A3B1B">
        <w:rPr>
          <w:rFonts w:ascii="Arial" w:hAnsi="Arial" w:cs="Arial"/>
          <w:sz w:val="22"/>
          <w:szCs w:val="22"/>
        </w:rPr>
        <w:t xml:space="preserve">endent hold-out sample set of 97 cases and 200 controls. A portion of these RA samples (n=60) and controls (n=100) will be classified by the predictive model utilizing the exome variants, circulating cytokines/metabolic proteins as well as the ADI protein microarray features. </w:t>
      </w:r>
      <w:r>
        <w:rPr>
          <w:rFonts w:ascii="Arial" w:hAnsi="Arial" w:cs="Arial"/>
          <w:sz w:val="22"/>
          <w:szCs w:val="22"/>
        </w:rPr>
        <w:t xml:space="preserve">This will further test if the molecular panels measured and machine learning/statistical procedures have the capacity to produce a robust, accurate classifier for RA.       </w:t>
      </w:r>
      <w:r w:rsidRPr="00391205">
        <w:rPr>
          <w:rFonts w:ascii="Arial" w:hAnsi="Arial" w:cs="Arial"/>
          <w:sz w:val="22"/>
          <w:szCs w:val="22"/>
        </w:rPr>
        <w:t xml:space="preserve"> </w:t>
      </w:r>
    </w:p>
    <w:p w:rsidR="00E60963" w:rsidRDefault="00E60963" w:rsidP="00125A6E">
      <w:pPr>
        <w:jc w:val="both"/>
        <w:rPr>
          <w:rFonts w:ascii="Arial" w:hAnsi="Arial" w:cs="Arial"/>
          <w:b/>
          <w:sz w:val="22"/>
          <w:szCs w:val="22"/>
        </w:rPr>
      </w:pPr>
    </w:p>
    <w:p w:rsidR="00383522" w:rsidRPr="00383522" w:rsidRDefault="00383522" w:rsidP="00125A6E">
      <w:pPr>
        <w:jc w:val="both"/>
        <w:rPr>
          <w:rFonts w:ascii="Arial" w:hAnsi="Arial" w:cs="Arial"/>
          <w:b/>
          <w:sz w:val="22"/>
          <w:szCs w:val="22"/>
        </w:rPr>
      </w:pPr>
      <w:r>
        <w:rPr>
          <w:rFonts w:ascii="Arial" w:hAnsi="Arial" w:cs="Arial"/>
          <w:b/>
          <w:sz w:val="22"/>
          <w:szCs w:val="22"/>
        </w:rPr>
        <w:t>Timeline</w:t>
      </w:r>
    </w:p>
    <w:p w:rsidR="00267A0A" w:rsidRDefault="00267A0A" w:rsidP="00125A6E">
      <w:pPr>
        <w:jc w:val="both"/>
        <w:rPr>
          <w:rFonts w:ascii="Arial" w:hAnsi="Arial" w:cs="Arial"/>
          <w:b/>
          <w:sz w:val="22"/>
          <w:szCs w:val="22"/>
        </w:rPr>
      </w:pPr>
    </w:p>
    <w:p w:rsidR="00741434" w:rsidRDefault="00741434" w:rsidP="00125A6E">
      <w:pPr>
        <w:jc w:val="both"/>
        <w:rPr>
          <w:rFonts w:ascii="Arial" w:hAnsi="Arial" w:cs="Arial"/>
          <w:sz w:val="22"/>
          <w:szCs w:val="22"/>
        </w:rPr>
      </w:pPr>
      <w:r w:rsidRPr="00741434">
        <w:rPr>
          <w:rFonts w:ascii="Arial" w:hAnsi="Arial" w:cs="Arial"/>
          <w:b/>
          <w:sz w:val="22"/>
          <w:szCs w:val="22"/>
          <w:u w:val="single"/>
        </w:rPr>
        <w:t>Year 1:</w:t>
      </w:r>
      <w:r>
        <w:rPr>
          <w:rFonts w:ascii="Arial" w:hAnsi="Arial" w:cs="Arial"/>
          <w:b/>
          <w:sz w:val="22"/>
          <w:szCs w:val="22"/>
        </w:rPr>
        <w:t xml:space="preserve"> </w:t>
      </w:r>
      <w:r>
        <w:rPr>
          <w:rFonts w:ascii="Arial" w:hAnsi="Arial" w:cs="Arial"/>
          <w:sz w:val="22"/>
          <w:szCs w:val="22"/>
        </w:rPr>
        <w:t xml:space="preserve">Obtain Marshfield IRB approval for the study. </w:t>
      </w:r>
      <w:r w:rsidR="004A519B">
        <w:rPr>
          <w:rFonts w:ascii="Arial" w:hAnsi="Arial" w:cs="Arial"/>
          <w:sz w:val="22"/>
          <w:szCs w:val="22"/>
        </w:rPr>
        <w:t xml:space="preserve">Partition exome data for the PMRP into data types (exome variants, GWAS-significant SNPs, AIMs). </w:t>
      </w:r>
      <w:r>
        <w:rPr>
          <w:rFonts w:ascii="Arial" w:hAnsi="Arial" w:cs="Arial"/>
          <w:sz w:val="22"/>
          <w:szCs w:val="22"/>
        </w:rPr>
        <w:t xml:space="preserve">Define the PMRP cohort to be studied by applying exclusion criteria and performing the PCA analysis on the exome </w:t>
      </w:r>
      <w:proofErr w:type="spellStart"/>
      <w:r>
        <w:rPr>
          <w:rFonts w:ascii="Arial" w:hAnsi="Arial" w:cs="Arial"/>
          <w:sz w:val="22"/>
          <w:szCs w:val="22"/>
        </w:rPr>
        <w:t>beadchip</w:t>
      </w:r>
      <w:proofErr w:type="spellEnd"/>
      <w:r>
        <w:rPr>
          <w:rFonts w:ascii="Arial" w:hAnsi="Arial" w:cs="Arial"/>
          <w:sz w:val="22"/>
          <w:szCs w:val="22"/>
        </w:rPr>
        <w:t xml:space="preserve"> data to remove outliers. Identify cases and controls for all diseases</w:t>
      </w:r>
      <w:r w:rsidR="004A519B">
        <w:rPr>
          <w:rFonts w:ascii="Arial" w:hAnsi="Arial" w:cs="Arial"/>
          <w:sz w:val="22"/>
          <w:szCs w:val="22"/>
        </w:rPr>
        <w:t xml:space="preserve"> with aid from Dr. Smith</w:t>
      </w:r>
      <w:r>
        <w:rPr>
          <w:rFonts w:ascii="Arial" w:hAnsi="Arial" w:cs="Arial"/>
          <w:sz w:val="22"/>
          <w:szCs w:val="22"/>
        </w:rPr>
        <w:t>. Send plasma from 50% of the samples to Eve Technologies t</w:t>
      </w:r>
      <w:r w:rsidR="006F6D2A">
        <w:rPr>
          <w:rFonts w:ascii="Arial" w:hAnsi="Arial" w:cs="Arial"/>
          <w:sz w:val="22"/>
          <w:szCs w:val="22"/>
        </w:rPr>
        <w:t>o run the Human Cytokine Array/</w:t>
      </w:r>
      <w:r>
        <w:rPr>
          <w:rFonts w:ascii="Arial" w:hAnsi="Arial" w:cs="Arial"/>
          <w:sz w:val="22"/>
          <w:szCs w:val="22"/>
        </w:rPr>
        <w:t>Chemokine Array 42-Plex (HD42) and the Human Metabolic Hormone Array 9-Plex. Send plasma from 50% of the samples to Antigen Discov</w:t>
      </w:r>
      <w:r w:rsidR="005056D2">
        <w:rPr>
          <w:rFonts w:ascii="Arial" w:hAnsi="Arial" w:cs="Arial"/>
          <w:sz w:val="22"/>
          <w:szCs w:val="22"/>
        </w:rPr>
        <w:t>ery for interrogation on the 800</w:t>
      </w:r>
      <w:r>
        <w:rPr>
          <w:rFonts w:ascii="Arial" w:hAnsi="Arial" w:cs="Arial"/>
          <w:sz w:val="22"/>
          <w:szCs w:val="22"/>
        </w:rPr>
        <w:t xml:space="preserve"> antigen </w:t>
      </w:r>
      <w:r w:rsidR="005056D2">
        <w:rPr>
          <w:rFonts w:ascii="Arial" w:hAnsi="Arial" w:cs="Arial"/>
          <w:sz w:val="22"/>
          <w:szCs w:val="22"/>
        </w:rPr>
        <w:t xml:space="preserve">protein microarray </w:t>
      </w:r>
      <w:r>
        <w:rPr>
          <w:rFonts w:ascii="Arial" w:hAnsi="Arial" w:cs="Arial"/>
          <w:sz w:val="22"/>
          <w:szCs w:val="22"/>
        </w:rPr>
        <w:t xml:space="preserve">platform. </w:t>
      </w:r>
    </w:p>
    <w:p w:rsidR="00741434" w:rsidRDefault="00741434" w:rsidP="00125A6E">
      <w:pPr>
        <w:jc w:val="both"/>
        <w:rPr>
          <w:rFonts w:ascii="Arial" w:hAnsi="Arial" w:cs="Arial"/>
          <w:sz w:val="22"/>
          <w:szCs w:val="22"/>
        </w:rPr>
      </w:pPr>
    </w:p>
    <w:p w:rsidR="004A519B" w:rsidRDefault="00741434" w:rsidP="004A519B">
      <w:pPr>
        <w:jc w:val="both"/>
        <w:rPr>
          <w:rFonts w:ascii="Arial" w:hAnsi="Arial" w:cs="Arial"/>
          <w:sz w:val="22"/>
          <w:szCs w:val="22"/>
        </w:rPr>
      </w:pPr>
      <w:r w:rsidRPr="00741434">
        <w:rPr>
          <w:rFonts w:ascii="Arial" w:hAnsi="Arial" w:cs="Arial"/>
          <w:b/>
          <w:sz w:val="22"/>
          <w:szCs w:val="22"/>
          <w:u w:val="single"/>
        </w:rPr>
        <w:t>Year 2:</w:t>
      </w:r>
      <w:r w:rsidRPr="004A519B">
        <w:rPr>
          <w:rFonts w:ascii="Arial" w:hAnsi="Arial" w:cs="Arial"/>
          <w:b/>
          <w:sz w:val="22"/>
          <w:szCs w:val="22"/>
        </w:rPr>
        <w:t xml:space="preserve"> </w:t>
      </w:r>
      <w:r w:rsidR="004A519B">
        <w:rPr>
          <w:rFonts w:ascii="Arial" w:hAnsi="Arial" w:cs="Arial"/>
          <w:sz w:val="22"/>
          <w:szCs w:val="22"/>
        </w:rPr>
        <w:t>Send plasma from 50% of the samples to Eve Technologies to run the Human Cytokine Array/ Chemokine Array 42-Plex with IL-18 (HD42) and the Human Metabolic Hormone Array 9-Plex. Send plasma from 50% of the samples to Antigen Disc</w:t>
      </w:r>
      <w:r w:rsidR="008A3B1B">
        <w:rPr>
          <w:rFonts w:ascii="Arial" w:hAnsi="Arial" w:cs="Arial"/>
          <w:sz w:val="22"/>
          <w:szCs w:val="22"/>
        </w:rPr>
        <w:t>overy for interrogation on the 800</w:t>
      </w:r>
      <w:r w:rsidR="004A519B">
        <w:rPr>
          <w:rFonts w:ascii="Arial" w:hAnsi="Arial" w:cs="Arial"/>
          <w:sz w:val="22"/>
          <w:szCs w:val="22"/>
        </w:rPr>
        <w:t xml:space="preserve"> antigen </w:t>
      </w:r>
      <w:r w:rsidR="008A3B1B">
        <w:rPr>
          <w:rFonts w:ascii="Arial" w:hAnsi="Arial" w:cs="Arial"/>
          <w:sz w:val="22"/>
          <w:szCs w:val="22"/>
        </w:rPr>
        <w:t xml:space="preserve">microarray </w:t>
      </w:r>
      <w:r w:rsidR="004A519B">
        <w:rPr>
          <w:rFonts w:ascii="Arial" w:hAnsi="Arial" w:cs="Arial"/>
          <w:sz w:val="22"/>
          <w:szCs w:val="22"/>
        </w:rPr>
        <w:t>platform. Retrieve and merge data from Eve Technologies and Antigen Discovery with exome variant data and phenotype data. With ai</w:t>
      </w:r>
      <w:r w:rsidR="00621C21">
        <w:rPr>
          <w:rFonts w:ascii="Arial" w:hAnsi="Arial" w:cs="Arial"/>
          <w:sz w:val="22"/>
          <w:szCs w:val="22"/>
        </w:rPr>
        <w:t>d from Dr. Maadooliat and Dr. Guo</w:t>
      </w:r>
      <w:r w:rsidR="004A519B">
        <w:rPr>
          <w:rFonts w:ascii="Arial" w:hAnsi="Arial" w:cs="Arial"/>
          <w:sz w:val="22"/>
          <w:szCs w:val="22"/>
        </w:rPr>
        <w:t xml:space="preserve">, set up computational software and algorithms for running the association analyses, SIS, feature selection, and classifier development on the high performance computing cluster. </w:t>
      </w:r>
    </w:p>
    <w:p w:rsidR="004A519B" w:rsidRDefault="004A519B" w:rsidP="004A519B">
      <w:pPr>
        <w:jc w:val="both"/>
        <w:rPr>
          <w:rFonts w:ascii="Arial" w:hAnsi="Arial" w:cs="Arial"/>
          <w:sz w:val="22"/>
          <w:szCs w:val="22"/>
        </w:rPr>
      </w:pPr>
    </w:p>
    <w:p w:rsidR="004A519B" w:rsidRDefault="004A519B" w:rsidP="004A519B">
      <w:pPr>
        <w:jc w:val="both"/>
        <w:rPr>
          <w:rFonts w:ascii="Arial" w:hAnsi="Arial" w:cs="Arial"/>
          <w:sz w:val="22"/>
          <w:szCs w:val="22"/>
        </w:rPr>
      </w:pPr>
      <w:r w:rsidRPr="004A519B">
        <w:rPr>
          <w:rFonts w:ascii="Arial" w:hAnsi="Arial" w:cs="Arial"/>
          <w:b/>
          <w:sz w:val="22"/>
          <w:szCs w:val="22"/>
          <w:u w:val="single"/>
        </w:rPr>
        <w:lastRenderedPageBreak/>
        <w:t>Year 3:</w:t>
      </w:r>
      <w:r w:rsidRPr="004A519B">
        <w:rPr>
          <w:rFonts w:ascii="Arial" w:hAnsi="Arial" w:cs="Arial"/>
          <w:b/>
          <w:sz w:val="22"/>
          <w:szCs w:val="22"/>
        </w:rPr>
        <w:t xml:space="preserve"> </w:t>
      </w:r>
      <w:r w:rsidRPr="004A519B">
        <w:rPr>
          <w:rFonts w:ascii="Arial" w:hAnsi="Arial" w:cs="Arial"/>
          <w:sz w:val="22"/>
          <w:szCs w:val="22"/>
        </w:rPr>
        <w:t>Perform</w:t>
      </w:r>
      <w:r>
        <w:rPr>
          <w:rFonts w:ascii="Arial" w:hAnsi="Arial" w:cs="Arial"/>
          <w:sz w:val="22"/>
          <w:szCs w:val="22"/>
        </w:rPr>
        <w:t xml:space="preserve"> statistical and machine learning analyses on the merged data files. Set up binary PCA and </w:t>
      </w:r>
      <w:proofErr w:type="spellStart"/>
      <w:r>
        <w:rPr>
          <w:rFonts w:ascii="Arial" w:hAnsi="Arial" w:cs="Arial"/>
          <w:sz w:val="22"/>
          <w:szCs w:val="22"/>
        </w:rPr>
        <w:t>biclustering</w:t>
      </w:r>
      <w:proofErr w:type="spellEnd"/>
      <w:r>
        <w:rPr>
          <w:rFonts w:ascii="Arial" w:hAnsi="Arial" w:cs="Arial"/>
          <w:sz w:val="22"/>
          <w:szCs w:val="22"/>
        </w:rPr>
        <w:t xml:space="preserve"> algorithms for analysis of disease subgroups </w:t>
      </w:r>
      <w:r w:rsidR="0062356D">
        <w:rPr>
          <w:rFonts w:ascii="Arial" w:hAnsi="Arial" w:cs="Arial"/>
          <w:sz w:val="22"/>
          <w:szCs w:val="22"/>
        </w:rPr>
        <w:t xml:space="preserve">through clustering. </w:t>
      </w:r>
      <w:r w:rsidR="00F00B54">
        <w:rPr>
          <w:rFonts w:ascii="Arial" w:hAnsi="Arial" w:cs="Arial"/>
          <w:sz w:val="22"/>
          <w:szCs w:val="22"/>
        </w:rPr>
        <w:t>Dr. Guo will also receive training from Drs. Schrodi and Maadooliat in analysis methods.</w:t>
      </w:r>
      <w:r>
        <w:rPr>
          <w:rFonts w:ascii="Arial" w:hAnsi="Arial" w:cs="Arial"/>
          <w:sz w:val="22"/>
          <w:szCs w:val="22"/>
        </w:rPr>
        <w:t xml:space="preserve"> </w:t>
      </w:r>
    </w:p>
    <w:p w:rsidR="004A519B" w:rsidRPr="004A519B" w:rsidRDefault="004A519B" w:rsidP="004A519B">
      <w:pPr>
        <w:jc w:val="both"/>
        <w:rPr>
          <w:rFonts w:ascii="Arial" w:hAnsi="Arial" w:cs="Arial"/>
          <w:b/>
          <w:sz w:val="22"/>
          <w:szCs w:val="22"/>
          <w:u w:val="single"/>
        </w:rPr>
      </w:pPr>
    </w:p>
    <w:p w:rsidR="00741434" w:rsidRDefault="004A519B" w:rsidP="00125A6E">
      <w:pPr>
        <w:jc w:val="both"/>
        <w:rPr>
          <w:rFonts w:ascii="Arial" w:hAnsi="Arial" w:cs="Arial"/>
          <w:sz w:val="22"/>
          <w:szCs w:val="22"/>
        </w:rPr>
      </w:pPr>
      <w:r>
        <w:rPr>
          <w:rFonts w:ascii="Arial" w:hAnsi="Arial" w:cs="Arial"/>
          <w:b/>
          <w:sz w:val="22"/>
          <w:szCs w:val="22"/>
          <w:u w:val="single"/>
        </w:rPr>
        <w:t>Year 4</w:t>
      </w:r>
      <w:r w:rsidRPr="004A519B">
        <w:rPr>
          <w:rFonts w:ascii="Arial" w:hAnsi="Arial" w:cs="Arial"/>
          <w:b/>
          <w:sz w:val="22"/>
          <w:szCs w:val="22"/>
          <w:u w:val="single"/>
        </w:rPr>
        <w:t>:</w:t>
      </w:r>
      <w:r w:rsidRPr="004A519B">
        <w:rPr>
          <w:rFonts w:ascii="Arial" w:hAnsi="Arial" w:cs="Arial"/>
          <w:b/>
          <w:sz w:val="22"/>
          <w:szCs w:val="22"/>
        </w:rPr>
        <w:t xml:space="preserve"> </w:t>
      </w:r>
      <w:r>
        <w:rPr>
          <w:rFonts w:ascii="Arial" w:hAnsi="Arial" w:cs="Arial"/>
          <w:sz w:val="22"/>
          <w:szCs w:val="22"/>
        </w:rPr>
        <w:t xml:space="preserve">Complete disease prediction for eight diseases and evaluate diagnostic utility measures. Select predictive model for validation sample set of rheumatoid arthritis. Perform </w:t>
      </w:r>
      <w:r w:rsidR="0062356D">
        <w:rPr>
          <w:rFonts w:ascii="Arial" w:hAnsi="Arial" w:cs="Arial"/>
          <w:sz w:val="22"/>
          <w:szCs w:val="22"/>
        </w:rPr>
        <w:t>analysis to identify molecular-based disease subgroups.</w:t>
      </w:r>
      <w:r w:rsidR="00B67413">
        <w:rPr>
          <w:rFonts w:ascii="Arial" w:hAnsi="Arial" w:cs="Arial"/>
          <w:sz w:val="22"/>
          <w:szCs w:val="22"/>
        </w:rPr>
        <w:t xml:space="preserve"> Mentor and train </w:t>
      </w:r>
      <w:r w:rsidR="00F00B54">
        <w:rPr>
          <w:rFonts w:ascii="Arial" w:hAnsi="Arial" w:cs="Arial"/>
          <w:sz w:val="22"/>
          <w:szCs w:val="22"/>
        </w:rPr>
        <w:t>Dr. Guo (</w:t>
      </w:r>
      <w:r w:rsidR="00B67413">
        <w:rPr>
          <w:rFonts w:ascii="Arial" w:hAnsi="Arial" w:cs="Arial"/>
          <w:sz w:val="22"/>
          <w:szCs w:val="22"/>
        </w:rPr>
        <w:t>postdoctoral fellow on the study</w:t>
      </w:r>
      <w:r w:rsidR="00F00B54">
        <w:rPr>
          <w:rFonts w:ascii="Arial" w:hAnsi="Arial" w:cs="Arial"/>
          <w:sz w:val="22"/>
          <w:szCs w:val="22"/>
        </w:rPr>
        <w:t xml:space="preserve">). </w:t>
      </w:r>
      <w:r w:rsidR="00B67413">
        <w:rPr>
          <w:rFonts w:ascii="Arial" w:hAnsi="Arial" w:cs="Arial"/>
          <w:sz w:val="22"/>
          <w:szCs w:val="22"/>
        </w:rPr>
        <w:t>Development of novel methods for prediction, clustering through dimensional reduction, and investigate new diagnostic utility metrics. Work with Dr. Smith to interpret biological implications of results.</w:t>
      </w:r>
    </w:p>
    <w:p w:rsidR="004A519B" w:rsidRDefault="004A519B" w:rsidP="00125A6E">
      <w:pPr>
        <w:jc w:val="both"/>
        <w:rPr>
          <w:rFonts w:ascii="Arial" w:hAnsi="Arial" w:cs="Arial"/>
          <w:sz w:val="22"/>
          <w:szCs w:val="22"/>
        </w:rPr>
      </w:pPr>
    </w:p>
    <w:p w:rsidR="004A519B" w:rsidRPr="00741434" w:rsidRDefault="004A519B" w:rsidP="00125A6E">
      <w:pPr>
        <w:jc w:val="both"/>
        <w:rPr>
          <w:rFonts w:ascii="Arial" w:hAnsi="Arial" w:cs="Arial"/>
          <w:b/>
          <w:sz w:val="22"/>
          <w:szCs w:val="22"/>
          <w:u w:val="single"/>
        </w:rPr>
      </w:pPr>
      <w:r>
        <w:rPr>
          <w:rFonts w:ascii="Arial" w:hAnsi="Arial" w:cs="Arial"/>
          <w:b/>
          <w:sz w:val="22"/>
          <w:szCs w:val="22"/>
          <w:u w:val="single"/>
        </w:rPr>
        <w:t>Year 5</w:t>
      </w:r>
      <w:r w:rsidRPr="004A519B">
        <w:rPr>
          <w:rFonts w:ascii="Arial" w:hAnsi="Arial" w:cs="Arial"/>
          <w:b/>
          <w:sz w:val="22"/>
          <w:szCs w:val="22"/>
          <w:u w:val="single"/>
        </w:rPr>
        <w:t>:</w:t>
      </w:r>
      <w:r w:rsidRPr="004A519B">
        <w:rPr>
          <w:rFonts w:ascii="Arial" w:hAnsi="Arial" w:cs="Arial"/>
          <w:b/>
          <w:sz w:val="22"/>
          <w:szCs w:val="22"/>
        </w:rPr>
        <w:t xml:space="preserve"> </w:t>
      </w:r>
      <w:r>
        <w:rPr>
          <w:rFonts w:ascii="Arial" w:hAnsi="Arial" w:cs="Arial"/>
          <w:sz w:val="22"/>
          <w:szCs w:val="22"/>
        </w:rPr>
        <w:t xml:space="preserve">Complete </w:t>
      </w:r>
      <w:r w:rsidR="00B67413">
        <w:rPr>
          <w:rFonts w:ascii="Arial" w:hAnsi="Arial" w:cs="Arial"/>
          <w:sz w:val="22"/>
          <w:szCs w:val="22"/>
        </w:rPr>
        <w:t>analysis of disease subgroups. Write manuscripts and present at national conferences. Coordinat</w:t>
      </w:r>
      <w:r w:rsidR="00F00B54">
        <w:rPr>
          <w:rFonts w:ascii="Arial" w:hAnsi="Arial" w:cs="Arial"/>
          <w:sz w:val="22"/>
          <w:szCs w:val="22"/>
        </w:rPr>
        <w:t>e with Drs. Maadooliat, Guo, Trappl-Kimmons and Liang</w:t>
      </w:r>
      <w:r w:rsidR="00B67413">
        <w:rPr>
          <w:rFonts w:ascii="Arial" w:hAnsi="Arial" w:cs="Arial"/>
          <w:sz w:val="22"/>
          <w:szCs w:val="22"/>
        </w:rPr>
        <w:t xml:space="preserve"> on analysis results, the performance of novel methods. Identify new hypotheses that are generated from these results and apply for funding to continue investigation in new direction. Wor</w:t>
      </w:r>
      <w:bookmarkStart w:id="0" w:name="_GoBack"/>
      <w:bookmarkEnd w:id="0"/>
      <w:r w:rsidR="00B67413">
        <w:rPr>
          <w:rFonts w:ascii="Arial" w:hAnsi="Arial" w:cs="Arial"/>
          <w:sz w:val="22"/>
          <w:szCs w:val="22"/>
        </w:rPr>
        <w:t xml:space="preserve">k with Dr. Smith to interpret clinical implications of results.   </w:t>
      </w:r>
    </w:p>
    <w:sectPr w:rsidR="004A519B" w:rsidRPr="00741434" w:rsidSect="00970AB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76897"/>
    <w:multiLevelType w:val="hybridMultilevel"/>
    <w:tmpl w:val="40D8EB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EA162E"/>
    <w:multiLevelType w:val="hybridMultilevel"/>
    <w:tmpl w:val="5860D6EA"/>
    <w:lvl w:ilvl="0" w:tplc="CDCCB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3471A4"/>
    <w:multiLevelType w:val="hybridMultilevel"/>
    <w:tmpl w:val="1B9EEB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F22BFF"/>
    <w:multiLevelType w:val="hybridMultilevel"/>
    <w:tmpl w:val="112E67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841832"/>
    <w:multiLevelType w:val="hybridMultilevel"/>
    <w:tmpl w:val="02A6D7A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4096A63"/>
    <w:multiLevelType w:val="hybridMultilevel"/>
    <w:tmpl w:val="A3BAA1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431CB1"/>
    <w:multiLevelType w:val="hybridMultilevel"/>
    <w:tmpl w:val="6AB638B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6"/>
  </w:num>
  <w:num w:numId="3">
    <w:abstractNumId w:val="2"/>
  </w:num>
  <w:num w:numId="4">
    <w:abstractNumId w:val="5"/>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A0A"/>
    <w:rsid w:val="0000173F"/>
    <w:rsid w:val="00007B9A"/>
    <w:rsid w:val="00010745"/>
    <w:rsid w:val="0002191D"/>
    <w:rsid w:val="00030978"/>
    <w:rsid w:val="00030A65"/>
    <w:rsid w:val="000330D3"/>
    <w:rsid w:val="00034B6C"/>
    <w:rsid w:val="0004399F"/>
    <w:rsid w:val="00043D13"/>
    <w:rsid w:val="00050CA9"/>
    <w:rsid w:val="00050E6E"/>
    <w:rsid w:val="00051FE7"/>
    <w:rsid w:val="00065DC4"/>
    <w:rsid w:val="000727DE"/>
    <w:rsid w:val="00087441"/>
    <w:rsid w:val="00092892"/>
    <w:rsid w:val="00093CBC"/>
    <w:rsid w:val="000A666F"/>
    <w:rsid w:val="000C50AA"/>
    <w:rsid w:val="000D0DA0"/>
    <w:rsid w:val="000D38E5"/>
    <w:rsid w:val="000D7F10"/>
    <w:rsid w:val="000E1537"/>
    <w:rsid w:val="000E22BB"/>
    <w:rsid w:val="000E6CE7"/>
    <w:rsid w:val="000F384E"/>
    <w:rsid w:val="000F442A"/>
    <w:rsid w:val="0011467C"/>
    <w:rsid w:val="00125A6E"/>
    <w:rsid w:val="001313AC"/>
    <w:rsid w:val="00131C1A"/>
    <w:rsid w:val="0013273E"/>
    <w:rsid w:val="00141CBD"/>
    <w:rsid w:val="00145580"/>
    <w:rsid w:val="00145A87"/>
    <w:rsid w:val="00147B6A"/>
    <w:rsid w:val="00153F3E"/>
    <w:rsid w:val="0015408F"/>
    <w:rsid w:val="00163DA6"/>
    <w:rsid w:val="0016479E"/>
    <w:rsid w:val="00165849"/>
    <w:rsid w:val="0017132F"/>
    <w:rsid w:val="001716FB"/>
    <w:rsid w:val="00174AC2"/>
    <w:rsid w:val="00174C4E"/>
    <w:rsid w:val="00174F9B"/>
    <w:rsid w:val="00176FD2"/>
    <w:rsid w:val="00187FA8"/>
    <w:rsid w:val="00196262"/>
    <w:rsid w:val="0019786D"/>
    <w:rsid w:val="001C00BD"/>
    <w:rsid w:val="001C347F"/>
    <w:rsid w:val="001C3964"/>
    <w:rsid w:val="001C45E0"/>
    <w:rsid w:val="001D20A1"/>
    <w:rsid w:val="001F597E"/>
    <w:rsid w:val="002036D1"/>
    <w:rsid w:val="00212A03"/>
    <w:rsid w:val="00226E80"/>
    <w:rsid w:val="00242074"/>
    <w:rsid w:val="00246F8B"/>
    <w:rsid w:val="0025006D"/>
    <w:rsid w:val="00252653"/>
    <w:rsid w:val="00261F7E"/>
    <w:rsid w:val="00266B7C"/>
    <w:rsid w:val="00267A0A"/>
    <w:rsid w:val="00281A9C"/>
    <w:rsid w:val="002922AE"/>
    <w:rsid w:val="0029411E"/>
    <w:rsid w:val="002947D7"/>
    <w:rsid w:val="002A4A59"/>
    <w:rsid w:val="002A4FD6"/>
    <w:rsid w:val="002A764D"/>
    <w:rsid w:val="002C4482"/>
    <w:rsid w:val="002C7227"/>
    <w:rsid w:val="002D5553"/>
    <w:rsid w:val="002E76A8"/>
    <w:rsid w:val="0030095D"/>
    <w:rsid w:val="003177E3"/>
    <w:rsid w:val="00325855"/>
    <w:rsid w:val="003334CB"/>
    <w:rsid w:val="00334871"/>
    <w:rsid w:val="00340786"/>
    <w:rsid w:val="00345BDE"/>
    <w:rsid w:val="003560D0"/>
    <w:rsid w:val="003625C6"/>
    <w:rsid w:val="00362BEF"/>
    <w:rsid w:val="003659D0"/>
    <w:rsid w:val="00383522"/>
    <w:rsid w:val="003905F1"/>
    <w:rsid w:val="00391205"/>
    <w:rsid w:val="003A270F"/>
    <w:rsid w:val="003A3E0A"/>
    <w:rsid w:val="003A56BC"/>
    <w:rsid w:val="003B043B"/>
    <w:rsid w:val="003B6764"/>
    <w:rsid w:val="003B75D2"/>
    <w:rsid w:val="003C3BB5"/>
    <w:rsid w:val="003C69A8"/>
    <w:rsid w:val="003C7411"/>
    <w:rsid w:val="003C7564"/>
    <w:rsid w:val="003D1CB5"/>
    <w:rsid w:val="003D200C"/>
    <w:rsid w:val="003D68B7"/>
    <w:rsid w:val="003D71E3"/>
    <w:rsid w:val="003E62C7"/>
    <w:rsid w:val="003F04C6"/>
    <w:rsid w:val="003F13F9"/>
    <w:rsid w:val="003F75F7"/>
    <w:rsid w:val="003F786E"/>
    <w:rsid w:val="00410738"/>
    <w:rsid w:val="004116DE"/>
    <w:rsid w:val="004155EE"/>
    <w:rsid w:val="004157E8"/>
    <w:rsid w:val="00421A74"/>
    <w:rsid w:val="00423A08"/>
    <w:rsid w:val="0042431D"/>
    <w:rsid w:val="00426B52"/>
    <w:rsid w:val="00427799"/>
    <w:rsid w:val="0043481B"/>
    <w:rsid w:val="00437956"/>
    <w:rsid w:val="00442D91"/>
    <w:rsid w:val="00457850"/>
    <w:rsid w:val="00470488"/>
    <w:rsid w:val="00484067"/>
    <w:rsid w:val="004876C6"/>
    <w:rsid w:val="004913C4"/>
    <w:rsid w:val="004A519B"/>
    <w:rsid w:val="004B3F19"/>
    <w:rsid w:val="004C65B3"/>
    <w:rsid w:val="004D0FEE"/>
    <w:rsid w:val="004D230C"/>
    <w:rsid w:val="004E1D78"/>
    <w:rsid w:val="004E5D5D"/>
    <w:rsid w:val="004E6A75"/>
    <w:rsid w:val="004F140C"/>
    <w:rsid w:val="005023D3"/>
    <w:rsid w:val="00503039"/>
    <w:rsid w:val="005048EB"/>
    <w:rsid w:val="005056D2"/>
    <w:rsid w:val="00505F06"/>
    <w:rsid w:val="0051651D"/>
    <w:rsid w:val="005170E5"/>
    <w:rsid w:val="005201AB"/>
    <w:rsid w:val="00521575"/>
    <w:rsid w:val="00527509"/>
    <w:rsid w:val="005418E9"/>
    <w:rsid w:val="0055130D"/>
    <w:rsid w:val="00565CFA"/>
    <w:rsid w:val="00565E3C"/>
    <w:rsid w:val="00567954"/>
    <w:rsid w:val="00570405"/>
    <w:rsid w:val="00571735"/>
    <w:rsid w:val="00592232"/>
    <w:rsid w:val="00596AA3"/>
    <w:rsid w:val="005B65AF"/>
    <w:rsid w:val="005C1387"/>
    <w:rsid w:val="005C2761"/>
    <w:rsid w:val="005C2EC6"/>
    <w:rsid w:val="005D6041"/>
    <w:rsid w:val="005F2A30"/>
    <w:rsid w:val="005F5326"/>
    <w:rsid w:val="005F54DD"/>
    <w:rsid w:val="005F745D"/>
    <w:rsid w:val="00606CBB"/>
    <w:rsid w:val="00610647"/>
    <w:rsid w:val="00611646"/>
    <w:rsid w:val="00612C2B"/>
    <w:rsid w:val="006134C9"/>
    <w:rsid w:val="00621C21"/>
    <w:rsid w:val="0062356D"/>
    <w:rsid w:val="00623C57"/>
    <w:rsid w:val="0063644C"/>
    <w:rsid w:val="006434B0"/>
    <w:rsid w:val="00691CD4"/>
    <w:rsid w:val="006A5A7C"/>
    <w:rsid w:val="006B49A4"/>
    <w:rsid w:val="006B7ACC"/>
    <w:rsid w:val="006C051C"/>
    <w:rsid w:val="006C205E"/>
    <w:rsid w:val="006E1BF0"/>
    <w:rsid w:val="006E5F4F"/>
    <w:rsid w:val="006F3C86"/>
    <w:rsid w:val="006F63C1"/>
    <w:rsid w:val="006F6D2A"/>
    <w:rsid w:val="00705ED9"/>
    <w:rsid w:val="007103CB"/>
    <w:rsid w:val="00711F49"/>
    <w:rsid w:val="007177A5"/>
    <w:rsid w:val="007212DA"/>
    <w:rsid w:val="00726FD1"/>
    <w:rsid w:val="0073027D"/>
    <w:rsid w:val="00741434"/>
    <w:rsid w:val="00757A7E"/>
    <w:rsid w:val="00776F61"/>
    <w:rsid w:val="00781BA5"/>
    <w:rsid w:val="00794912"/>
    <w:rsid w:val="007B0C2B"/>
    <w:rsid w:val="007B0FDC"/>
    <w:rsid w:val="007B101E"/>
    <w:rsid w:val="007B1DE8"/>
    <w:rsid w:val="007B3725"/>
    <w:rsid w:val="007C7A53"/>
    <w:rsid w:val="007D638D"/>
    <w:rsid w:val="007E765B"/>
    <w:rsid w:val="007E7E7A"/>
    <w:rsid w:val="007F2656"/>
    <w:rsid w:val="007F76B4"/>
    <w:rsid w:val="00801E4C"/>
    <w:rsid w:val="00807B69"/>
    <w:rsid w:val="00817A74"/>
    <w:rsid w:val="008219AE"/>
    <w:rsid w:val="0082764D"/>
    <w:rsid w:val="008308F3"/>
    <w:rsid w:val="00853DDD"/>
    <w:rsid w:val="0085400A"/>
    <w:rsid w:val="00860FE8"/>
    <w:rsid w:val="008867E0"/>
    <w:rsid w:val="00895169"/>
    <w:rsid w:val="008A3B1B"/>
    <w:rsid w:val="008B3D64"/>
    <w:rsid w:val="008B42E3"/>
    <w:rsid w:val="008C6124"/>
    <w:rsid w:val="008E4CC9"/>
    <w:rsid w:val="008E73C5"/>
    <w:rsid w:val="008E7839"/>
    <w:rsid w:val="008E7E83"/>
    <w:rsid w:val="00906CA7"/>
    <w:rsid w:val="009075F8"/>
    <w:rsid w:val="009130EE"/>
    <w:rsid w:val="00916E39"/>
    <w:rsid w:val="00924985"/>
    <w:rsid w:val="009250B3"/>
    <w:rsid w:val="009256D2"/>
    <w:rsid w:val="009273CE"/>
    <w:rsid w:val="0095522A"/>
    <w:rsid w:val="009640F0"/>
    <w:rsid w:val="00970AB5"/>
    <w:rsid w:val="009864FD"/>
    <w:rsid w:val="00996D14"/>
    <w:rsid w:val="009A23A9"/>
    <w:rsid w:val="009D0E72"/>
    <w:rsid w:val="009D0F2A"/>
    <w:rsid w:val="009D5590"/>
    <w:rsid w:val="009F0678"/>
    <w:rsid w:val="009F1B87"/>
    <w:rsid w:val="00A06CF7"/>
    <w:rsid w:val="00A102D5"/>
    <w:rsid w:val="00A15747"/>
    <w:rsid w:val="00A3381D"/>
    <w:rsid w:val="00A37CC3"/>
    <w:rsid w:val="00A40800"/>
    <w:rsid w:val="00A420C5"/>
    <w:rsid w:val="00A452BE"/>
    <w:rsid w:val="00A57D20"/>
    <w:rsid w:val="00A726C5"/>
    <w:rsid w:val="00A74A83"/>
    <w:rsid w:val="00A804FA"/>
    <w:rsid w:val="00A8518C"/>
    <w:rsid w:val="00A91686"/>
    <w:rsid w:val="00A91A8B"/>
    <w:rsid w:val="00AA019F"/>
    <w:rsid w:val="00AA15E2"/>
    <w:rsid w:val="00AC30B2"/>
    <w:rsid w:val="00AD1A54"/>
    <w:rsid w:val="00AD2667"/>
    <w:rsid w:val="00AF43C8"/>
    <w:rsid w:val="00AF7A25"/>
    <w:rsid w:val="00B0085D"/>
    <w:rsid w:val="00B125B8"/>
    <w:rsid w:val="00B234B0"/>
    <w:rsid w:val="00B238EA"/>
    <w:rsid w:val="00B4676C"/>
    <w:rsid w:val="00B47DC6"/>
    <w:rsid w:val="00B52699"/>
    <w:rsid w:val="00B542EE"/>
    <w:rsid w:val="00B61C01"/>
    <w:rsid w:val="00B66461"/>
    <w:rsid w:val="00B67413"/>
    <w:rsid w:val="00B77095"/>
    <w:rsid w:val="00B8134E"/>
    <w:rsid w:val="00B83B47"/>
    <w:rsid w:val="00B9213E"/>
    <w:rsid w:val="00B93988"/>
    <w:rsid w:val="00B97BE4"/>
    <w:rsid w:val="00BA1618"/>
    <w:rsid w:val="00BA783F"/>
    <w:rsid w:val="00BB0A49"/>
    <w:rsid w:val="00BB6EB3"/>
    <w:rsid w:val="00BC39AB"/>
    <w:rsid w:val="00BF33A0"/>
    <w:rsid w:val="00C025A5"/>
    <w:rsid w:val="00C07FE3"/>
    <w:rsid w:val="00C21DCB"/>
    <w:rsid w:val="00C2506F"/>
    <w:rsid w:val="00C34145"/>
    <w:rsid w:val="00C43F43"/>
    <w:rsid w:val="00C666E1"/>
    <w:rsid w:val="00C67F22"/>
    <w:rsid w:val="00C70337"/>
    <w:rsid w:val="00C729B3"/>
    <w:rsid w:val="00C73A7E"/>
    <w:rsid w:val="00C92EA0"/>
    <w:rsid w:val="00C94387"/>
    <w:rsid w:val="00C95316"/>
    <w:rsid w:val="00CA0E12"/>
    <w:rsid w:val="00CA1350"/>
    <w:rsid w:val="00CA40A9"/>
    <w:rsid w:val="00CA4764"/>
    <w:rsid w:val="00CA4939"/>
    <w:rsid w:val="00CF62ED"/>
    <w:rsid w:val="00CF7BE7"/>
    <w:rsid w:val="00D012E6"/>
    <w:rsid w:val="00D0446A"/>
    <w:rsid w:val="00D05BD2"/>
    <w:rsid w:val="00D065BD"/>
    <w:rsid w:val="00D07498"/>
    <w:rsid w:val="00D13AD0"/>
    <w:rsid w:val="00D21342"/>
    <w:rsid w:val="00D301CB"/>
    <w:rsid w:val="00D308C5"/>
    <w:rsid w:val="00D32A08"/>
    <w:rsid w:val="00D40EE4"/>
    <w:rsid w:val="00D464C3"/>
    <w:rsid w:val="00D53A78"/>
    <w:rsid w:val="00D5527B"/>
    <w:rsid w:val="00D62002"/>
    <w:rsid w:val="00D6620C"/>
    <w:rsid w:val="00D716E8"/>
    <w:rsid w:val="00D7635A"/>
    <w:rsid w:val="00D8051F"/>
    <w:rsid w:val="00D846FC"/>
    <w:rsid w:val="00D94D42"/>
    <w:rsid w:val="00D95703"/>
    <w:rsid w:val="00D95F01"/>
    <w:rsid w:val="00DA4D20"/>
    <w:rsid w:val="00DB13DF"/>
    <w:rsid w:val="00DB5AE2"/>
    <w:rsid w:val="00DC5901"/>
    <w:rsid w:val="00DF4652"/>
    <w:rsid w:val="00DF6E68"/>
    <w:rsid w:val="00E12F11"/>
    <w:rsid w:val="00E25D31"/>
    <w:rsid w:val="00E26D69"/>
    <w:rsid w:val="00E321AD"/>
    <w:rsid w:val="00E32ED4"/>
    <w:rsid w:val="00E37F0E"/>
    <w:rsid w:val="00E43297"/>
    <w:rsid w:val="00E50895"/>
    <w:rsid w:val="00E55E6D"/>
    <w:rsid w:val="00E566D7"/>
    <w:rsid w:val="00E60963"/>
    <w:rsid w:val="00E63927"/>
    <w:rsid w:val="00E6423C"/>
    <w:rsid w:val="00E741A0"/>
    <w:rsid w:val="00E74624"/>
    <w:rsid w:val="00E8157D"/>
    <w:rsid w:val="00E8187C"/>
    <w:rsid w:val="00E856B4"/>
    <w:rsid w:val="00E9372B"/>
    <w:rsid w:val="00EA3734"/>
    <w:rsid w:val="00EA6EBB"/>
    <w:rsid w:val="00EB3250"/>
    <w:rsid w:val="00EC00A3"/>
    <w:rsid w:val="00EC0258"/>
    <w:rsid w:val="00EC0761"/>
    <w:rsid w:val="00ED5A75"/>
    <w:rsid w:val="00ED71BE"/>
    <w:rsid w:val="00ED7ADE"/>
    <w:rsid w:val="00EE07BC"/>
    <w:rsid w:val="00EE0D74"/>
    <w:rsid w:val="00EE459E"/>
    <w:rsid w:val="00EF096E"/>
    <w:rsid w:val="00EF5EC4"/>
    <w:rsid w:val="00F00B54"/>
    <w:rsid w:val="00F02471"/>
    <w:rsid w:val="00F12847"/>
    <w:rsid w:val="00F16BAC"/>
    <w:rsid w:val="00F1722C"/>
    <w:rsid w:val="00F177E0"/>
    <w:rsid w:val="00F2188F"/>
    <w:rsid w:val="00F258A3"/>
    <w:rsid w:val="00F25A84"/>
    <w:rsid w:val="00F27523"/>
    <w:rsid w:val="00F30881"/>
    <w:rsid w:val="00F43273"/>
    <w:rsid w:val="00F44B38"/>
    <w:rsid w:val="00F47A3E"/>
    <w:rsid w:val="00F506DB"/>
    <w:rsid w:val="00F56635"/>
    <w:rsid w:val="00F6165A"/>
    <w:rsid w:val="00F64B74"/>
    <w:rsid w:val="00F85B09"/>
    <w:rsid w:val="00F9227E"/>
    <w:rsid w:val="00F93900"/>
    <w:rsid w:val="00FA262F"/>
    <w:rsid w:val="00FD520D"/>
    <w:rsid w:val="00FE64D5"/>
    <w:rsid w:val="00FE72A6"/>
    <w:rsid w:val="00FF7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A0A"/>
    <w:pPr>
      <w:ind w:left="720"/>
      <w:contextualSpacing/>
    </w:pPr>
  </w:style>
  <w:style w:type="paragraph" w:customStyle="1" w:styleId="Default">
    <w:name w:val="Default"/>
    <w:rsid w:val="004157E8"/>
    <w:pPr>
      <w:autoSpaceDE w:val="0"/>
      <w:autoSpaceDN w:val="0"/>
      <w:adjustRightInd w:val="0"/>
    </w:pPr>
    <w:rPr>
      <w:rFonts w:ascii="Arial" w:hAnsi="Arial" w:cs="Arial"/>
      <w:color w:val="000000"/>
      <w:sz w:val="24"/>
      <w:szCs w:val="24"/>
    </w:rPr>
  </w:style>
  <w:style w:type="paragraph" w:styleId="BalloonText">
    <w:name w:val="Balloon Text"/>
    <w:basedOn w:val="Normal"/>
    <w:link w:val="BalloonTextChar"/>
    <w:rsid w:val="00BA783F"/>
    <w:rPr>
      <w:rFonts w:ascii="Tahoma" w:hAnsi="Tahoma" w:cs="Tahoma"/>
      <w:sz w:val="16"/>
      <w:szCs w:val="16"/>
    </w:rPr>
  </w:style>
  <w:style w:type="character" w:customStyle="1" w:styleId="BalloonTextChar">
    <w:name w:val="Balloon Text Char"/>
    <w:basedOn w:val="DefaultParagraphFont"/>
    <w:link w:val="BalloonText"/>
    <w:rsid w:val="00BA783F"/>
    <w:rPr>
      <w:rFonts w:ascii="Tahoma" w:hAnsi="Tahoma" w:cs="Tahoma"/>
      <w:sz w:val="16"/>
      <w:szCs w:val="16"/>
    </w:rPr>
  </w:style>
  <w:style w:type="character" w:styleId="PlaceholderText">
    <w:name w:val="Placeholder Text"/>
    <w:basedOn w:val="DefaultParagraphFont"/>
    <w:uiPriority w:val="99"/>
    <w:semiHidden/>
    <w:rsid w:val="006B7ACC"/>
    <w:rPr>
      <w:color w:val="808080"/>
    </w:rPr>
  </w:style>
  <w:style w:type="table" w:styleId="TableGrid">
    <w:name w:val="Table Grid"/>
    <w:basedOn w:val="TableNormal"/>
    <w:rsid w:val="00A06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2">
    <w:name w:val="Table Classic 2"/>
    <w:basedOn w:val="TableNormal"/>
    <w:rsid w:val="00A06CF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A0A"/>
    <w:pPr>
      <w:ind w:left="720"/>
      <w:contextualSpacing/>
    </w:pPr>
  </w:style>
  <w:style w:type="paragraph" w:customStyle="1" w:styleId="Default">
    <w:name w:val="Default"/>
    <w:rsid w:val="004157E8"/>
    <w:pPr>
      <w:autoSpaceDE w:val="0"/>
      <w:autoSpaceDN w:val="0"/>
      <w:adjustRightInd w:val="0"/>
    </w:pPr>
    <w:rPr>
      <w:rFonts w:ascii="Arial" w:hAnsi="Arial" w:cs="Arial"/>
      <w:color w:val="000000"/>
      <w:sz w:val="24"/>
      <w:szCs w:val="24"/>
    </w:rPr>
  </w:style>
  <w:style w:type="paragraph" w:styleId="BalloonText">
    <w:name w:val="Balloon Text"/>
    <w:basedOn w:val="Normal"/>
    <w:link w:val="BalloonTextChar"/>
    <w:rsid w:val="00BA783F"/>
    <w:rPr>
      <w:rFonts w:ascii="Tahoma" w:hAnsi="Tahoma" w:cs="Tahoma"/>
      <w:sz w:val="16"/>
      <w:szCs w:val="16"/>
    </w:rPr>
  </w:style>
  <w:style w:type="character" w:customStyle="1" w:styleId="BalloonTextChar">
    <w:name w:val="Balloon Text Char"/>
    <w:basedOn w:val="DefaultParagraphFont"/>
    <w:link w:val="BalloonText"/>
    <w:rsid w:val="00BA783F"/>
    <w:rPr>
      <w:rFonts w:ascii="Tahoma" w:hAnsi="Tahoma" w:cs="Tahoma"/>
      <w:sz w:val="16"/>
      <w:szCs w:val="16"/>
    </w:rPr>
  </w:style>
  <w:style w:type="character" w:styleId="PlaceholderText">
    <w:name w:val="Placeholder Text"/>
    <w:basedOn w:val="DefaultParagraphFont"/>
    <w:uiPriority w:val="99"/>
    <w:semiHidden/>
    <w:rsid w:val="006B7ACC"/>
    <w:rPr>
      <w:color w:val="808080"/>
    </w:rPr>
  </w:style>
  <w:style w:type="table" w:styleId="TableGrid">
    <w:name w:val="Table Grid"/>
    <w:basedOn w:val="TableNormal"/>
    <w:rsid w:val="00A06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2">
    <w:name w:val="Table Classic 2"/>
    <w:basedOn w:val="TableNormal"/>
    <w:rsid w:val="00A06CF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8" Type="http://schemas.openxmlformats.org/officeDocument/2006/relationships/image" Target="media/image7.jpeg"/><Relationship Id="rId3" Type="http://schemas.microsoft.com/office/2007/relationships/stylesWithEffects" Target="stylesWithEffects.xml"/><Relationship Id="rId21" Type="http://schemas.openxmlformats.org/officeDocument/2006/relationships/image" Target="media/image9.jpg"/><Relationship Id="rId7" Type="http://schemas.openxmlformats.org/officeDocument/2006/relationships/image" Target="media/image2.jpeg"/><Relationship Id="rId17" Type="http://schemas.openxmlformats.org/officeDocument/2006/relationships/image" Target="media/image70.wmf"/><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90.jpeg"/><Relationship Id="rId1" Type="http://schemas.openxmlformats.org/officeDocument/2006/relationships/numbering" Target="numbering.xml"/><Relationship Id="rId6" Type="http://schemas.openxmlformats.org/officeDocument/2006/relationships/image" Target="media/image1.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0.wmf"/><Relationship Id="rId23" Type="http://schemas.openxmlformats.org/officeDocument/2006/relationships/fontTable" Target="fontTable.xml"/><Relationship Id="rId10" Type="http://schemas.openxmlformats.org/officeDocument/2006/relationships/image" Target="media/image5.wmf"/><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4.wmf"/><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3B7FC4E6.dotm</Template>
  <TotalTime>271</TotalTime>
  <Pages>12</Pages>
  <Words>6919</Words>
  <Characters>39439</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Marshfield Clinic</Company>
  <LinksUpToDate>false</LinksUpToDate>
  <CharactersWithSpaces>46266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Schrodi, Steven J PHD</dc:creator>
  <cp:lastModifiedBy>Schrodi, Steven J PHD</cp:lastModifiedBy>
  <cp:revision>15</cp:revision>
  <cp:lastPrinted>2018-06-29T01:58:00Z</cp:lastPrinted>
  <dcterms:created xsi:type="dcterms:W3CDTF">2018-07-03T04:13:00Z</dcterms:created>
  <dcterms:modified xsi:type="dcterms:W3CDTF">2018-07-03T08:44:00Z</dcterms:modified>
</cp:coreProperties>
</file>