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F2" w:rsidRPr="004137F2" w:rsidRDefault="004137F2" w:rsidP="00A9695D">
      <w:pPr>
        <w:rPr>
          <w:b/>
        </w:rPr>
      </w:pPr>
      <w:r w:rsidRPr="004137F2">
        <w:rPr>
          <w:b/>
        </w:rPr>
        <w:t>Methods</w:t>
      </w:r>
    </w:p>
    <w:p w:rsidR="00F14C9B" w:rsidRDefault="00F14C9B" w:rsidP="00A9695D">
      <w:pPr>
        <w:rPr>
          <w:color w:val="FF0000"/>
        </w:rPr>
      </w:pPr>
      <w:r w:rsidRPr="00F14C9B">
        <w:rPr>
          <w:color w:val="FF0000"/>
        </w:rPr>
        <w:t>RNA extraction and cDNA synthesis from Thao…</w:t>
      </w:r>
    </w:p>
    <w:p w:rsidR="001E1E63" w:rsidRDefault="001E1E63" w:rsidP="001E1E63">
      <w:r>
        <w:t xml:space="preserve">Total RNA was extracted with </w:t>
      </w:r>
      <w:proofErr w:type="spellStart"/>
      <w:r>
        <w:t>TRIzol</w:t>
      </w:r>
      <w:proofErr w:type="spellEnd"/>
      <w:r>
        <w:t xml:space="preserve"> reagent.  The swab was </w:t>
      </w:r>
      <w:proofErr w:type="gramStart"/>
      <w:r>
        <w:t>transferred  to</w:t>
      </w:r>
      <w:proofErr w:type="gramEnd"/>
      <w:r>
        <w:t xml:space="preserve"> a 2ml centrifuge tube containing 500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Ramel</w:t>
      </w:r>
      <w:proofErr w:type="spellEnd"/>
      <w:r>
        <w:t xml:space="preserve"> MH broth and 1 mL </w:t>
      </w:r>
      <w:proofErr w:type="spellStart"/>
      <w:r>
        <w:t>RNAprotect</w:t>
      </w:r>
      <w:proofErr w:type="spellEnd"/>
      <w:r>
        <w:t xml:space="preserve"> bacterial reagent.  The sample was incubated at room temperature for 5 minutes and centrifuged at maximum speed for 5 minutes to pellet the cells.  </w:t>
      </w:r>
      <w:r>
        <w:rPr>
          <w:color w:val="000000"/>
          <w:shd w:val="clear" w:color="auto" w:fill="FFFFFF"/>
        </w:rPr>
        <w:t xml:space="preserve">The supernatant was discarded and 1ml </w:t>
      </w:r>
      <w:proofErr w:type="spellStart"/>
      <w:r>
        <w:rPr>
          <w:color w:val="000000"/>
          <w:shd w:val="clear" w:color="auto" w:fill="FFFFFF"/>
        </w:rPr>
        <w:t>TRIzol</w:t>
      </w:r>
      <w:proofErr w:type="spellEnd"/>
      <w:r>
        <w:rPr>
          <w:color w:val="000000"/>
          <w:shd w:val="clear" w:color="auto" w:fill="FFFFFF"/>
        </w:rPr>
        <w:t xml:space="preserve"> added to the cell pellet.  The </w:t>
      </w:r>
      <w:proofErr w:type="spellStart"/>
      <w:r>
        <w:rPr>
          <w:color w:val="000000"/>
          <w:shd w:val="clear" w:color="auto" w:fill="FFFFFF"/>
        </w:rPr>
        <w:t>TRIzol</w:t>
      </w:r>
      <w:proofErr w:type="spellEnd"/>
      <w:r>
        <w:rPr>
          <w:color w:val="000000"/>
          <w:shd w:val="clear" w:color="auto" w:fill="FFFFFF"/>
        </w:rPr>
        <w:t xml:space="preserve"> mixture was transferred to 2ml lysing matrix tube (MP cat# 6911-050) and homogenized for 20 seconds with a homogenizer.  </w:t>
      </w:r>
      <w:r>
        <w:t xml:space="preserve">200 </w:t>
      </w:r>
      <w:proofErr w:type="spellStart"/>
      <w:r>
        <w:t>ul</w:t>
      </w:r>
      <w:proofErr w:type="spellEnd"/>
      <w:r>
        <w:t xml:space="preserve"> of Chloroform was added to the tube, and the homogenate was </w:t>
      </w:r>
      <w:proofErr w:type="gramStart"/>
      <w:r>
        <w:t>centrifuged  at</w:t>
      </w:r>
      <w:proofErr w:type="gramEnd"/>
      <w:r>
        <w:t xml:space="preserve"> high speed for 10 minutes to separate into a clear aqueous upper layer containing RNA, an interphase, and a red lower organic layer containing DNA and proteins.  RNA from the aqueous layer was precipitated with 500 </w:t>
      </w:r>
      <w:proofErr w:type="spellStart"/>
      <w:r>
        <w:t>ul</w:t>
      </w:r>
      <w:proofErr w:type="spellEnd"/>
      <w:r>
        <w:t xml:space="preserve"> of isopropanol and purified using </w:t>
      </w:r>
      <w:proofErr w:type="spellStart"/>
      <w:r>
        <w:t>Qiagen’s</w:t>
      </w:r>
      <w:proofErr w:type="spellEnd"/>
      <w:r>
        <w:t xml:space="preserve"> RNeasy protocol </w:t>
      </w:r>
      <w:r w:rsidRPr="000369E2">
        <w:t>(QIAGEN cat #74104).</w:t>
      </w:r>
      <w:r>
        <w:t xml:space="preserve">  </w:t>
      </w:r>
      <w:proofErr w:type="spellStart"/>
      <w:r>
        <w:t>Dnase</w:t>
      </w:r>
      <w:proofErr w:type="spellEnd"/>
      <w:r>
        <w:t xml:space="preserve"> treatment was then performed using </w:t>
      </w:r>
      <w:proofErr w:type="spellStart"/>
      <w:r>
        <w:t>Ambion’s</w:t>
      </w:r>
      <w:proofErr w:type="spellEnd"/>
      <w:r>
        <w:t xml:space="preserve"> </w:t>
      </w:r>
      <w:proofErr w:type="spellStart"/>
      <w:r>
        <w:t>Dnase</w:t>
      </w:r>
      <w:proofErr w:type="spellEnd"/>
      <w:r>
        <w:t xml:space="preserve"> treatment kit </w:t>
      </w:r>
      <w:r w:rsidRPr="000369E2">
        <w:t>(</w:t>
      </w:r>
      <w:proofErr w:type="spellStart"/>
      <w:r w:rsidRPr="000369E2">
        <w:t>Ambion</w:t>
      </w:r>
      <w:proofErr w:type="spellEnd"/>
      <w:r w:rsidRPr="000369E2">
        <w:t xml:space="preserve"> cat# AM2238).  </w:t>
      </w:r>
      <w:r>
        <w:t>RNA was converted to cDNA using the Life Technologies High-capacity cDNA reverse transcription kit ((Life Technologies cat# 4368814)).</w:t>
      </w:r>
      <w:bookmarkStart w:id="0" w:name="_GoBack"/>
      <w:bookmarkEnd w:id="0"/>
    </w:p>
    <w:p w:rsidR="001E1E63" w:rsidRPr="00F14C9B" w:rsidRDefault="009F6B7F" w:rsidP="00A9695D">
      <w:pPr>
        <w:rPr>
          <w:color w:val="FF0000"/>
        </w:rPr>
      </w:pPr>
      <w:r>
        <w:rPr>
          <w:color w:val="FF0000"/>
        </w:rPr>
        <w:t>From Jennifer Anderson…</w:t>
      </w:r>
    </w:p>
    <w:p w:rsidR="00A9695D" w:rsidRPr="00F14C9B" w:rsidRDefault="00700A07" w:rsidP="00A9695D">
      <w:pPr>
        <w:rPr>
          <w:color w:val="FF0000"/>
        </w:rPr>
      </w:pPr>
      <w:r>
        <w:t xml:space="preserve">Total </w:t>
      </w:r>
      <w:r w:rsidR="00A9695D">
        <w:t>cDNA</w:t>
      </w:r>
      <w:r w:rsidR="00973CE6">
        <w:t xml:space="preserve"> samples were purified and concentrated using the </w:t>
      </w:r>
      <w:proofErr w:type="spellStart"/>
      <w:r w:rsidR="003A62B3">
        <w:t>QIAquick</w:t>
      </w:r>
      <w:proofErr w:type="spellEnd"/>
      <w:r w:rsidR="003A62B3">
        <w:t xml:space="preserve"> PCR Purification kit (QIAGEN,</w:t>
      </w:r>
      <w:r w:rsidR="003A62B3" w:rsidRPr="003A62B3">
        <w:t xml:space="preserve"> </w:t>
      </w:r>
      <w:r w:rsidR="003A62B3">
        <w:t>Valencia, CA). L</w:t>
      </w:r>
      <w:r w:rsidR="00A9695D">
        <w:t xml:space="preserve">ibraries were prepared for sequencing using the KAPA </w:t>
      </w:r>
      <w:proofErr w:type="spellStart"/>
      <w:r w:rsidR="00A9695D">
        <w:t>HyperPlus</w:t>
      </w:r>
      <w:proofErr w:type="spellEnd"/>
      <w:r w:rsidR="00A9695D">
        <w:t xml:space="preserve"> Library Preparation Kit (</w:t>
      </w:r>
      <w:r w:rsidR="0051275D">
        <w:t xml:space="preserve">KAPA </w:t>
      </w:r>
      <w:proofErr w:type="spellStart"/>
      <w:r w:rsidR="0051275D">
        <w:t>Biosystems</w:t>
      </w:r>
      <w:proofErr w:type="spellEnd"/>
      <w:r w:rsidR="00430BF6">
        <w:t xml:space="preserve">, </w:t>
      </w:r>
      <w:proofErr w:type="spellStart"/>
      <w:r w:rsidR="00430BF6">
        <w:t>Inc</w:t>
      </w:r>
      <w:proofErr w:type="spellEnd"/>
      <w:r w:rsidR="004D1FF6">
        <w:t>, Wilmington, MA</w:t>
      </w:r>
      <w:r w:rsidR="00A9695D">
        <w:t xml:space="preserve">) </w:t>
      </w:r>
      <w:r w:rsidR="003E0D50">
        <w:t>as described below</w:t>
      </w:r>
      <w:r w:rsidR="00A9695D">
        <w:t>. Depending on the quantity and quality of cDNA available for each sample, 1-</w:t>
      </w:r>
      <w:r w:rsidR="003E0D50">
        <w:t>50</w:t>
      </w:r>
      <w:r w:rsidR="00A9695D">
        <w:t xml:space="preserve"> ng of starting material was enzymatically fragmented for 2 min at 37 ºC.  The ends of each fragment </w:t>
      </w:r>
      <w:r>
        <w:t>were</w:t>
      </w:r>
      <w:r w:rsidR="00A9695D">
        <w:t xml:space="preserve"> enzymatically repaired</w:t>
      </w:r>
      <w:r w:rsidR="00620556">
        <w:t xml:space="preserve">, with </w:t>
      </w:r>
      <w:r w:rsidR="00A9695D">
        <w:t>5’ phosphorylat</w:t>
      </w:r>
      <w:r w:rsidR="00620556">
        <w:t xml:space="preserve">ion </w:t>
      </w:r>
      <w:r w:rsidR="00A9695D">
        <w:t xml:space="preserve">and 3’ </w:t>
      </w:r>
      <w:r w:rsidR="00620556">
        <w:t>a-tailing</w:t>
      </w:r>
      <w:r w:rsidR="00A9695D">
        <w:t xml:space="preserve">. </w:t>
      </w:r>
      <w:r w:rsidR="003E0D50">
        <w:t>Illumina</w:t>
      </w:r>
      <w:r w:rsidR="00430BF6" w:rsidRPr="00430BF6">
        <w:rPr>
          <w:vertAlign w:val="superscript"/>
        </w:rPr>
        <w:t>®</w:t>
      </w:r>
      <w:r w:rsidR="003E0D50">
        <w:t xml:space="preserve"> </w:t>
      </w:r>
      <w:r w:rsidR="004D1FF6">
        <w:t xml:space="preserve">(San Diego, CA) </w:t>
      </w:r>
      <w:proofErr w:type="spellStart"/>
      <w:r w:rsidR="003E0D50">
        <w:t>TruSeq</w:t>
      </w:r>
      <w:proofErr w:type="spellEnd"/>
      <w:r w:rsidR="003E0D50">
        <w:t xml:space="preserve"> universal adapters (IDT</w:t>
      </w:r>
      <w:r w:rsidR="004D1FF6">
        <w:t>, Coralville, IA</w:t>
      </w:r>
      <w:r w:rsidR="003E0D50">
        <w:t xml:space="preserve">) </w:t>
      </w:r>
      <w:r w:rsidR="00620556">
        <w:t xml:space="preserve">were duplexed in solution by annealing together at a concentration of 3 µM and ligated to </w:t>
      </w:r>
      <w:r w:rsidR="000A7E80">
        <w:t xml:space="preserve">the end-repaired </w:t>
      </w:r>
      <w:r w:rsidR="00620556">
        <w:t xml:space="preserve">fragments. </w:t>
      </w:r>
      <w:r w:rsidR="00A9695D">
        <w:t xml:space="preserve">Ligation reaction products </w:t>
      </w:r>
      <w:r w:rsidR="00620556">
        <w:t>were</w:t>
      </w:r>
      <w:r w:rsidR="00A9695D">
        <w:t xml:space="preserve"> cleaned up using </w:t>
      </w:r>
      <w:proofErr w:type="spellStart"/>
      <w:r w:rsidR="004D1FF6">
        <w:t>Agencourt</w:t>
      </w:r>
      <w:proofErr w:type="spellEnd"/>
      <w:r w:rsidR="004D1FF6">
        <w:t xml:space="preserve"> </w:t>
      </w:r>
      <w:proofErr w:type="spellStart"/>
      <w:r w:rsidR="003E0D50">
        <w:t>AMPure</w:t>
      </w:r>
      <w:proofErr w:type="spellEnd"/>
      <w:r w:rsidR="003E0D50">
        <w:t xml:space="preserve"> XP beads (</w:t>
      </w:r>
      <w:r w:rsidR="004D1FF6">
        <w:t>Beckman Coulter, Indianapolis, IN</w:t>
      </w:r>
      <w:r w:rsidR="00A9695D">
        <w:t xml:space="preserve">). </w:t>
      </w:r>
      <w:r w:rsidR="00B30B04">
        <w:t>Libraries were amplified using i</w:t>
      </w:r>
      <w:r w:rsidR="000A7E80">
        <w:t>T</w:t>
      </w:r>
      <w:r>
        <w:t>r</w:t>
      </w:r>
      <w:r w:rsidR="00B30B04">
        <w:t xml:space="preserve">u5 and iTru7 </w:t>
      </w:r>
      <w:r w:rsidR="00B30B04" w:rsidRPr="00D16416">
        <w:t>primers (</w:t>
      </w:r>
      <w:r w:rsidR="00D16416" w:rsidRPr="00D16416">
        <w:t>Glenn et al, 2016</w:t>
      </w:r>
      <w:r w:rsidR="00F14C9B" w:rsidRPr="00D16416">
        <w:t>)</w:t>
      </w:r>
      <w:r w:rsidR="00B30B04" w:rsidRPr="00D16416">
        <w:t xml:space="preserve">, </w:t>
      </w:r>
      <w:r w:rsidR="00B30B04">
        <w:t xml:space="preserve">to incorporate dual 8 </w:t>
      </w:r>
      <w:proofErr w:type="spellStart"/>
      <w:r w:rsidR="00B30B04">
        <w:t>bp</w:t>
      </w:r>
      <w:proofErr w:type="spellEnd"/>
      <w:r w:rsidR="00B30B04">
        <w:t xml:space="preserve"> indexes. </w:t>
      </w:r>
      <w:r w:rsidR="000A7E80">
        <w:t>PCR</w:t>
      </w:r>
      <w:r w:rsidR="00A9695D">
        <w:t xml:space="preserve"> </w:t>
      </w:r>
      <w:r w:rsidR="000A7E80">
        <w:t>products were cleaned up using size selection beads</w:t>
      </w:r>
      <w:r w:rsidR="00B30B04">
        <w:t xml:space="preserve"> as described above</w:t>
      </w:r>
      <w:r w:rsidR="00A9695D">
        <w:t xml:space="preserve">. The final cDNA </w:t>
      </w:r>
      <w:r>
        <w:t>libraries were</w:t>
      </w:r>
      <w:r w:rsidR="00A9695D">
        <w:t xml:space="preserve"> sized using the TapeStation (Agilent Technologies</w:t>
      </w:r>
      <w:r w:rsidR="004D1FF6">
        <w:t>, Santa Clara, CA</w:t>
      </w:r>
      <w:r w:rsidR="00A9695D">
        <w:t xml:space="preserve">) and quantitated by qPCR using a </w:t>
      </w:r>
      <w:r w:rsidR="00B30B04">
        <w:t xml:space="preserve">KAPA </w:t>
      </w:r>
      <w:r w:rsidR="00A9695D">
        <w:t xml:space="preserve">library quantitation kit (KAPA Biosystems). The libraries </w:t>
      </w:r>
      <w:r>
        <w:t xml:space="preserve">were pooled in </w:t>
      </w:r>
      <w:r w:rsidR="0051275D">
        <w:t>equimolar</w:t>
      </w:r>
      <w:r>
        <w:t xml:space="preserve"> ratios,</w:t>
      </w:r>
      <w:r w:rsidR="00A9695D">
        <w:t xml:space="preserve"> diluted to </w:t>
      </w:r>
      <w:r>
        <w:t xml:space="preserve">10 </w:t>
      </w:r>
      <w:proofErr w:type="spellStart"/>
      <w:r>
        <w:t>pM</w:t>
      </w:r>
      <w:proofErr w:type="spellEnd"/>
      <w:r>
        <w:t xml:space="preserve">, and sequenced on a MiSeq instrument using </w:t>
      </w:r>
      <w:r w:rsidR="0085592F">
        <w:t>the</w:t>
      </w:r>
      <w:r w:rsidR="00A9695D">
        <w:t xml:space="preserve"> V3 150 cycle</w:t>
      </w:r>
      <w:r w:rsidR="002E3917">
        <w:t xml:space="preserve"> </w:t>
      </w:r>
      <w:r w:rsidR="003E0D50">
        <w:t>reagent</w:t>
      </w:r>
      <w:r w:rsidR="00A9695D">
        <w:t xml:space="preserve"> kit (Illumina</w:t>
      </w:r>
      <w:r w:rsidR="00430BF6" w:rsidRPr="00430BF6">
        <w:rPr>
          <w:vertAlign w:val="superscript"/>
        </w:rPr>
        <w:t>®</w:t>
      </w:r>
      <w:r w:rsidR="004D1FF6">
        <w:t>)</w:t>
      </w:r>
      <w:r w:rsidR="00A9695D">
        <w:t xml:space="preserve">. </w:t>
      </w:r>
      <w:proofErr w:type="spellStart"/>
      <w:r w:rsidR="00F14C9B">
        <w:t>Fastq</w:t>
      </w:r>
      <w:proofErr w:type="spellEnd"/>
      <w:r w:rsidR="00F14C9B">
        <w:t xml:space="preserve"> files from read 1 and 2 were assembled… </w:t>
      </w:r>
      <w:r w:rsidR="00F14C9B" w:rsidRPr="00F14C9B">
        <w:rPr>
          <w:color w:val="FF0000"/>
        </w:rPr>
        <w:t>add analysis from Harold</w:t>
      </w:r>
    </w:p>
    <w:p w:rsidR="000A60D1" w:rsidRDefault="000A60D1"/>
    <w:p w:rsidR="000A7E80" w:rsidRPr="004137F2" w:rsidRDefault="004137F2">
      <w:pPr>
        <w:rPr>
          <w:b/>
        </w:rPr>
      </w:pPr>
      <w:r w:rsidRPr="004137F2">
        <w:rPr>
          <w:b/>
        </w:rPr>
        <w:t>Results</w:t>
      </w:r>
    </w:p>
    <w:p w:rsidR="004137F2" w:rsidRDefault="004137F2">
      <w:r>
        <w:t>A total of 16 cDNA samples were sequenced</w:t>
      </w:r>
      <w:r w:rsidR="003A62B3">
        <w:t xml:space="preserve"> </w:t>
      </w:r>
      <w:r w:rsidR="003C0328">
        <w:t>using</w:t>
      </w:r>
      <w:r w:rsidR="003A62B3">
        <w:t xml:space="preserve"> 4 MiSeq V3 flow cells (Illumina</w:t>
      </w:r>
      <w:r w:rsidR="003A62B3" w:rsidRPr="00430BF6">
        <w:rPr>
          <w:vertAlign w:val="superscript"/>
        </w:rPr>
        <w:t>®</w:t>
      </w:r>
      <w:r w:rsidR="003A62B3">
        <w:t>)</w:t>
      </w:r>
      <w:r w:rsidR="003C0328">
        <w:t>.  T</w:t>
      </w:r>
      <w:r w:rsidR="00953668">
        <w:t>otal sequencing reads per sample ranged from 3,867,530 – 7,552,309 (</w:t>
      </w:r>
      <w:proofErr w:type="spellStart"/>
      <w:r w:rsidR="00953668">
        <w:t>avg</w:t>
      </w:r>
      <w:proofErr w:type="spellEnd"/>
      <w:r w:rsidR="00953668">
        <w:t xml:space="preserve"> 5,316,860).  </w:t>
      </w:r>
    </w:p>
    <w:p w:rsidR="000A7E80" w:rsidRDefault="000A7E80"/>
    <w:p w:rsidR="00D16416" w:rsidRDefault="00D16416">
      <w:r>
        <w:t>References</w:t>
      </w:r>
    </w:p>
    <w:p w:rsidR="00D16416" w:rsidRDefault="00D16416"/>
    <w:p w:rsidR="00D16416" w:rsidRPr="00D16416" w:rsidRDefault="00D16416" w:rsidP="00D16416">
      <w:pPr>
        <w:suppressLineNumbers/>
        <w:tabs>
          <w:tab w:val="left" w:pos="810"/>
        </w:tabs>
      </w:pPr>
      <w:r w:rsidRPr="00D16416">
        <w:rPr>
          <w:bCs/>
          <w:color w:val="020202"/>
          <w:kern w:val="36"/>
          <w:lang w:val="en"/>
        </w:rPr>
        <w:t xml:space="preserve">Glenn T. C., R. Nilsen, T. J. Kieran, J. w. Finger, T. W. Pierson, K. E. Bentley, S. </w:t>
      </w:r>
      <w:proofErr w:type="spellStart"/>
      <w:r w:rsidRPr="00D16416">
        <w:rPr>
          <w:bCs/>
          <w:color w:val="020202"/>
          <w:kern w:val="36"/>
          <w:lang w:val="en"/>
        </w:rPr>
        <w:t>Hoffberg</w:t>
      </w:r>
      <w:proofErr w:type="spellEnd"/>
      <w:r w:rsidRPr="00D16416">
        <w:rPr>
          <w:bCs/>
          <w:color w:val="020202"/>
          <w:kern w:val="36"/>
          <w:lang w:val="en"/>
        </w:rPr>
        <w:t xml:space="preserve">, S. </w:t>
      </w:r>
      <w:proofErr w:type="spellStart"/>
      <w:r w:rsidRPr="00D16416">
        <w:rPr>
          <w:bCs/>
          <w:color w:val="020202"/>
          <w:kern w:val="36"/>
          <w:lang w:val="en"/>
        </w:rPr>
        <w:t>Louha</w:t>
      </w:r>
      <w:proofErr w:type="spellEnd"/>
      <w:r w:rsidRPr="00D16416">
        <w:rPr>
          <w:bCs/>
          <w:color w:val="020202"/>
          <w:kern w:val="36"/>
          <w:lang w:val="en"/>
        </w:rPr>
        <w:t xml:space="preserve">, F. J. Garcia-De-Leon, M. A. del Rio </w:t>
      </w:r>
      <w:proofErr w:type="spellStart"/>
      <w:r w:rsidRPr="00D16416">
        <w:rPr>
          <w:bCs/>
          <w:color w:val="020202"/>
          <w:kern w:val="36"/>
          <w:lang w:val="en"/>
        </w:rPr>
        <w:t>Protilla</w:t>
      </w:r>
      <w:proofErr w:type="spellEnd"/>
      <w:r w:rsidRPr="00D16416">
        <w:rPr>
          <w:bCs/>
          <w:color w:val="020202"/>
          <w:kern w:val="36"/>
          <w:lang w:val="en"/>
        </w:rPr>
        <w:t xml:space="preserve">, K. Reed, J. L. Anderson, J. K. Meece, S. </w:t>
      </w:r>
      <w:proofErr w:type="spellStart"/>
      <w:r w:rsidRPr="00D16416">
        <w:rPr>
          <w:bCs/>
          <w:color w:val="020202"/>
          <w:kern w:val="36"/>
          <w:lang w:val="en"/>
        </w:rPr>
        <w:t>Aggery</w:t>
      </w:r>
      <w:proofErr w:type="spellEnd"/>
      <w:r w:rsidRPr="00D16416">
        <w:rPr>
          <w:bCs/>
          <w:color w:val="020202"/>
          <w:kern w:val="36"/>
          <w:lang w:val="en"/>
        </w:rPr>
        <w:t xml:space="preserve">, R. </w:t>
      </w:r>
      <w:proofErr w:type="spellStart"/>
      <w:r w:rsidRPr="00D16416">
        <w:rPr>
          <w:bCs/>
          <w:color w:val="020202"/>
          <w:kern w:val="36"/>
          <w:lang w:val="en"/>
        </w:rPr>
        <w:t>Rekaya</w:t>
      </w:r>
      <w:proofErr w:type="spellEnd"/>
      <w:r w:rsidRPr="00D16416">
        <w:rPr>
          <w:bCs/>
          <w:color w:val="020202"/>
          <w:kern w:val="36"/>
          <w:lang w:val="en"/>
        </w:rPr>
        <w:t xml:space="preserve">, M. </w:t>
      </w:r>
      <w:proofErr w:type="spellStart"/>
      <w:r w:rsidRPr="00D16416">
        <w:rPr>
          <w:bCs/>
          <w:color w:val="020202"/>
          <w:kern w:val="36"/>
          <w:lang w:val="en"/>
        </w:rPr>
        <w:t>Alabady</w:t>
      </w:r>
      <w:proofErr w:type="spellEnd"/>
      <w:r w:rsidRPr="00D16416">
        <w:rPr>
          <w:bCs/>
          <w:color w:val="020202"/>
          <w:kern w:val="36"/>
          <w:lang w:val="en"/>
        </w:rPr>
        <w:t xml:space="preserve">, M. Belanger, K. Winker, B. C. Faircloth. 2016. </w:t>
      </w:r>
      <w:proofErr w:type="spellStart"/>
      <w:r w:rsidRPr="00D16416">
        <w:rPr>
          <w:color w:val="131313"/>
          <w:lang w:val="en"/>
        </w:rPr>
        <w:t>Adapterama</w:t>
      </w:r>
      <w:proofErr w:type="spellEnd"/>
      <w:r w:rsidRPr="00D16416">
        <w:rPr>
          <w:color w:val="131313"/>
          <w:lang w:val="en"/>
        </w:rPr>
        <w:t xml:space="preserve"> I: Universal stubs and primers for thousands of dual-indexed Illumina libraries (</w:t>
      </w:r>
      <w:proofErr w:type="spellStart"/>
      <w:r w:rsidRPr="00D16416">
        <w:rPr>
          <w:color w:val="131313"/>
          <w:lang w:val="en"/>
        </w:rPr>
        <w:t>iTru</w:t>
      </w:r>
      <w:proofErr w:type="spellEnd"/>
      <w:r w:rsidRPr="00D16416">
        <w:rPr>
          <w:color w:val="131313"/>
          <w:lang w:val="en"/>
        </w:rPr>
        <w:t xml:space="preserve"> &amp; </w:t>
      </w:r>
      <w:proofErr w:type="spellStart"/>
      <w:r w:rsidRPr="00D16416">
        <w:rPr>
          <w:color w:val="131313"/>
          <w:lang w:val="en"/>
        </w:rPr>
        <w:t>iNext</w:t>
      </w:r>
      <w:proofErr w:type="spellEnd"/>
      <w:r w:rsidRPr="00D16416">
        <w:rPr>
          <w:color w:val="131313"/>
          <w:lang w:val="en"/>
        </w:rPr>
        <w:t xml:space="preserve">). </w:t>
      </w:r>
      <w:proofErr w:type="spellStart"/>
      <w:proofErr w:type="gramStart"/>
      <w:r w:rsidRPr="00D16416">
        <w:rPr>
          <w:color w:val="131313"/>
          <w:lang w:val="en"/>
        </w:rPr>
        <w:t>bioRxiv</w:t>
      </w:r>
      <w:proofErr w:type="spellEnd"/>
      <w:proofErr w:type="gramEnd"/>
      <w:r w:rsidRPr="00D16416">
        <w:rPr>
          <w:color w:val="131313"/>
          <w:lang w:val="en"/>
        </w:rPr>
        <w:t xml:space="preserve"> </w:t>
      </w:r>
      <w:proofErr w:type="spellStart"/>
      <w:r w:rsidRPr="00D16416">
        <w:rPr>
          <w:rStyle w:val="label1"/>
          <w:b w:val="0"/>
          <w:lang w:val="en"/>
        </w:rPr>
        <w:t>doi</w:t>
      </w:r>
      <w:proofErr w:type="spellEnd"/>
      <w:r w:rsidRPr="00D16416">
        <w:rPr>
          <w:rStyle w:val="label1"/>
          <w:b w:val="0"/>
          <w:lang w:val="en"/>
        </w:rPr>
        <w:t>:</w:t>
      </w:r>
      <w:r w:rsidRPr="00D16416">
        <w:rPr>
          <w:rStyle w:val="highwire-cite-metadata-doi"/>
          <w:lang w:val="en"/>
        </w:rPr>
        <w:t xml:space="preserve"> https://doi.org/10.1101/049114.</w:t>
      </w:r>
      <w:r w:rsidRPr="00D16416">
        <w:rPr>
          <w:bCs/>
          <w:color w:val="020202"/>
          <w:kern w:val="36"/>
          <w:lang w:val="en"/>
        </w:rPr>
        <w:t xml:space="preserve"> </w:t>
      </w:r>
    </w:p>
    <w:p w:rsidR="00D16416" w:rsidRDefault="00D16416"/>
    <w:p w:rsidR="000A7E80" w:rsidRDefault="000A7E80"/>
    <w:sectPr w:rsidR="000A7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12B28"/>
    <w:multiLevelType w:val="hybridMultilevel"/>
    <w:tmpl w:val="E4F88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5D"/>
    <w:rsid w:val="000A60D1"/>
    <w:rsid w:val="000A7E80"/>
    <w:rsid w:val="000B61F2"/>
    <w:rsid w:val="001E1E63"/>
    <w:rsid w:val="002E3917"/>
    <w:rsid w:val="003A62B3"/>
    <w:rsid w:val="003C0328"/>
    <w:rsid w:val="003E0D50"/>
    <w:rsid w:val="00404F09"/>
    <w:rsid w:val="004137F2"/>
    <w:rsid w:val="00430BF6"/>
    <w:rsid w:val="004D1FF6"/>
    <w:rsid w:val="0051275D"/>
    <w:rsid w:val="00620556"/>
    <w:rsid w:val="00700A07"/>
    <w:rsid w:val="008165A7"/>
    <w:rsid w:val="0085592F"/>
    <w:rsid w:val="00953668"/>
    <w:rsid w:val="00973CE6"/>
    <w:rsid w:val="009F6B7F"/>
    <w:rsid w:val="00A9695D"/>
    <w:rsid w:val="00B30B04"/>
    <w:rsid w:val="00D16416"/>
    <w:rsid w:val="00E95E3F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D8AE4"/>
  <w15:docId w15:val="{C729399F-9EF0-4D79-A2A1-FA73B563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9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5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wire-cite-metadata-doi">
    <w:name w:val="highwire-cite-metadata-doi"/>
    <w:rsid w:val="00D16416"/>
    <w:rPr>
      <w:sz w:val="24"/>
      <w:szCs w:val="24"/>
      <w:bdr w:val="none" w:sz="0" w:space="0" w:color="auto" w:frame="1"/>
      <w:vertAlign w:val="baseline"/>
    </w:rPr>
  </w:style>
  <w:style w:type="character" w:customStyle="1" w:styleId="label1">
    <w:name w:val="label1"/>
    <w:rsid w:val="00D16416"/>
    <w:rPr>
      <w:b/>
      <w:bCs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93700CFB.dotm</Template>
  <TotalTime>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Jennifer L</dc:creator>
  <cp:lastModifiedBy>Le, Thao</cp:lastModifiedBy>
  <cp:revision>3</cp:revision>
  <dcterms:created xsi:type="dcterms:W3CDTF">2018-04-05T15:14:00Z</dcterms:created>
  <dcterms:modified xsi:type="dcterms:W3CDTF">2019-12-16T13:50:00Z</dcterms:modified>
</cp:coreProperties>
</file>