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EB1" w:rsidRPr="00690EB1" w:rsidRDefault="00690EB1" w:rsidP="00690EB1">
      <w:pPr>
        <w:rPr>
          <w:rStyle w:val="HTMLDefinition"/>
          <w:rFonts w:ascii="Arial" w:hAnsi="Arial" w:cs="Arial"/>
          <w:b/>
          <w:bCs/>
          <w:i w:val="0"/>
          <w:iCs w:val="0"/>
          <w:color w:val="FF0000"/>
          <w:szCs w:val="22"/>
        </w:rPr>
      </w:pPr>
      <w:bookmarkStart w:id="0" w:name="_GoBack"/>
      <w:r w:rsidRPr="00690EB1">
        <w:rPr>
          <w:rStyle w:val="HTMLDefinition"/>
          <w:rFonts w:ascii="Arial" w:hAnsi="Arial" w:cs="Arial"/>
          <w:b/>
          <w:bCs/>
          <w:i w:val="0"/>
          <w:iCs w:val="0"/>
          <w:color w:val="FF0000"/>
          <w:szCs w:val="22"/>
        </w:rPr>
        <w:t>Abbreviation</w:t>
      </w:r>
    </w:p>
    <w:bookmarkEnd w:id="0"/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AIC: </w:t>
      </w:r>
      <w:proofErr w:type="spell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Akaike</w:t>
      </w:r>
      <w:proofErr w:type="spell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 information criterion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ASCO/CAP: American Society of Clinical Oncology/College of American Pathologists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ATCC: American Type Culture Collection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AUC: Area under the curve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AZA: 5-aza-2′-deoxycytidine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proofErr w:type="spellStart"/>
      <w:proofErr w:type="gram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bHLH</w:t>
      </w:r>
      <w:proofErr w:type="spellEnd"/>
      <w:proofErr w:type="gram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:</w:t>
      </w:r>
      <w: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 </w:t>
      </w: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Basic helix-loop-helix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BL-1: Basal-like 1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BL-2:</w:t>
      </w:r>
      <w: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 </w:t>
      </w: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Basal-like 2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CDKL2:</w:t>
      </w:r>
      <w: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 </w:t>
      </w: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Cyclin-dependent kinase like 2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CHL1: Cell adhesion molecule L1 like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CI: Confidence intervals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proofErr w:type="spell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CpG</w:t>
      </w:r>
      <w:proofErr w:type="spell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: Cytosine and guanine separated by a phosphate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CT: Chemotherapy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Ct: </w:t>
      </w:r>
      <w: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 </w:t>
      </w: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Cycle threshold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DC: Discovery cohort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proofErr w:type="spell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DMCpGs</w:t>
      </w:r>
      <w:proofErr w:type="spell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: Differentially methylated </w:t>
      </w:r>
      <w:proofErr w:type="spell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CpG</w:t>
      </w:r>
      <w:proofErr w:type="spell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 sites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DNA: Deoxyribonucleic acid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E2F4: E2F transcription factor 4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EMT: Epithelial-mesenchymal transition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ER: Estrogen receptors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EVC2: </w:t>
      </w:r>
      <w:proofErr w:type="spell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EvC</w:t>
      </w:r>
      <w:proofErr w:type="spell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 ciliary complex subunit 2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FERD3L: Fer3-like </w:t>
      </w:r>
      <w:proofErr w:type="spell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bHLH</w:t>
      </w:r>
      <w:proofErr w:type="spell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 transcription factor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FFPE: Formalin-fixed paraffin-embedded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GAPDH: Glyceraldehyde-3-phosphate dehydrogenase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GO: Gene ontology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HER2: Erb-b2 receptor tyrosine kinase 2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HOXA5: </w:t>
      </w:r>
      <w:proofErr w:type="spell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Homeobox</w:t>
      </w:r>
      <w:proofErr w:type="spell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 A5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IHC: Immunohistochemistry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LAR: Luminal androgen receptor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LEF1: Lymphoid enhancer binding factor 1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M: </w:t>
      </w:r>
      <w: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 </w:t>
      </w: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Mesenchymal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proofErr w:type="spell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MethHc</w:t>
      </w:r>
      <w:proofErr w:type="spell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: A database of DNA Methylation and gene expression in Human Cancer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NAC: </w:t>
      </w:r>
      <w:proofErr w:type="spell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Neoadjuvant</w:t>
      </w:r>
      <w:proofErr w:type="spell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 chemotherapy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Non-</w:t>
      </w:r>
      <w:proofErr w:type="spell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pCR</w:t>
      </w:r>
      <w:proofErr w:type="spell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: Non-pathological complete response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NR: Non-responders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proofErr w:type="spellStart"/>
      <w:proofErr w:type="gram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pCR</w:t>
      </w:r>
      <w:proofErr w:type="spellEnd"/>
      <w:proofErr w:type="gram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: Pathological complete response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PR: Progesterone receptor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proofErr w:type="spellStart"/>
      <w:proofErr w:type="gram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qRT</w:t>
      </w:r>
      <w:proofErr w:type="spell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-PCR</w:t>
      </w:r>
      <w:proofErr w:type="gram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: Quantitative reverse transcriptase polymerase chain reaction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R: Responders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RCB: Residual cancer burden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RNA-</w:t>
      </w:r>
      <w:proofErr w:type="spell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seq</w:t>
      </w:r>
      <w:proofErr w:type="spell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: RNA sequencing (RNA: ribonucleic acid)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ROC: Receiver operating characteristic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RT-PCR: Reverse transcriptase polymerase chain reaction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SD: Standard deviation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proofErr w:type="gram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siRNA</w:t>
      </w:r>
      <w:proofErr w:type="gram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: Small interfering RNA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TCGA: The cancer genome atlas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TLX3: T cell leukemia </w:t>
      </w:r>
      <w:proofErr w:type="spell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homeobox</w:t>
      </w:r>
      <w:proofErr w:type="spell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 3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TN: Triple negative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TNBC: Triple-negative breast cancer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TRIP10/CIP4: Thyroid hormone receptor interactor 10</w:t>
      </w:r>
    </w:p>
    <w:p w:rsidR="00690EB1" w:rsidRPr="00690EB1" w:rsidRDefault="00690EB1" w:rsidP="00690EB1">
      <w:pPr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TWIST: Twist family </w:t>
      </w:r>
      <w:proofErr w:type="spellStart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bHLH</w:t>
      </w:r>
      <w:proofErr w:type="spellEnd"/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 xml:space="preserve"> transcription factor 1</w:t>
      </w:r>
    </w:p>
    <w:p w:rsidR="00545455" w:rsidRPr="00690EB1" w:rsidRDefault="00690EB1" w:rsidP="00690EB1">
      <w:pPr>
        <w:rPr>
          <w:rFonts w:ascii="Arial" w:hAnsi="Arial" w:cs="Arial"/>
          <w:bCs/>
          <w:color w:val="333333"/>
          <w:sz w:val="22"/>
          <w:szCs w:val="22"/>
        </w:rPr>
      </w:pPr>
      <w:r w:rsidRPr="00690EB1">
        <w:rPr>
          <w:rStyle w:val="HTMLDefinition"/>
          <w:rFonts w:ascii="Arial" w:hAnsi="Arial" w:cs="Arial"/>
          <w:bCs/>
          <w:i w:val="0"/>
          <w:iCs w:val="0"/>
          <w:color w:val="333333"/>
          <w:sz w:val="22"/>
          <w:szCs w:val="22"/>
        </w:rPr>
        <w:t>VC: Validation cohort</w:t>
      </w:r>
    </w:p>
    <w:sectPr w:rsidR="00545455" w:rsidRPr="00690EB1" w:rsidSect="00690E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B1"/>
    <w:rsid w:val="00545455"/>
    <w:rsid w:val="0069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1F755"/>
  <w15:chartTrackingRefBased/>
  <w15:docId w15:val="{09E2AA3E-2C94-4935-9A00-BB299827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unhideWhenUsed/>
    <w:rsid w:val="00690EB1"/>
    <w:rPr>
      <w:i/>
      <w:iCs/>
    </w:rPr>
  </w:style>
  <w:style w:type="paragraph" w:customStyle="1" w:styleId="para">
    <w:name w:val="para"/>
    <w:basedOn w:val="Normal"/>
    <w:rsid w:val="00690E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FFA7CAF9.dotm</Template>
  <TotalTime>4</TotalTime>
  <Pages>1</Pages>
  <Words>268</Words>
  <Characters>1531</Characters>
  <Application>Microsoft Office Word</Application>
  <DocSecurity>0</DocSecurity>
  <Lines>12</Lines>
  <Paragraphs>3</Paragraphs>
  <ScaleCrop>false</ScaleCrop>
  <Company>MCHS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2019-04-17T16:04:00Z</dcterms:created>
  <dcterms:modified xsi:type="dcterms:W3CDTF">2019-04-17T16:08:00Z</dcterms:modified>
</cp:coreProperties>
</file>