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4DF8" w:rsidRPr="00446E48" w:rsidRDefault="007C4DF8" w:rsidP="002F6E23">
      <w:pPr>
        <w:jc w:val="both"/>
        <w:rPr>
          <w:rFonts w:ascii="Arial" w:hAnsi="Arial" w:cs="Arial"/>
          <w:b/>
          <w:sz w:val="22"/>
          <w:szCs w:val="22"/>
        </w:rPr>
      </w:pPr>
      <w:r w:rsidRPr="00446E48">
        <w:rPr>
          <w:rFonts w:ascii="Arial" w:hAnsi="Arial" w:cs="Arial"/>
          <w:b/>
          <w:sz w:val="22"/>
          <w:szCs w:val="22"/>
        </w:rPr>
        <w:t xml:space="preserve">Biomarkers in </w:t>
      </w:r>
      <w:r w:rsidR="004412D7">
        <w:rPr>
          <w:rFonts w:ascii="Arial" w:hAnsi="Arial" w:cs="Arial"/>
          <w:b/>
          <w:sz w:val="22"/>
          <w:szCs w:val="22"/>
        </w:rPr>
        <w:t>Rheumatoid Arthritis</w:t>
      </w:r>
      <w:r w:rsidRPr="00446E48">
        <w:rPr>
          <w:rFonts w:ascii="Arial" w:hAnsi="Arial" w:cs="Arial"/>
          <w:b/>
          <w:sz w:val="22"/>
          <w:szCs w:val="22"/>
        </w:rPr>
        <w:t>: From Drug Discovery to the Clinic</w:t>
      </w:r>
    </w:p>
    <w:p w:rsidR="007C4DF8" w:rsidRPr="00446E48" w:rsidRDefault="007C4DF8">
      <w:pPr>
        <w:rPr>
          <w:rFonts w:ascii="Arial" w:hAnsi="Arial" w:cs="Arial"/>
          <w:color w:val="010101"/>
          <w:sz w:val="22"/>
          <w:szCs w:val="22"/>
          <w:shd w:val="clear" w:color="auto" w:fill="FFFFFF"/>
        </w:rPr>
      </w:pPr>
    </w:p>
    <w:p w:rsidR="00446E48" w:rsidRPr="00446E48" w:rsidRDefault="00446E48" w:rsidP="00446E48">
      <w:pPr>
        <w:jc w:val="both"/>
        <w:rPr>
          <w:rFonts w:ascii="Arial" w:hAnsi="Arial" w:cs="Arial"/>
          <w:b/>
          <w:sz w:val="22"/>
          <w:szCs w:val="22"/>
        </w:rPr>
      </w:pPr>
      <w:r w:rsidRPr="00446E48">
        <w:rPr>
          <w:rFonts w:ascii="Arial" w:hAnsi="Arial" w:cs="Arial"/>
          <w:b/>
          <w:sz w:val="22"/>
          <w:szCs w:val="22"/>
        </w:rPr>
        <w:t>Research Goal</w:t>
      </w:r>
    </w:p>
    <w:p w:rsidR="009457C6" w:rsidRDefault="009457C6">
      <w:pPr>
        <w:rPr>
          <w:rFonts w:ascii="Arial" w:hAnsi="Arial" w:cs="Arial"/>
          <w:color w:val="010101"/>
          <w:sz w:val="22"/>
          <w:szCs w:val="22"/>
          <w:shd w:val="clear" w:color="auto" w:fill="FFFFFF"/>
        </w:rPr>
      </w:pPr>
    </w:p>
    <w:p w:rsidR="00B66600" w:rsidRDefault="009457C6" w:rsidP="009457C6">
      <w:pPr>
        <w:jc w:val="both"/>
        <w:rPr>
          <w:rFonts w:ascii="Arial" w:hAnsi="Arial" w:cs="Arial"/>
          <w:color w:val="010101"/>
          <w:sz w:val="22"/>
          <w:szCs w:val="22"/>
          <w:shd w:val="clear" w:color="auto" w:fill="FFFFFF"/>
        </w:rPr>
      </w:pPr>
      <w:r w:rsidRPr="009457C6">
        <w:rPr>
          <w:rFonts w:ascii="Arial" w:hAnsi="Arial" w:cs="Arial"/>
          <w:color w:val="010101"/>
          <w:sz w:val="22"/>
          <w:szCs w:val="22"/>
          <w:shd w:val="clear" w:color="auto" w:fill="FFFFFF"/>
        </w:rPr>
        <w:t>Multiple sclerosis (MS) is a disabling disease affecting the brain, spinal cord, and optic nerves, disrupting messages traveling along nerve fibers and causing subsequent nerve damage. There is no cure for treatment of MS, hence the treatment focuses on suppressing the autoimmune response and managing disease symptoms. Early diagnosis and timely therapeutic intervention are critical factors in ensuring favorable long-term outcomes in MS patients. Identification and selection of reliable bi</w:t>
      </w:r>
      <w:r>
        <w:rPr>
          <w:rFonts w:ascii="Arial" w:hAnsi="Arial" w:cs="Arial"/>
          <w:color w:val="010101"/>
          <w:sz w:val="22"/>
          <w:szCs w:val="22"/>
          <w:shd w:val="clear" w:color="auto" w:fill="FFFFFF"/>
        </w:rPr>
        <w:t xml:space="preserve">omarkers play a crucial role in </w:t>
      </w:r>
      <w:r w:rsidRPr="009457C6">
        <w:rPr>
          <w:rFonts w:ascii="Arial" w:hAnsi="Arial" w:cs="Arial"/>
          <w:color w:val="010101"/>
          <w:sz w:val="22"/>
          <w:szCs w:val="22"/>
          <w:shd w:val="clear" w:color="auto" w:fill="FFFFFF"/>
        </w:rPr>
        <w:t>diagnosis, management, and the selection of a right therapeutic strategy for the treatment of MS.</w:t>
      </w:r>
      <w:r>
        <w:rPr>
          <w:rFonts w:ascii="Arial" w:hAnsi="Arial" w:cs="Arial"/>
          <w:color w:val="010101"/>
          <w:sz w:val="22"/>
          <w:szCs w:val="22"/>
          <w:shd w:val="clear" w:color="auto" w:fill="FFFFFF"/>
        </w:rPr>
        <w:t xml:space="preserve"> How </w:t>
      </w:r>
      <w:r w:rsidRPr="009457C6">
        <w:rPr>
          <w:rFonts w:ascii="Arial" w:hAnsi="Arial" w:cs="Arial"/>
          <w:color w:val="010101"/>
          <w:sz w:val="22"/>
          <w:szCs w:val="22"/>
          <w:shd w:val="clear" w:color="auto" w:fill="FFFFFF"/>
        </w:rPr>
        <w:t>p</w:t>
      </w:r>
      <w:r>
        <w:rPr>
          <w:rFonts w:ascii="Arial" w:hAnsi="Arial" w:cs="Arial"/>
          <w:color w:val="010101"/>
          <w:sz w:val="22"/>
          <w:szCs w:val="22"/>
          <w:shd w:val="clear" w:color="auto" w:fill="FFFFFF"/>
        </w:rPr>
        <w:t>roteomic, genomic, metabolomics and</w:t>
      </w:r>
      <w:r w:rsidRPr="009457C6">
        <w:rPr>
          <w:rFonts w:ascii="Arial" w:hAnsi="Arial" w:cs="Arial"/>
          <w:color w:val="010101"/>
          <w:sz w:val="22"/>
          <w:szCs w:val="22"/>
          <w:shd w:val="clear" w:color="auto" w:fill="FFFFFF"/>
        </w:rPr>
        <w:t xml:space="preserve"> cellular biomarkers can add</w:t>
      </w:r>
      <w:r>
        <w:rPr>
          <w:rFonts w:ascii="Arial" w:hAnsi="Arial" w:cs="Arial"/>
          <w:color w:val="010101"/>
          <w:sz w:val="22"/>
          <w:szCs w:val="22"/>
          <w:shd w:val="clear" w:color="auto" w:fill="FFFFFF"/>
        </w:rPr>
        <w:t xml:space="preserve">ress specific questions in drug </w:t>
      </w:r>
      <w:r w:rsidRPr="009457C6">
        <w:rPr>
          <w:rFonts w:ascii="Arial" w:hAnsi="Arial" w:cs="Arial"/>
          <w:color w:val="010101"/>
          <w:sz w:val="22"/>
          <w:szCs w:val="22"/>
          <w:shd w:val="clear" w:color="auto" w:fill="FFFFFF"/>
        </w:rPr>
        <w:t>development and clinical research in Multiple Sclerosis.</w:t>
      </w:r>
    </w:p>
    <w:p w:rsidR="009457C6" w:rsidRDefault="009457C6">
      <w:pPr>
        <w:rPr>
          <w:rFonts w:ascii="Arial" w:hAnsi="Arial" w:cs="Arial"/>
          <w:color w:val="010101"/>
          <w:sz w:val="22"/>
          <w:szCs w:val="22"/>
          <w:shd w:val="clear" w:color="auto" w:fill="FFFFFF"/>
        </w:rPr>
      </w:pPr>
    </w:p>
    <w:p w:rsidR="00593CFD" w:rsidRDefault="007C4DF8">
      <w:pPr>
        <w:rPr>
          <w:rFonts w:ascii="Arial" w:hAnsi="Arial" w:cs="Arial"/>
          <w:color w:val="010101"/>
          <w:sz w:val="22"/>
          <w:szCs w:val="22"/>
          <w:shd w:val="clear" w:color="auto" w:fill="FFFFFF"/>
        </w:rPr>
      </w:pPr>
      <w:r w:rsidRPr="00446E48">
        <w:rPr>
          <w:rFonts w:ascii="Arial" w:hAnsi="Arial" w:cs="Arial"/>
          <w:color w:val="010101"/>
          <w:sz w:val="22"/>
          <w:szCs w:val="22"/>
          <w:shd w:val="clear" w:color="auto" w:fill="FFFFFF"/>
        </w:rPr>
        <w:t>The number of biomarkers that are evaluated in clinical, exploratory clinical and pre-clinical</w:t>
      </w:r>
      <w:r w:rsidRPr="009457C6">
        <w:rPr>
          <w:rFonts w:ascii="Arial" w:hAnsi="Arial" w:cs="Arial"/>
          <w:color w:val="010101"/>
          <w:sz w:val="22"/>
          <w:szCs w:val="22"/>
          <w:shd w:val="clear" w:color="auto" w:fill="FFFFFF"/>
        </w:rPr>
        <w:br/>
      </w:r>
      <w:r w:rsidRPr="00446E48">
        <w:rPr>
          <w:rFonts w:ascii="Arial" w:hAnsi="Arial" w:cs="Arial"/>
          <w:color w:val="010101"/>
          <w:sz w:val="22"/>
          <w:szCs w:val="22"/>
          <w:shd w:val="clear" w:color="auto" w:fill="FFFFFF"/>
        </w:rPr>
        <w:t>Biomarkers for stratification of patients who are most likely to respond to treatment</w:t>
      </w:r>
      <w:r w:rsidRPr="009457C6">
        <w:rPr>
          <w:rFonts w:ascii="Arial" w:hAnsi="Arial" w:cs="Arial"/>
          <w:color w:val="010101"/>
          <w:sz w:val="22"/>
          <w:szCs w:val="22"/>
          <w:shd w:val="clear" w:color="auto" w:fill="FFFFFF"/>
        </w:rPr>
        <w:br/>
      </w:r>
      <w:r w:rsidRPr="00446E48">
        <w:rPr>
          <w:rFonts w:ascii="Arial" w:hAnsi="Arial" w:cs="Arial"/>
          <w:color w:val="010101"/>
          <w:sz w:val="22"/>
          <w:szCs w:val="22"/>
          <w:shd w:val="clear" w:color="auto" w:fill="FFFFFF"/>
        </w:rPr>
        <w:t>Selection of appropriate biomarkers of drug efficacy in clinical trials</w:t>
      </w:r>
      <w:r w:rsidRPr="009457C6">
        <w:rPr>
          <w:rFonts w:ascii="Arial" w:hAnsi="Arial" w:cs="Arial"/>
          <w:color w:val="010101"/>
          <w:sz w:val="22"/>
          <w:szCs w:val="22"/>
          <w:shd w:val="clear" w:color="auto" w:fill="FFFFFF"/>
        </w:rPr>
        <w:br/>
      </w:r>
      <w:r w:rsidRPr="00446E48">
        <w:rPr>
          <w:rFonts w:ascii="Arial" w:hAnsi="Arial" w:cs="Arial"/>
          <w:color w:val="010101"/>
          <w:sz w:val="22"/>
          <w:szCs w:val="22"/>
          <w:shd w:val="clear" w:color="auto" w:fill="FFFFFF"/>
        </w:rPr>
        <w:t>Biomarkers for safety monitoring in clinical studies</w:t>
      </w:r>
      <w:r w:rsidRPr="009457C6">
        <w:rPr>
          <w:rFonts w:ascii="Arial" w:hAnsi="Arial" w:cs="Arial"/>
          <w:color w:val="010101"/>
          <w:sz w:val="22"/>
          <w:szCs w:val="22"/>
          <w:shd w:val="clear" w:color="auto" w:fill="FFFFFF"/>
        </w:rPr>
        <w:br/>
      </w:r>
      <w:r w:rsidRPr="00446E48">
        <w:rPr>
          <w:rFonts w:ascii="Arial" w:hAnsi="Arial" w:cs="Arial"/>
          <w:color w:val="010101"/>
          <w:sz w:val="22"/>
          <w:szCs w:val="22"/>
          <w:shd w:val="clear" w:color="auto" w:fill="FFFFFF"/>
        </w:rPr>
        <w:t>Biomarkers predicting the course of the disease and likely progression</w:t>
      </w:r>
      <w:r w:rsidRPr="00446E48">
        <w:rPr>
          <w:rFonts w:ascii="Arial" w:hAnsi="Arial" w:cs="Arial"/>
          <w:color w:val="010101"/>
          <w:sz w:val="22"/>
          <w:szCs w:val="22"/>
        </w:rPr>
        <w:br/>
      </w:r>
      <w:r w:rsidRPr="00446E48">
        <w:rPr>
          <w:rFonts w:ascii="Arial" w:hAnsi="Arial" w:cs="Arial"/>
          <w:color w:val="010101"/>
          <w:sz w:val="22"/>
          <w:szCs w:val="22"/>
          <w:shd w:val="clear" w:color="auto" w:fill="FFFFFF"/>
        </w:rPr>
        <w:t>Selection of diagnostic biomarkers and associated kits to measure the biomarkers</w:t>
      </w:r>
      <w:r w:rsidRPr="00446E48">
        <w:rPr>
          <w:rFonts w:ascii="Arial" w:hAnsi="Arial" w:cs="Arial"/>
          <w:color w:val="010101"/>
          <w:sz w:val="22"/>
          <w:szCs w:val="22"/>
        </w:rPr>
        <w:br/>
      </w:r>
      <w:r w:rsidRPr="00446E48">
        <w:rPr>
          <w:rFonts w:ascii="Arial" w:hAnsi="Arial" w:cs="Arial"/>
          <w:color w:val="010101"/>
          <w:sz w:val="22"/>
          <w:szCs w:val="22"/>
          <w:shd w:val="clear" w:color="auto" w:fill="FFFFFF"/>
        </w:rPr>
        <w:t>Identification of biological pathways in which biomarkers are involved</w:t>
      </w:r>
      <w:r w:rsidRPr="00446E48">
        <w:rPr>
          <w:rFonts w:ascii="Arial" w:hAnsi="Arial" w:cs="Arial"/>
          <w:color w:val="010101"/>
          <w:sz w:val="22"/>
          <w:szCs w:val="22"/>
        </w:rPr>
        <w:br/>
      </w:r>
      <w:r w:rsidRPr="00446E48">
        <w:rPr>
          <w:rFonts w:ascii="Arial" w:hAnsi="Arial" w:cs="Arial"/>
          <w:color w:val="010101"/>
          <w:sz w:val="22"/>
          <w:szCs w:val="22"/>
          <w:shd w:val="clear" w:color="auto" w:fill="FFFFFF"/>
        </w:rPr>
        <w:t>Selection of pre-clinical/animal models that are used to evaluate the safety and efficacy of biomarkers</w:t>
      </w:r>
      <w:r w:rsidRPr="00446E48">
        <w:rPr>
          <w:rFonts w:ascii="Arial" w:hAnsi="Arial" w:cs="Arial"/>
          <w:color w:val="010101"/>
          <w:sz w:val="22"/>
          <w:szCs w:val="22"/>
        </w:rPr>
        <w:br/>
      </w:r>
      <w:r w:rsidRPr="00446E48">
        <w:rPr>
          <w:rFonts w:ascii="Arial" w:hAnsi="Arial" w:cs="Arial"/>
          <w:color w:val="010101"/>
          <w:sz w:val="22"/>
          <w:szCs w:val="22"/>
          <w:shd w:val="clear" w:color="auto" w:fill="FFFFFF"/>
        </w:rPr>
        <w:t>Identification of biomarkers predictive of drug resistance and failure of treatment</w:t>
      </w:r>
      <w:r w:rsidRPr="00446E48">
        <w:rPr>
          <w:rFonts w:ascii="Arial" w:hAnsi="Arial" w:cs="Arial"/>
          <w:color w:val="010101"/>
          <w:sz w:val="22"/>
          <w:szCs w:val="22"/>
        </w:rPr>
        <w:br/>
      </w:r>
      <w:r w:rsidRPr="00446E48">
        <w:rPr>
          <w:rFonts w:ascii="Arial" w:hAnsi="Arial" w:cs="Arial"/>
          <w:color w:val="010101"/>
          <w:sz w:val="22"/>
          <w:szCs w:val="22"/>
          <w:shd w:val="clear" w:color="auto" w:fill="FFFFFF"/>
        </w:rPr>
        <w:t>Selection of panel of biomarkers or signature for diagnosis</w:t>
      </w:r>
      <w:r w:rsidRPr="00446E48">
        <w:rPr>
          <w:rFonts w:ascii="Arial" w:hAnsi="Arial" w:cs="Arial"/>
          <w:color w:val="010101"/>
          <w:sz w:val="22"/>
          <w:szCs w:val="22"/>
        </w:rPr>
        <w:br/>
      </w:r>
      <w:r w:rsidRPr="00446E48">
        <w:rPr>
          <w:rFonts w:ascii="Arial" w:hAnsi="Arial" w:cs="Arial"/>
          <w:color w:val="010101"/>
          <w:sz w:val="22"/>
          <w:szCs w:val="22"/>
          <w:shd w:val="clear" w:color="auto" w:fill="FFFFFF"/>
        </w:rPr>
        <w:t xml:space="preserve">Association of biomarkers with varied statistical variables such as clinical </w:t>
      </w:r>
      <w:r w:rsidR="00095CB5">
        <w:rPr>
          <w:rFonts w:ascii="Arial" w:hAnsi="Arial" w:cs="Arial"/>
          <w:color w:val="010101"/>
          <w:sz w:val="22"/>
          <w:szCs w:val="22"/>
          <w:shd w:val="clear" w:color="auto" w:fill="FFFFFF"/>
        </w:rPr>
        <w:t>endpoints, other biomarkers</w:t>
      </w:r>
    </w:p>
    <w:p w:rsidR="00FC070B" w:rsidRDefault="00FC070B">
      <w:pPr>
        <w:rPr>
          <w:rFonts w:ascii="Arial" w:hAnsi="Arial" w:cs="Arial"/>
          <w:color w:val="010101"/>
          <w:sz w:val="22"/>
          <w:szCs w:val="22"/>
          <w:shd w:val="clear" w:color="auto" w:fill="FFFFFF"/>
        </w:rPr>
      </w:pPr>
    </w:p>
    <w:p w:rsidR="00FC070B" w:rsidRDefault="00FC070B">
      <w:pPr>
        <w:rPr>
          <w:rFonts w:ascii="Arial" w:hAnsi="Arial" w:cs="Arial"/>
          <w:color w:val="010101"/>
          <w:sz w:val="22"/>
          <w:szCs w:val="22"/>
          <w:shd w:val="clear" w:color="auto" w:fill="FFFFFF"/>
        </w:rPr>
      </w:pPr>
      <w:bookmarkStart w:id="0" w:name="_GoBack"/>
      <w:bookmarkEnd w:id="0"/>
    </w:p>
    <w:p w:rsidR="00FC070B" w:rsidRDefault="00FC070B">
      <w:pPr>
        <w:rPr>
          <w:rFonts w:ascii="Arial" w:hAnsi="Arial" w:cs="Arial"/>
          <w:color w:val="010101"/>
          <w:sz w:val="22"/>
          <w:szCs w:val="22"/>
          <w:shd w:val="clear" w:color="auto" w:fill="FFFFFF"/>
        </w:rPr>
      </w:pPr>
      <w:r w:rsidRPr="00FC070B">
        <w:rPr>
          <w:rFonts w:ascii="Arial" w:hAnsi="Arial" w:cs="Arial"/>
          <w:color w:val="010101"/>
          <w:sz w:val="22"/>
          <w:szCs w:val="22"/>
          <w:shd w:val="clear" w:color="auto" w:fill="FFFFFF"/>
        </w:rPr>
        <w:t>Supported by grant UL1TR002373 from the Clinical and Translational Science Award (CTSA) program of the National Center for Advancing Translational Sciences, NIH</w:t>
      </w:r>
    </w:p>
    <w:p w:rsidR="00531503" w:rsidRDefault="00531503" w:rsidP="001D5719">
      <w:pPr>
        <w:rPr>
          <w:rFonts w:ascii="Arial" w:hAnsi="Arial" w:cs="Arial"/>
          <w:color w:val="010101"/>
          <w:sz w:val="22"/>
          <w:szCs w:val="22"/>
          <w:shd w:val="clear" w:color="auto" w:fill="FFFFFF"/>
        </w:rPr>
      </w:pPr>
    </w:p>
    <w:p w:rsidR="001D5719" w:rsidRDefault="001D5719" w:rsidP="001D5719">
      <w:pPr>
        <w:rPr>
          <w:rFonts w:ascii="Arial" w:hAnsi="Arial" w:cs="Arial"/>
          <w:color w:val="010101"/>
          <w:sz w:val="22"/>
          <w:szCs w:val="22"/>
          <w:shd w:val="clear" w:color="auto" w:fill="FFFFFF"/>
        </w:rPr>
      </w:pPr>
      <w:r w:rsidRPr="001D5719">
        <w:rPr>
          <w:rFonts w:ascii="Arial" w:hAnsi="Arial" w:cs="Arial"/>
          <w:color w:val="010101"/>
          <w:sz w:val="22"/>
          <w:szCs w:val="22"/>
          <w:shd w:val="clear" w:color="auto" w:fill="FFFFFF"/>
        </w:rPr>
        <w:t>Thank you for your interest in one of our services. The appropriate staff person has received an email informing them of your request and should be in touch shortly.</w:t>
      </w:r>
      <w:r>
        <w:rPr>
          <w:rFonts w:ascii="Arial" w:hAnsi="Arial" w:cs="Arial"/>
          <w:color w:val="010101"/>
          <w:sz w:val="22"/>
          <w:szCs w:val="22"/>
          <w:shd w:val="clear" w:color="auto" w:fill="FFFFFF"/>
        </w:rPr>
        <w:t xml:space="preserve"> </w:t>
      </w:r>
      <w:r w:rsidRPr="001D5719">
        <w:rPr>
          <w:rFonts w:ascii="Arial" w:hAnsi="Arial" w:cs="Arial"/>
          <w:color w:val="010101"/>
          <w:sz w:val="22"/>
          <w:szCs w:val="22"/>
          <w:shd w:val="clear" w:color="auto" w:fill="FFFFFF"/>
        </w:rPr>
        <w:t>Please note: Investigators receiving any ICTR services agree to cite UW-ICTR by stating in the acknowledgment section of their publications the following message:</w:t>
      </w:r>
      <w:r>
        <w:rPr>
          <w:rFonts w:ascii="Arial" w:hAnsi="Arial" w:cs="Arial"/>
          <w:color w:val="010101"/>
          <w:sz w:val="22"/>
          <w:szCs w:val="22"/>
          <w:shd w:val="clear" w:color="auto" w:fill="FFFFFF"/>
        </w:rPr>
        <w:t xml:space="preserve"> </w:t>
      </w:r>
      <w:r w:rsidRPr="001D5719">
        <w:rPr>
          <w:rFonts w:ascii="Arial" w:hAnsi="Arial" w:cs="Arial"/>
          <w:color w:val="010101"/>
          <w:sz w:val="22"/>
          <w:szCs w:val="22"/>
          <w:shd w:val="clear" w:color="auto" w:fill="FFFFFF"/>
        </w:rPr>
        <w:t>The project described was supported by the Clinical and Translational Science Award (CTSA) program, through the NIH National Center for Advancing Translational Sciences (NCATS), grant UL1TR002373. The content is solely the responsibility of the authors and does not necessarily represent the official views of the NIH.</w:t>
      </w:r>
    </w:p>
    <w:p w:rsidR="001D5719" w:rsidRDefault="001D5719" w:rsidP="001D5719">
      <w:pPr>
        <w:rPr>
          <w:rFonts w:ascii="Arial" w:hAnsi="Arial" w:cs="Arial"/>
          <w:color w:val="010101"/>
          <w:sz w:val="22"/>
          <w:szCs w:val="22"/>
          <w:shd w:val="clear" w:color="auto" w:fill="FFFFFF"/>
        </w:rPr>
      </w:pPr>
    </w:p>
    <w:p w:rsidR="001D5719" w:rsidRDefault="001D5719" w:rsidP="001D5719">
      <w:pPr>
        <w:rPr>
          <w:rFonts w:ascii="Arial" w:hAnsi="Arial" w:cs="Arial"/>
          <w:color w:val="010101"/>
          <w:sz w:val="22"/>
          <w:szCs w:val="22"/>
          <w:shd w:val="clear" w:color="auto" w:fill="FFFFFF"/>
        </w:rPr>
      </w:pPr>
      <w:r w:rsidRPr="001D5719">
        <w:rPr>
          <w:rFonts w:ascii="Arial" w:hAnsi="Arial" w:cs="Arial"/>
          <w:color w:val="010101"/>
          <w:sz w:val="22"/>
          <w:szCs w:val="22"/>
          <w:shd w:val="clear" w:color="auto" w:fill="FFFFFF"/>
        </w:rPr>
        <w:t>Your service request has been received. The appropriate staff person has received an email informing them of your request and should be in touch shortly.</w:t>
      </w:r>
      <w:r w:rsidRPr="001D5719">
        <w:rPr>
          <w:rFonts w:ascii="Arial" w:hAnsi="Arial" w:cs="Arial"/>
          <w:color w:val="010101"/>
          <w:sz w:val="22"/>
          <w:szCs w:val="22"/>
          <w:shd w:val="clear" w:color="auto" w:fill="FFFFFF"/>
        </w:rPr>
        <w:t xml:space="preserve"> </w:t>
      </w:r>
      <w:r w:rsidRPr="001D5719">
        <w:rPr>
          <w:rFonts w:ascii="Arial" w:hAnsi="Arial" w:cs="Arial"/>
          <w:color w:val="010101"/>
          <w:sz w:val="22"/>
          <w:szCs w:val="22"/>
          <w:shd w:val="clear" w:color="auto" w:fill="FFFFFF"/>
        </w:rPr>
        <w:t xml:space="preserve">By receiving ICTR or UWCCC services, you have agreed to cite the grant that provided services (UW-ICTR or UWCCC) in the acknowledgment section of any resultant publication by including the appropriate statement: ICTR: "The project was supported by the Clinical and Translational Science Award (CTSA) program, through the NIH National Center for Advancing Translational Sciences (NCATS), grant UL1TR002373. The content is solely the responsibility of the authors and does not necessarily represent the official views of the NIH." </w:t>
      </w:r>
      <w:r w:rsidRPr="001D5719">
        <w:rPr>
          <w:rFonts w:ascii="Arial" w:hAnsi="Arial" w:cs="Arial"/>
          <w:color w:val="010101"/>
          <w:sz w:val="22"/>
          <w:szCs w:val="22"/>
          <w:shd w:val="clear" w:color="auto" w:fill="FFFFFF"/>
        </w:rPr>
        <w:br/>
      </w:r>
    </w:p>
    <w:p w:rsidR="001D5719" w:rsidRPr="001D5719" w:rsidRDefault="001D5719" w:rsidP="001D5719">
      <w:pPr>
        <w:rPr>
          <w:rFonts w:ascii="Arial" w:hAnsi="Arial" w:cs="Arial"/>
          <w:color w:val="010101"/>
          <w:sz w:val="22"/>
          <w:szCs w:val="22"/>
          <w:shd w:val="clear" w:color="auto" w:fill="FFFFFF"/>
        </w:rPr>
      </w:pPr>
      <w:r w:rsidRPr="001D5719">
        <w:rPr>
          <w:rFonts w:ascii="Arial" w:hAnsi="Arial" w:cs="Arial"/>
          <w:color w:val="010101"/>
          <w:sz w:val="22"/>
          <w:szCs w:val="22"/>
          <w:shd w:val="clear" w:color="auto" w:fill="FFFFFF"/>
        </w:rPr>
        <w:t>UWCCC: "We thank the staff of the University of Wisconsin Carbone Cancer Center (UWCCC) Biostatistics Shared Resource for their valuable contributions to this research. Shared research services at the UWCCC are supported by Cancer Cent</w:t>
      </w:r>
      <w:r w:rsidRPr="001D5719">
        <w:rPr>
          <w:rFonts w:ascii="Arial" w:hAnsi="Arial" w:cs="Arial"/>
          <w:color w:val="010101"/>
          <w:sz w:val="22"/>
          <w:szCs w:val="22"/>
          <w:shd w:val="clear" w:color="auto" w:fill="FFFFFF"/>
        </w:rPr>
        <w:t>er Support Grant P30 CA014520."</w:t>
      </w:r>
      <w:r w:rsidRPr="001D5719">
        <w:rPr>
          <w:rFonts w:ascii="Arial" w:hAnsi="Arial" w:cs="Arial"/>
          <w:color w:val="010101"/>
          <w:sz w:val="22"/>
          <w:szCs w:val="22"/>
          <w:shd w:val="clear" w:color="auto" w:fill="FFFFFF"/>
        </w:rPr>
        <w:t>In addition, publications supported by NIH resources must adhere to the NIH Public Access Policy by obtaining a PMCID number; ICTR staff can assist you with this process. For ICTR projects, ICTR staff will contact investigators to track outcomes of service and to ensure compliance with these policies.</w:t>
      </w:r>
    </w:p>
    <w:p w:rsidR="00FC070B" w:rsidRDefault="00FC070B">
      <w:pPr>
        <w:rPr>
          <w:rFonts w:ascii="Arial" w:hAnsi="Arial" w:cs="Arial"/>
          <w:color w:val="010101"/>
          <w:sz w:val="22"/>
          <w:szCs w:val="22"/>
          <w:shd w:val="clear" w:color="auto" w:fill="FFFFFF"/>
        </w:rPr>
      </w:pPr>
    </w:p>
    <w:sectPr w:rsidR="00FC070B" w:rsidSect="007C4DF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DF8"/>
    <w:rsid w:val="000744A3"/>
    <w:rsid w:val="00095CB5"/>
    <w:rsid w:val="001D5719"/>
    <w:rsid w:val="002F6E23"/>
    <w:rsid w:val="004412D7"/>
    <w:rsid w:val="004443E3"/>
    <w:rsid w:val="00446E48"/>
    <w:rsid w:val="00513F2C"/>
    <w:rsid w:val="00531503"/>
    <w:rsid w:val="00593CFD"/>
    <w:rsid w:val="005D3FD3"/>
    <w:rsid w:val="007C4DF8"/>
    <w:rsid w:val="009457C6"/>
    <w:rsid w:val="00B66600"/>
    <w:rsid w:val="00C91B98"/>
    <w:rsid w:val="00F83D85"/>
    <w:rsid w:val="00FC0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FB9C20"/>
  <w15:chartTrackingRefBased/>
  <w15:docId w15:val="{F80B2FCE-C4C3-49FE-9875-7EEC69C04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D5719"/>
    <w:pPr>
      <w:spacing w:before="100" w:beforeAutospacing="1" w:after="100" w:afterAutospacing="1"/>
    </w:pPr>
  </w:style>
  <w:style w:type="character" w:customStyle="1" w:styleId="pipingreceiver">
    <w:name w:val="piping_receiver"/>
    <w:basedOn w:val="DefaultParagraphFont"/>
    <w:rsid w:val="001D57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15590">
      <w:bodyDiv w:val="1"/>
      <w:marLeft w:val="0"/>
      <w:marRight w:val="0"/>
      <w:marTop w:val="0"/>
      <w:marBottom w:val="0"/>
      <w:divBdr>
        <w:top w:val="none" w:sz="0" w:space="0" w:color="auto"/>
        <w:left w:val="none" w:sz="0" w:space="0" w:color="auto"/>
        <w:bottom w:val="none" w:sz="0" w:space="0" w:color="auto"/>
        <w:right w:val="none" w:sz="0" w:space="0" w:color="auto"/>
      </w:divBdr>
    </w:div>
    <w:div w:id="1792279066">
      <w:bodyDiv w:val="1"/>
      <w:marLeft w:val="0"/>
      <w:marRight w:val="0"/>
      <w:marTop w:val="0"/>
      <w:marBottom w:val="0"/>
      <w:divBdr>
        <w:top w:val="none" w:sz="0" w:space="0" w:color="auto"/>
        <w:left w:val="none" w:sz="0" w:space="0" w:color="auto"/>
        <w:bottom w:val="none" w:sz="0" w:space="0" w:color="auto"/>
        <w:right w:val="none" w:sz="0" w:space="0" w:color="auto"/>
      </w:divBdr>
      <w:divsChild>
        <w:div w:id="1372657468">
          <w:blockQuote w:val="1"/>
          <w:marLeft w:val="720"/>
          <w:marRight w:val="720"/>
          <w:marTop w:val="100"/>
          <w:marBottom w:val="100"/>
          <w:divBdr>
            <w:top w:val="none" w:sz="0" w:space="0" w:color="auto"/>
            <w:left w:val="single" w:sz="24" w:space="0" w:color="C5050C"/>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2C940CD8.dotm</Template>
  <TotalTime>1294</TotalTime>
  <Pages>1</Pages>
  <Words>569</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MCHS</Company>
  <LinksUpToDate>false</LinksUpToDate>
  <CharactersWithSpaces>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Shicheng</dc:creator>
  <cp:keywords/>
  <dc:description/>
  <cp:lastModifiedBy>Guo, Shicheng</cp:lastModifiedBy>
  <cp:revision>16</cp:revision>
  <dcterms:created xsi:type="dcterms:W3CDTF">2019-05-07T00:19:00Z</dcterms:created>
  <dcterms:modified xsi:type="dcterms:W3CDTF">2019-05-08T19:41:00Z</dcterms:modified>
</cp:coreProperties>
</file>