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D8A" w:rsidRDefault="00D21D8A" w:rsidP="00D21D8A">
      <w:pPr>
        <w:shd w:val="clear" w:color="auto" w:fill="FFFFFF"/>
        <w:outlineLvl w:val="0"/>
        <w:rPr>
          <w:rFonts w:ascii="Arial" w:hAnsi="Arial" w:cs="Arial"/>
          <w:color w:val="666666"/>
          <w:kern w:val="36"/>
          <w:sz w:val="28"/>
          <w:szCs w:val="22"/>
        </w:rPr>
      </w:pPr>
      <w:r w:rsidRPr="00D21D8A">
        <w:rPr>
          <w:rFonts w:ascii="Arial" w:hAnsi="Arial" w:cs="Arial"/>
          <w:color w:val="666666"/>
          <w:kern w:val="36"/>
          <w:sz w:val="28"/>
          <w:szCs w:val="22"/>
        </w:rPr>
        <w:t>Bisulfite Protocol</w:t>
      </w:r>
    </w:p>
    <w:p w:rsidR="00D21D8A" w:rsidRPr="00D21D8A" w:rsidRDefault="00D21D8A" w:rsidP="00D21D8A">
      <w:pPr>
        <w:shd w:val="clear" w:color="auto" w:fill="FFFFFF"/>
        <w:outlineLvl w:val="0"/>
        <w:rPr>
          <w:rFonts w:ascii="Arial" w:hAnsi="Arial" w:cs="Arial"/>
          <w:color w:val="666666"/>
          <w:kern w:val="36"/>
          <w:sz w:val="28"/>
          <w:szCs w:val="22"/>
        </w:rPr>
      </w:pP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 xml:space="preserve">Adapted from a protocol by Mike Huang, Daniel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Zilberman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>, modified by Simon Chan 6/15/04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b/>
          <w:bCs/>
          <w:color w:val="333333"/>
          <w:sz w:val="22"/>
          <w:szCs w:val="22"/>
        </w:rPr>
        <w:t>DAY 1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1)  Digest 250ng–2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μ</w:t>
      </w:r>
      <w:r w:rsidRPr="00D21D8A">
        <w:rPr>
          <w:rFonts w:ascii="Arial" w:hAnsi="Arial" w:cs="Arial"/>
          <w:color w:val="333333"/>
          <w:sz w:val="22"/>
          <w:szCs w:val="22"/>
        </w:rPr>
        <w:t>g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 xml:space="preserve"> of genomic DNA with enzymes that cut just outside of the region of interest, total volume of 100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μl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>, about 20 units of each enzyme, 2 hours – overnight.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•</w:t>
      </w: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 xml:space="preserve"> 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DNeasy</w:t>
      </w:r>
      <w:proofErr w:type="spellEnd"/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works well for maize endosperm, CTAB extraction works well for maize and soybean leaf.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 xml:space="preserve">2) Add 100 μ L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phenol</w:t>
      </w: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:chloroform</w:t>
      </w:r>
      <w:proofErr w:type="spellEnd"/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(pH 8.0) to the solution in step 1, mix, spin for 5 minutes at 12,000 rpm, then transfer 90 μ l of aqueous phase to each fresh tube. Add 1-2 μ l (</w:t>
      </w: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20 μ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g/ μ l)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tRNA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 xml:space="preserve"> or glycogen and 9 μ l 4M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NaOAC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 xml:space="preserve"> and 350 μ l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EtOH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 xml:space="preserve">, mix well. Spin 10 minutes at 12,000 rpm, 70%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EtOH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 xml:space="preserve"> wash very carefully and remove all liquid. Repeat this wash again. Dry pellet completely.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 xml:space="preserve">3)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Resuspend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 xml:space="preserve"> in </w:t>
      </w: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 xml:space="preserve">20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μl</w:t>
      </w:r>
      <w:proofErr w:type="spellEnd"/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water. &lt;Pause point, can store digested DNA at -20 ° C&gt;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 xml:space="preserve">4) Prepare fresh bisulfite. Dissolve 8.1g of sodium bisulfite (Fisher S654-500) in 16mL of water with slow stirring to avoid aeration. Adjust pH to 5.1 with 10M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NaOH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 xml:space="preserve"> (takes about 0.4mL, 8g/ 20mls</w:t>
      </w: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,</w:t>
      </w:r>
      <w:r w:rsidRPr="00D21D8A">
        <w:rPr>
          <w:rFonts w:ascii="Arial" w:hAnsi="Arial" w:cs="Arial"/>
          <w:b/>
          <w:bCs/>
          <w:color w:val="333333"/>
          <w:sz w:val="22"/>
          <w:szCs w:val="22"/>
        </w:rPr>
        <w:t>freshly</w:t>
      </w:r>
      <w:proofErr w:type="gramEnd"/>
      <w:r w:rsidRPr="00D21D8A">
        <w:rPr>
          <w:rFonts w:ascii="Arial" w:hAnsi="Arial" w:cs="Arial"/>
          <w:b/>
          <w:bCs/>
          <w:color w:val="333333"/>
          <w:sz w:val="22"/>
          <w:szCs w:val="22"/>
        </w:rPr>
        <w:t xml:space="preserve"> prepared </w:t>
      </w:r>
      <w:r w:rsidRPr="00D21D8A">
        <w:rPr>
          <w:rFonts w:ascii="Arial" w:hAnsi="Arial" w:cs="Arial"/>
          <w:color w:val="333333"/>
          <w:sz w:val="22"/>
          <w:szCs w:val="22"/>
        </w:rPr>
        <w:t>). Add 0.66mL of 20mM hydroquinone (0.11g/ 50mls water; Sigma H-9003). Adjust volume to 20mL with water.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•</w:t>
      </w: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  It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takes at least 10 minutes for the sodium bisulfite to dissolve, start preparing sodium bisulfite solution while pellet in step 2 is drying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 xml:space="preserve">5) Heat digested DNA at 97 ° C </w:t>
      </w: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1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minutes in PCR machine. Quench in ice water for 1 minute. Spin down for 2-3 seconds.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 xml:space="preserve">6) Add 1 μ l of 6.3M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NaOH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( </w:t>
      </w:r>
      <w:r w:rsidRPr="00D21D8A">
        <w:rPr>
          <w:rFonts w:ascii="Arial" w:hAnsi="Arial" w:cs="Arial"/>
          <w:b/>
          <w:bCs/>
          <w:color w:val="333333"/>
          <w:sz w:val="22"/>
          <w:szCs w:val="22"/>
        </w:rPr>
        <w:t>freshly</w:t>
      </w:r>
      <w:proofErr w:type="gramEnd"/>
      <w:r w:rsidRPr="00D21D8A">
        <w:rPr>
          <w:rFonts w:ascii="Arial" w:hAnsi="Arial" w:cs="Arial"/>
          <w:b/>
          <w:bCs/>
          <w:color w:val="333333"/>
          <w:sz w:val="22"/>
          <w:szCs w:val="22"/>
        </w:rPr>
        <w:t xml:space="preserve"> prepared </w:t>
      </w:r>
      <w:proofErr w:type="spellStart"/>
      <w:r w:rsidRPr="00D21D8A">
        <w:rPr>
          <w:rFonts w:ascii="Arial" w:hAnsi="Arial" w:cs="Arial"/>
          <w:b/>
          <w:bCs/>
          <w:color w:val="333333"/>
          <w:sz w:val="22"/>
          <w:szCs w:val="22"/>
        </w:rPr>
        <w:t>NaOH</w:t>
      </w:r>
      <w:proofErr w:type="spellEnd"/>
      <w:r w:rsidRPr="00D21D8A">
        <w:rPr>
          <w:rFonts w:ascii="Arial" w:hAnsi="Arial" w:cs="Arial"/>
          <w:b/>
          <w:bCs/>
          <w:color w:val="333333"/>
          <w:sz w:val="22"/>
          <w:szCs w:val="22"/>
        </w:rPr>
        <w:t xml:space="preserve"> from above </w:t>
      </w:r>
      <w:r w:rsidRPr="00D21D8A">
        <w:rPr>
          <w:rFonts w:ascii="Arial" w:hAnsi="Arial" w:cs="Arial"/>
          <w:color w:val="333333"/>
          <w:sz w:val="22"/>
          <w:szCs w:val="22"/>
        </w:rPr>
        <w:t>). Incubate 39 ° C for 30 minutes.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•</w:t>
      </w: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  Add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208 μ l of the bisulfite solution to each denatured DNA. Do this in the PCR machine, so that the denatured DNA is still at 39 ° C. Incubate in PCR machine at 55 ° C for 16 hours, with a jolt to 95 ° C for 5 min every three hours. Store at 4 ° C until ready to proceed the next day.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b/>
          <w:bCs/>
          <w:color w:val="333333"/>
          <w:sz w:val="22"/>
          <w:szCs w:val="22"/>
        </w:rPr>
        <w:t>DAY 2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8) Desalt samples with QIAGEN PCR purification columns. Elute in 100µL EB.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 xml:space="preserve">9) </w:t>
      </w: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Add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6.3M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NaOH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 xml:space="preserve"> (from day 1) to a final concentration of 0.3M (5µL), mix well, incubate at 37 ° C for 15 min.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 xml:space="preserve">10) Add 33µL 10M NH 4 OAC pH 7.0 to a final concentration of 3M, add 1-2 μ l of (20 μ g/ μ l)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tRNA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 xml:space="preserve"> or glycogen, and 342µL (=3 volumes) 100% </w:t>
      </w:r>
      <w:proofErr w:type="spellStart"/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EtOH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 xml:space="preserve"> .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Spin 15 min for 13,000 rpm, 70% wash and dry pellet.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Resuspend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 xml:space="preserve"> in </w:t>
      </w: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100 μ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l of QIAGEN EB or TE/H20. Use </w:t>
      </w: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2 μ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l for each PCR reaction.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b/>
          <w:bCs/>
          <w:color w:val="333333"/>
          <w:sz w:val="22"/>
          <w:szCs w:val="22"/>
        </w:rPr>
        <w:t>Note: </w:t>
      </w:r>
      <w:r w:rsidRPr="00D21D8A">
        <w:rPr>
          <w:rFonts w:ascii="Arial" w:hAnsi="Arial" w:cs="Arial"/>
          <w:color w:val="333333"/>
          <w:sz w:val="22"/>
          <w:szCs w:val="22"/>
        </w:rPr>
        <w:t xml:space="preserve">The most critical aspect of the protocol is complete denaturation of the genomic DNA so that the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bisulphite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 xml:space="preserve"> conversion is complete. This means that the enzyme digestion should be complete, and the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denatuation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 xml:space="preserve"> steps done carefully. Make sure there is no salt in the DNA for the 97 ° C denaturation step.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b/>
          <w:bCs/>
          <w:color w:val="333333"/>
          <w:sz w:val="22"/>
          <w:szCs w:val="22"/>
        </w:rPr>
        <w:t>PCR </w:t>
      </w:r>
      <w:r w:rsidRPr="00D21D8A">
        <w:rPr>
          <w:rFonts w:ascii="Arial" w:hAnsi="Arial" w:cs="Arial"/>
          <w:color w:val="333333"/>
          <w:sz w:val="22"/>
          <w:szCs w:val="22"/>
        </w:rPr>
        <w:t>based on Brain Research Protocols 2000 5:167-171 with changes.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b/>
          <w:bCs/>
          <w:color w:val="333333"/>
          <w:sz w:val="22"/>
          <w:szCs w:val="22"/>
        </w:rPr>
        <w:t>FOLLOW EXACTLY</w:t>
      </w:r>
      <w:proofErr w:type="gramStart"/>
      <w:r w:rsidRPr="00D21D8A">
        <w:rPr>
          <w:rFonts w:ascii="Arial" w:hAnsi="Arial" w:cs="Arial"/>
          <w:b/>
          <w:bCs/>
          <w:color w:val="333333"/>
          <w:sz w:val="22"/>
          <w:szCs w:val="22"/>
        </w:rPr>
        <w:t>!!!!</w:t>
      </w:r>
      <w:proofErr w:type="gramEnd"/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 xml:space="preserve">Use Takara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ExTaq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>.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2 µl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bisulfite treated DNA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4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µl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dNTPs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 xml:space="preserve"> (2.5mM each)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5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µl 10X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ExTaq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 xml:space="preserve"> buffer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1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µl reverse primer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38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µl H20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1) 95 ° C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5min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lastRenderedPageBreak/>
        <w:t>add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1µl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ExTaq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 xml:space="preserve"> (5U)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2) 95 ° C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20secs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3) 60 ° C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3min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4) 72 ° C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3min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 xml:space="preserve">5) </w:t>
      </w: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run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5 cycles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Add 1µl forward primer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6) 95 ° C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20secs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7) 60 ° C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1.5 min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8) 72 ° C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2min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 xml:space="preserve">9) </w:t>
      </w: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run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10 cycles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10) 95 ° C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20secs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11) 50 ° C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1.5 min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12) 72 ° C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2 min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 xml:space="preserve">13) </w:t>
      </w: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run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30 cycles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14) 72 ° C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5min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15) 4 ° C forever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Do not run PCR for more cycles than indicated, as this leads to sibling clone problems.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Gel purify PCR product and clone with Invitrogen TOPO TA kit (or your cloning kit for sequencing of choice). Sequence – aim for about 20 for each biological sample to get reasonable values for methylation.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Bisulfite primer design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I start out by differentially highlighting the C’s in my region of interest (for example, make all</w:t>
      </w:r>
      <w:r w:rsidR="0051093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CNN,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make all</w:t>
      </w:r>
      <w:r w:rsidR="00510935">
        <w:rPr>
          <w:rFonts w:ascii="Arial" w:hAnsi="Arial" w:cs="Arial"/>
          <w:color w:val="333333"/>
          <w:sz w:val="22"/>
          <w:szCs w:val="22"/>
        </w:rPr>
        <w:t xml:space="preserve"> CG and all C</w:t>
      </w:r>
      <w:r w:rsidRPr="00D21D8A">
        <w:rPr>
          <w:rFonts w:ascii="Arial" w:hAnsi="Arial" w:cs="Arial"/>
          <w:color w:val="333333"/>
          <w:sz w:val="22"/>
          <w:szCs w:val="22"/>
        </w:rPr>
        <w:t xml:space="preserve">NG). This makes it easier </w:t>
      </w: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 xml:space="preserve">to visually </w:t>
      </w:r>
      <w:bookmarkStart w:id="0" w:name="_GoBack"/>
      <w:bookmarkEnd w:id="0"/>
      <w:r w:rsidRPr="00D21D8A">
        <w:rPr>
          <w:rFonts w:ascii="Arial" w:hAnsi="Arial" w:cs="Arial"/>
          <w:color w:val="333333"/>
          <w:sz w:val="22"/>
          <w:szCs w:val="22"/>
        </w:rPr>
        <w:t>pick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out regions that might be good for primer design. Design primers according to the rules below. Try to keep product to &lt;500bp (smaller PCR products generally amplify better than large ones). Remember, after bisulfate conversion, the two strands of DNA will no longer be complementary (converted Cs, now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Ts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>, will no longer be able to base pair with the G on the other strand). You have to treat each strand on its own for PCR primer design.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b/>
          <w:bCs/>
          <w:color w:val="333333"/>
          <w:sz w:val="22"/>
          <w:szCs w:val="22"/>
        </w:rPr>
        <w:t>• Forward (top strand) primer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1) Criteria for good primer: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– Find G-rich region.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– Minimal number of CGs or CNGs to reduce degeneracy in the primer.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 xml:space="preserve">– Look for two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asymmetrics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 xml:space="preserve"> Cs very close </w:t>
      </w: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to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the 3′ end (at least 2 in the last five nucleotides) and make one of these the last nucleotide in your primer; this will select for converted DNAs. Ideally, your primer will have two asymmetric Cs right at the end.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 xml:space="preserve">– If possible, avoid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polyT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 xml:space="preserve"> and </w:t>
      </w: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A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runs near the 3′ end i.e. include some G. This will prevent amplification of simple sequences (and primer dimer with similar sequences in bottom strand primer).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 xml:space="preserve">2) Convert Cs to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Ts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 xml:space="preserve">. Convert Cs in CG or CNG context to Ys (i.e. C or T). Try to avoid having more than </w:t>
      </w: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3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degeneracies per primer. Fewer is better.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 xml:space="preserve">3) Adjust the length so the Tm is above 65 degrees. If </w:t>
      </w: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it’s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impossible to meet the rules about CGs,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asymmetrics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 xml:space="preserve"> at the end, and some </w:t>
      </w:r>
      <w:proofErr w:type="spellStart"/>
      <w:r w:rsidRPr="00D21D8A">
        <w:rPr>
          <w:rFonts w:ascii="Arial" w:hAnsi="Arial" w:cs="Arial"/>
          <w:color w:val="333333"/>
          <w:sz w:val="22"/>
          <w:szCs w:val="22"/>
        </w:rPr>
        <w:t>Gs</w:t>
      </w:r>
      <w:proofErr w:type="spellEnd"/>
      <w:r w:rsidRPr="00D21D8A">
        <w:rPr>
          <w:rFonts w:ascii="Arial" w:hAnsi="Arial" w:cs="Arial"/>
          <w:color w:val="333333"/>
          <w:sz w:val="22"/>
          <w:szCs w:val="22"/>
        </w:rPr>
        <w:t xml:space="preserve"> near the end, look for another region for your primer.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b/>
          <w:bCs/>
          <w:color w:val="333333"/>
          <w:sz w:val="22"/>
          <w:szCs w:val="22"/>
        </w:rPr>
        <w:t>Reverse (for the top strand) primer (use first in bisulfite PCR reaction)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 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4) Criteria for good primer:</w:t>
      </w:r>
    </w:p>
    <w:p w:rsidR="00D21D8A" w:rsidRPr="00D21D8A" w:rsidRDefault="00D21D8A" w:rsidP="00D21D8A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>– Same criteria as above, pick a suitable region and reverse complement it to make your reverse primer</w:t>
      </w:r>
    </w:p>
    <w:p w:rsidR="00C96C32" w:rsidRPr="00D21D8A" w:rsidRDefault="00D21D8A" w:rsidP="00D21D8A">
      <w:pPr>
        <w:shd w:val="clear" w:color="auto" w:fill="FFFFFF"/>
        <w:rPr>
          <w:rFonts w:ascii="Arial" w:hAnsi="Arial" w:cs="Arial"/>
          <w:sz w:val="22"/>
          <w:szCs w:val="22"/>
        </w:rPr>
      </w:pPr>
      <w:r w:rsidRPr="00D21D8A">
        <w:rPr>
          <w:rFonts w:ascii="Arial" w:hAnsi="Arial" w:cs="Arial"/>
          <w:color w:val="333333"/>
          <w:sz w:val="22"/>
          <w:szCs w:val="22"/>
        </w:rPr>
        <w:t xml:space="preserve">– If you must include a degeneracy in your primer, the base complimentary to the C in the CG or CNG context becomes an “R” in your </w:t>
      </w:r>
      <w:proofErr w:type="gramStart"/>
      <w:r w:rsidRPr="00D21D8A">
        <w:rPr>
          <w:rFonts w:ascii="Arial" w:hAnsi="Arial" w:cs="Arial"/>
          <w:color w:val="333333"/>
          <w:sz w:val="22"/>
          <w:szCs w:val="22"/>
        </w:rPr>
        <w:t>revere complemented</w:t>
      </w:r>
      <w:proofErr w:type="gramEnd"/>
      <w:r w:rsidRPr="00D21D8A">
        <w:rPr>
          <w:rFonts w:ascii="Arial" w:hAnsi="Arial" w:cs="Arial"/>
          <w:color w:val="333333"/>
          <w:sz w:val="22"/>
          <w:szCs w:val="22"/>
        </w:rPr>
        <w:t xml:space="preserve"> primer. See example below</w:t>
      </w:r>
    </w:p>
    <w:sectPr w:rsidR="00C96C32" w:rsidRPr="00D21D8A" w:rsidSect="00D21D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8A"/>
    <w:rsid w:val="00510935"/>
    <w:rsid w:val="00C96C32"/>
    <w:rsid w:val="00D2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4BE36"/>
  <w15:chartTrackingRefBased/>
  <w15:docId w15:val="{D917D79E-A24F-4496-8816-F234C8EE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21D8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D8A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21D8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21D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5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9508">
          <w:marLeft w:val="0"/>
          <w:marRight w:val="0"/>
          <w:marTop w:val="4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68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36559">
                          <w:marLeft w:val="-375"/>
                          <w:marRight w:val="-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7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71794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93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903DCACF.dotm</Template>
  <TotalTime>4</TotalTime>
  <Pages>2</Pages>
  <Words>805</Words>
  <Characters>4594</Characters>
  <Application>Microsoft Office Word</Application>
  <DocSecurity>0</DocSecurity>
  <Lines>38</Lines>
  <Paragraphs>10</Paragraphs>
  <ScaleCrop>false</ScaleCrop>
  <Company>MCHS</Company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2018-11-14T16:54:00Z</dcterms:created>
  <dcterms:modified xsi:type="dcterms:W3CDTF">2018-11-14T16:58:00Z</dcterms:modified>
</cp:coreProperties>
</file>