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7A" w:rsidRDefault="002C2F7A" w:rsidP="00DB7291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8"/>
        </w:rPr>
        <w:t>Shicheng Guo</w:t>
      </w:r>
      <w:r>
        <w:rPr>
          <w:rFonts w:ascii="Tahoma" w:hAnsi="Tahoma"/>
          <w:b/>
          <w:sz w:val="22"/>
        </w:rPr>
        <w:t xml:space="preserve"> </w:t>
      </w:r>
    </w:p>
    <w:p w:rsidR="002C2F7A" w:rsidRPr="00B6411B" w:rsidRDefault="002C2F7A" w:rsidP="002C2F7A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Center for Precision Medicine, Marshfield Clinic Research Institute</w:t>
      </w:r>
    </w:p>
    <w:p w:rsidR="00DB7291" w:rsidRPr="004B2BDA" w:rsidRDefault="00DB7291" w:rsidP="00DB7291">
      <w:pPr>
        <w:rPr>
          <w:rFonts w:ascii="Tahoma" w:hAnsi="Tahoma"/>
          <w:sz w:val="22"/>
        </w:rPr>
      </w:pPr>
    </w:p>
    <w:p w:rsidR="00DB7291" w:rsidRPr="00CC7B2C" w:rsidRDefault="002C2F7A" w:rsidP="002C2F7A">
      <w:pPr>
        <w:pBdr>
          <w:top w:val="single" w:sz="24" w:space="1" w:color="7B7B7B" w:themeColor="accent3" w:themeShade="BF"/>
          <w:bottom w:val="single" w:sz="24" w:space="1" w:color="7B7B7B" w:themeColor="accent3" w:themeShade="BF"/>
        </w:pBdr>
        <w:jc w:val="center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C</w:t>
      </w:r>
      <w:r w:rsidRPr="00B5794B">
        <w:rPr>
          <w:rFonts w:ascii="Tahoma" w:hAnsi="Tahoma"/>
          <w:b/>
          <w:sz w:val="28"/>
          <w:szCs w:val="28"/>
        </w:rPr>
        <w:t>irculating cell-free DNA based low-pass genome-wide bisulfite sequencing aids non-invasive surveillance to Hepatocellular carcinoma</w:t>
      </w:r>
    </w:p>
    <w:p w:rsidR="00524ED5" w:rsidRPr="00D94D14" w:rsidRDefault="00375C7E" w:rsidP="00524ED5">
      <w:pPr>
        <w:spacing w:before="240"/>
        <w:rPr>
          <w:rFonts w:ascii="Arial" w:hAnsi="Arial" w:cs="Arial"/>
          <w:sz w:val="22"/>
        </w:rPr>
      </w:pPr>
      <w:r w:rsidRPr="00746C5A">
        <w:rPr>
          <w:rFonts w:ascii="Arial" w:hAnsi="Arial" w:cs="Arial"/>
          <w:b/>
          <w:color w:val="000000" w:themeColor="text1"/>
          <w:sz w:val="22"/>
        </w:rPr>
        <w:t>Shicheng Guo</w:t>
      </w:r>
      <w:r w:rsidRPr="00375C7E">
        <w:rPr>
          <w:rFonts w:ascii="Arial" w:hAnsi="Arial" w:cs="Arial"/>
          <w:color w:val="000000" w:themeColor="text1"/>
          <w:sz w:val="22"/>
          <w:vertAlign w:val="superscript"/>
        </w:rPr>
        <w:t>1</w:t>
      </w:r>
      <w:r>
        <w:rPr>
          <w:rFonts w:ascii="Arial" w:hAnsi="Arial" w:cs="Arial"/>
          <w:color w:val="000000" w:themeColor="text1"/>
          <w:sz w:val="22"/>
          <w:vertAlign w:val="superscript"/>
        </w:rPr>
        <w:t>#</w:t>
      </w:r>
      <w:r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color w:val="000000" w:themeColor="text1"/>
          <w:sz w:val="22"/>
        </w:rPr>
        <w:t>Haikun</w:t>
      </w:r>
      <w:proofErr w:type="spellEnd"/>
      <w:r w:rsidR="00524ED5" w:rsidRPr="00D94D14">
        <w:rPr>
          <w:rFonts w:ascii="Arial" w:hAnsi="Arial" w:cs="Arial"/>
          <w:color w:val="000000" w:themeColor="text1"/>
          <w:sz w:val="22"/>
        </w:rPr>
        <w:t xml:space="preserve"> Zhang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  <w:vertAlign w:val="superscript"/>
        </w:rPr>
        <w:t>#</w:t>
      </w:r>
      <w:r w:rsidR="00524ED5" w:rsidRPr="00D94D14"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color w:val="000000" w:themeColor="text1"/>
          <w:sz w:val="22"/>
        </w:rPr>
        <w:t>Peiling</w:t>
      </w:r>
      <w:proofErr w:type="spellEnd"/>
      <w:r w:rsidR="00524ED5" w:rsidRPr="00D94D14">
        <w:rPr>
          <w:rFonts w:ascii="Arial" w:hAnsi="Arial" w:cs="Arial"/>
          <w:color w:val="000000" w:themeColor="text1"/>
          <w:sz w:val="22"/>
        </w:rPr>
        <w:t xml:space="preserve"> Dong</w:t>
      </w:r>
      <w:r>
        <w:rPr>
          <w:rFonts w:ascii="Arial" w:hAnsi="Arial" w:cs="Arial"/>
          <w:color w:val="000000" w:themeColor="text1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  <w:vertAlign w:val="superscript"/>
        </w:rPr>
        <w:t>#</w:t>
      </w:r>
      <w:r w:rsidR="00524ED5" w:rsidRPr="00D94D14">
        <w:rPr>
          <w:rFonts w:ascii="Arial" w:hAnsi="Arial" w:cs="Arial"/>
          <w:color w:val="000000" w:themeColor="text1"/>
          <w:sz w:val="22"/>
        </w:rPr>
        <w:t>,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="00524ED5" w:rsidRPr="00D94D14">
        <w:rPr>
          <w:rFonts w:ascii="Arial" w:hAnsi="Arial" w:cs="Arial"/>
          <w:sz w:val="22"/>
        </w:rPr>
        <w:t>Chengcheng</w:t>
      </w:r>
      <w:proofErr w:type="spellEnd"/>
      <w:r w:rsidR="00524ED5" w:rsidRPr="00D94D14">
        <w:rPr>
          <w:rFonts w:ascii="Arial" w:hAnsi="Arial" w:cs="Arial"/>
          <w:sz w:val="22"/>
        </w:rPr>
        <w:t xml:space="preserve"> Tao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sz w:val="22"/>
        </w:rPr>
        <w:t>Wenmin</w:t>
      </w:r>
      <w:proofErr w:type="spellEnd"/>
      <w:r w:rsidR="00524ED5" w:rsidRPr="00D94D14">
        <w:rPr>
          <w:rFonts w:ascii="Arial" w:hAnsi="Arial" w:cs="Arial"/>
          <w:sz w:val="22"/>
        </w:rPr>
        <w:t xml:space="preserve"> Zhao</w:t>
      </w:r>
      <w:r>
        <w:rPr>
          <w:rFonts w:ascii="Arial" w:hAnsi="Arial" w:cs="Arial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sz w:val="22"/>
        </w:rPr>
        <w:t>Jiakang</w:t>
      </w:r>
      <w:proofErr w:type="spellEnd"/>
      <w:r w:rsidR="00524ED5" w:rsidRPr="00D94D14">
        <w:rPr>
          <w:rFonts w:ascii="Arial" w:hAnsi="Arial" w:cs="Arial"/>
          <w:sz w:val="22"/>
        </w:rPr>
        <w:t xml:space="preserve"> Wang</w:t>
      </w:r>
      <w:r w:rsidR="00524ED5" w:rsidRPr="00D94D14">
        <w:rPr>
          <w:rFonts w:ascii="Arial" w:hAnsi="Arial" w:cs="Arial"/>
          <w:color w:val="000000" w:themeColor="text1"/>
          <w:sz w:val="22"/>
          <w:vertAlign w:val="superscript"/>
        </w:rPr>
        <w:t>4</w:t>
      </w:r>
      <w:r w:rsidR="00524ED5">
        <w:rPr>
          <w:rFonts w:ascii="Arial" w:hAnsi="Arial" w:cs="Arial"/>
          <w:sz w:val="22"/>
        </w:rPr>
        <w:t xml:space="preserve">, </w:t>
      </w:r>
      <w:r w:rsidR="00524ED5" w:rsidRPr="00D94D14">
        <w:rPr>
          <w:rFonts w:ascii="Arial" w:hAnsi="Arial" w:cs="Arial"/>
          <w:sz w:val="22"/>
        </w:rPr>
        <w:t>Ramsey Cheung</w:t>
      </w:r>
      <w:r w:rsidR="00524ED5" w:rsidRPr="00D94D14">
        <w:rPr>
          <w:rFonts w:ascii="Arial" w:hAnsi="Arial" w:cs="Arial"/>
          <w:sz w:val="22"/>
          <w:vertAlign w:val="superscript"/>
        </w:rPr>
        <w:t>5</w:t>
      </w:r>
      <w:r w:rsidR="00524ED5" w:rsidRPr="00D94D14">
        <w:rPr>
          <w:rFonts w:ascii="Arial" w:hAnsi="Arial" w:cs="Arial"/>
          <w:sz w:val="22"/>
        </w:rPr>
        <w:t xml:space="preserve">, </w:t>
      </w:r>
      <w:r w:rsidR="00524ED5" w:rsidRPr="00D94D14">
        <w:rPr>
          <w:rFonts w:ascii="Arial" w:hAnsi="Arial" w:cs="Arial"/>
          <w:color w:val="000000" w:themeColor="text1"/>
          <w:sz w:val="22"/>
        </w:rPr>
        <w:t>Augusto Villanueva</w:t>
      </w:r>
      <w:r w:rsidR="00524ED5" w:rsidRPr="00D94D14">
        <w:rPr>
          <w:rFonts w:ascii="Arial" w:hAnsi="Arial" w:cs="Arial"/>
          <w:color w:val="000000" w:themeColor="text1"/>
          <w:sz w:val="22"/>
          <w:vertAlign w:val="superscript"/>
        </w:rPr>
        <w:t>6</w:t>
      </w:r>
      <w:r w:rsidR="00524ED5" w:rsidRPr="00D94D14">
        <w:rPr>
          <w:rFonts w:ascii="Arial" w:hAnsi="Arial" w:cs="Arial"/>
          <w:color w:val="000000" w:themeColor="text1"/>
          <w:sz w:val="22"/>
        </w:rPr>
        <w:t>,</w:t>
      </w:r>
      <w:r w:rsidR="00524ED5">
        <w:rPr>
          <w:rFonts w:ascii="Arial" w:hAnsi="Arial" w:cs="Arial"/>
          <w:color w:val="000000" w:themeColor="text1"/>
          <w:sz w:val="22"/>
        </w:rPr>
        <w:t xml:space="preserve"> </w:t>
      </w:r>
      <w:r w:rsidR="00524ED5" w:rsidRPr="002E26D0">
        <w:rPr>
          <w:rFonts w:ascii="Arial" w:hAnsi="Arial" w:cs="Arial"/>
          <w:b/>
          <w:sz w:val="22"/>
        </w:rPr>
        <w:t>Steven J. Schrodi</w:t>
      </w:r>
      <w:r>
        <w:rPr>
          <w:rFonts w:ascii="Arial" w:hAnsi="Arial" w:cs="Arial"/>
          <w:sz w:val="22"/>
          <w:vertAlign w:val="superscript"/>
        </w:rPr>
        <w:t>1</w:t>
      </w:r>
      <w:r w:rsidR="00524ED5" w:rsidRPr="00D94D14">
        <w:rPr>
          <w:rFonts w:ascii="Arial" w:hAnsi="Arial" w:cs="Arial"/>
          <w:sz w:val="22"/>
          <w:vertAlign w:val="superscript"/>
        </w:rPr>
        <w:t>,7</w:t>
      </w:r>
      <w:r>
        <w:rPr>
          <w:rFonts w:ascii="Arial" w:hAnsi="Arial" w:cs="Arial"/>
          <w:sz w:val="22"/>
          <w:vertAlign w:val="superscript"/>
        </w:rPr>
        <w:t>,8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  <w:r w:rsidR="00524ED5" w:rsidRPr="00D94D14">
        <w:rPr>
          <w:rFonts w:ascii="Arial" w:hAnsi="Arial" w:cs="Arial"/>
          <w:sz w:val="22"/>
        </w:rPr>
        <w:t>, Dake Zhang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  <w:r w:rsidR="00524ED5">
        <w:rPr>
          <w:rFonts w:ascii="Arial" w:hAnsi="Arial" w:cs="Arial"/>
          <w:sz w:val="22"/>
        </w:rPr>
        <w:t xml:space="preserve">, </w:t>
      </w:r>
      <w:proofErr w:type="spellStart"/>
      <w:r w:rsidR="00524ED5">
        <w:rPr>
          <w:rFonts w:ascii="Arial" w:hAnsi="Arial" w:cs="Arial"/>
          <w:sz w:val="22"/>
        </w:rPr>
        <w:t>Cha</w:t>
      </w:r>
      <w:r w:rsidR="00524ED5" w:rsidRPr="00D94D14">
        <w:rPr>
          <w:rFonts w:ascii="Arial" w:hAnsi="Arial" w:cs="Arial"/>
          <w:sz w:val="22"/>
        </w:rPr>
        <w:t>ngqing</w:t>
      </w:r>
      <w:proofErr w:type="spellEnd"/>
      <w:r w:rsidR="00524ED5" w:rsidRPr="00D94D14">
        <w:rPr>
          <w:rFonts w:ascii="Arial" w:hAnsi="Arial" w:cs="Arial"/>
          <w:sz w:val="22"/>
        </w:rPr>
        <w:t xml:space="preserve"> Zeng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</w:p>
    <w:p w:rsidR="00524ED5" w:rsidRDefault="00375C7E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  <w:vertAlign w:val="superscript"/>
        </w:rPr>
        <w:t>1</w:t>
      </w:r>
      <w:r w:rsidRPr="00D94D14">
        <w:rPr>
          <w:rFonts w:ascii="Arial" w:hAnsi="Arial" w:cs="Arial"/>
          <w:sz w:val="22"/>
        </w:rPr>
        <w:t>Center for Precision Medicine Research, Marshfield Clinic Research Institute, Marshfield, WI, USA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</w:rPr>
        <w:t>Key Laboratory of Genomic and Precision Medicine, Beijing Institute of Genomics, Chinese Academy of Sciences, Beijing, 100101, China</w:t>
      </w:r>
      <w:r w:rsidR="00524ED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</w:rPr>
        <w:t xml:space="preserve">Department of </w:t>
      </w:r>
      <w:proofErr w:type="spellStart"/>
      <w:r w:rsidR="00524ED5" w:rsidRPr="00D94D14">
        <w:rPr>
          <w:rFonts w:ascii="Arial" w:hAnsi="Arial" w:cs="Arial"/>
          <w:sz w:val="22"/>
        </w:rPr>
        <w:t>Hepatology</w:t>
      </w:r>
      <w:proofErr w:type="spellEnd"/>
      <w:r w:rsidR="00524ED5" w:rsidRPr="00D94D14">
        <w:rPr>
          <w:rFonts w:ascii="Arial" w:hAnsi="Arial" w:cs="Arial"/>
          <w:sz w:val="22"/>
        </w:rPr>
        <w:t xml:space="preserve">, Beijing </w:t>
      </w:r>
      <w:proofErr w:type="spellStart"/>
      <w:r w:rsidR="00524ED5" w:rsidRPr="00D94D14">
        <w:rPr>
          <w:rFonts w:ascii="Arial" w:hAnsi="Arial" w:cs="Arial"/>
          <w:sz w:val="22"/>
        </w:rPr>
        <w:t>You’an</w:t>
      </w:r>
      <w:proofErr w:type="spellEnd"/>
      <w:r w:rsidR="00524ED5" w:rsidRPr="00D94D14">
        <w:rPr>
          <w:rFonts w:ascii="Arial" w:hAnsi="Arial" w:cs="Arial"/>
          <w:sz w:val="22"/>
        </w:rPr>
        <w:t xml:space="preserve"> Hospital Affiliated with Capital Medical University, Beijing 100069, China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4</w:t>
      </w:r>
      <w:r w:rsidR="00524ED5" w:rsidRPr="00D94D14">
        <w:rPr>
          <w:rFonts w:ascii="Arial" w:hAnsi="Arial" w:cs="Arial"/>
          <w:sz w:val="22"/>
        </w:rPr>
        <w:t xml:space="preserve">Biology Department, </w:t>
      </w:r>
      <w:proofErr w:type="spellStart"/>
      <w:r w:rsidR="00524ED5" w:rsidRPr="00D94D14">
        <w:rPr>
          <w:rFonts w:ascii="Arial" w:hAnsi="Arial" w:cs="Arial"/>
          <w:sz w:val="22"/>
        </w:rPr>
        <w:t>Stonybrook</w:t>
      </w:r>
      <w:proofErr w:type="spellEnd"/>
      <w:r w:rsidR="00524ED5" w:rsidRPr="00D94D14">
        <w:rPr>
          <w:rFonts w:ascii="Arial" w:hAnsi="Arial" w:cs="Arial"/>
          <w:sz w:val="22"/>
        </w:rPr>
        <w:t xml:space="preserve"> University, </w:t>
      </w:r>
      <w:proofErr w:type="spellStart"/>
      <w:r w:rsidR="00524ED5" w:rsidRPr="00D94D14">
        <w:rPr>
          <w:rFonts w:ascii="Arial" w:hAnsi="Arial" w:cs="Arial"/>
          <w:sz w:val="22"/>
        </w:rPr>
        <w:t>Stonybrook</w:t>
      </w:r>
      <w:proofErr w:type="spellEnd"/>
      <w:r w:rsidR="00524ED5" w:rsidRPr="00D94D14">
        <w:rPr>
          <w:rFonts w:ascii="Arial" w:hAnsi="Arial" w:cs="Arial"/>
          <w:sz w:val="22"/>
        </w:rPr>
        <w:t>, NY,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 xml:space="preserve">5 </w:t>
      </w:r>
      <w:r w:rsidR="00524ED5" w:rsidRPr="00D94D14">
        <w:rPr>
          <w:rFonts w:ascii="Arial" w:hAnsi="Arial" w:cs="Arial"/>
          <w:sz w:val="22"/>
        </w:rPr>
        <w:t xml:space="preserve">Department of Gastroenterology and </w:t>
      </w:r>
      <w:proofErr w:type="spellStart"/>
      <w:r w:rsidR="00524ED5" w:rsidRPr="00D94D14">
        <w:rPr>
          <w:rFonts w:ascii="Arial" w:hAnsi="Arial" w:cs="Arial"/>
          <w:sz w:val="22"/>
        </w:rPr>
        <w:t>Hepatology</w:t>
      </w:r>
      <w:proofErr w:type="spellEnd"/>
      <w:r w:rsidR="00524ED5" w:rsidRPr="00D94D14">
        <w:rPr>
          <w:rFonts w:ascii="Arial" w:hAnsi="Arial" w:cs="Arial"/>
          <w:sz w:val="22"/>
        </w:rPr>
        <w:t>, VA Palo Alto Health Care System and Stanford University, Palo Alto, CA,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6</w:t>
      </w:r>
      <w:r w:rsidR="00524ED5" w:rsidRPr="00D94D14">
        <w:rPr>
          <w:rFonts w:ascii="Arial" w:hAnsi="Arial" w:cs="Arial"/>
          <w:sz w:val="22"/>
        </w:rPr>
        <w:t xml:space="preserve">Liver Cancer Research Program, Division of Liver Diseases, </w:t>
      </w:r>
      <w:proofErr w:type="spellStart"/>
      <w:r w:rsidR="00524ED5" w:rsidRPr="00D94D14">
        <w:rPr>
          <w:rFonts w:ascii="Arial" w:hAnsi="Arial" w:cs="Arial"/>
          <w:sz w:val="22"/>
        </w:rPr>
        <w:t>Tisch</w:t>
      </w:r>
      <w:proofErr w:type="spellEnd"/>
      <w:r w:rsidR="00524ED5" w:rsidRPr="00D94D14">
        <w:rPr>
          <w:rFonts w:ascii="Arial" w:hAnsi="Arial" w:cs="Arial"/>
          <w:sz w:val="22"/>
        </w:rPr>
        <w:t xml:space="preserve"> Cancer Institute, Department of Medicine, Icahn School of Medicine at Mount Sinai, New York, NY,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7</w:t>
      </w:r>
      <w:r w:rsidR="00524ED5" w:rsidRPr="00D94D14">
        <w:rPr>
          <w:rFonts w:ascii="Arial" w:hAnsi="Arial" w:cs="Arial"/>
          <w:sz w:val="22"/>
        </w:rPr>
        <w:t>Computation and Informatics in Biology and Medicine, University of Wisconsin-Madison, Madison, WI,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8</w:t>
      </w:r>
      <w:r w:rsidR="00251BA4">
        <w:rPr>
          <w:rFonts w:ascii="Arial" w:hAnsi="Arial" w:cs="Arial"/>
          <w:sz w:val="22"/>
          <w:szCs w:val="22"/>
        </w:rPr>
        <w:t xml:space="preserve"> </w:t>
      </w:r>
      <w:r w:rsidR="00251BA4" w:rsidRPr="003C635F">
        <w:rPr>
          <w:rFonts w:ascii="Arial" w:hAnsi="Arial" w:cs="Arial"/>
          <w:sz w:val="22"/>
          <w:szCs w:val="22"/>
        </w:rPr>
        <w:t>Department of Medical Genetics, School of Medicine and Public Health, University of Wisconsin-Madison, Madison, WI, USA</w:t>
      </w:r>
      <w:proofErr w:type="gramEnd"/>
    </w:p>
    <w:p w:rsidR="00524ED5" w:rsidRPr="00D94D14" w:rsidRDefault="00497D43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#</w:t>
      </w:r>
      <w:proofErr w:type="gramStart"/>
      <w:r w:rsidR="00524ED5" w:rsidRPr="00D94D14">
        <w:rPr>
          <w:rFonts w:ascii="Arial" w:hAnsi="Arial" w:cs="Arial"/>
          <w:sz w:val="22"/>
        </w:rPr>
        <w:t>These</w:t>
      </w:r>
      <w:proofErr w:type="gramEnd"/>
      <w:r w:rsidR="00524ED5" w:rsidRPr="00D94D14">
        <w:rPr>
          <w:rFonts w:ascii="Arial" w:hAnsi="Arial" w:cs="Arial"/>
          <w:sz w:val="22"/>
        </w:rPr>
        <w:t xml:space="preserve"> authors contributed equally to this work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</w:rPr>
        <w:t>* Corresponding Author</w:t>
      </w:r>
    </w:p>
    <w:p w:rsidR="002041A0" w:rsidRPr="007E29ED" w:rsidRDefault="002041A0" w:rsidP="002041A0">
      <w:pPr>
        <w:spacing w:before="240"/>
        <w:jc w:val="both"/>
        <w:rPr>
          <w:rFonts w:ascii="Arial" w:hAnsi="Arial" w:cs="Arial"/>
          <w:sz w:val="22"/>
        </w:rPr>
      </w:pPr>
      <w:r w:rsidRPr="002041A0">
        <w:rPr>
          <w:rFonts w:ascii="Arial" w:hAnsi="Arial" w:cs="Arial"/>
          <w:sz w:val="22"/>
        </w:rPr>
        <w:t xml:space="preserve">Circulating cell-free DNA </w:t>
      </w:r>
      <w:proofErr w:type="gramStart"/>
      <w:r w:rsidRPr="002041A0">
        <w:rPr>
          <w:rFonts w:ascii="Arial" w:hAnsi="Arial" w:cs="Arial"/>
          <w:sz w:val="22"/>
        </w:rPr>
        <w:t>has been demonstrated</w:t>
      </w:r>
      <w:proofErr w:type="gramEnd"/>
      <w:r w:rsidRPr="002041A0">
        <w:rPr>
          <w:rFonts w:ascii="Arial" w:hAnsi="Arial" w:cs="Arial"/>
          <w:sz w:val="22"/>
        </w:rPr>
        <w:t xml:space="preserve"> to provide a pro</w:t>
      </w:r>
      <w:bookmarkStart w:id="0" w:name="_GoBack"/>
      <w:bookmarkEnd w:id="0"/>
      <w:r w:rsidRPr="002041A0">
        <w:rPr>
          <w:rFonts w:ascii="Arial" w:hAnsi="Arial" w:cs="Arial"/>
          <w:sz w:val="22"/>
        </w:rPr>
        <w:t xml:space="preserve">mising opportunity for non-invasive cancer diagnosis. DNA methylation in circulating cell-free DNA has exhibited particularly promising signals for cancer diagnosis and tissue-of-origin mapping. It is now </w:t>
      </w:r>
      <w:proofErr w:type="gramStart"/>
      <w:r w:rsidRPr="002041A0">
        <w:rPr>
          <w:rFonts w:ascii="Arial" w:hAnsi="Arial" w:cs="Arial"/>
          <w:sz w:val="22"/>
        </w:rPr>
        <w:t>well-recognized</w:t>
      </w:r>
      <w:proofErr w:type="gramEnd"/>
      <w:r w:rsidRPr="002041A0">
        <w:rPr>
          <w:rFonts w:ascii="Arial" w:hAnsi="Arial" w:cs="Arial"/>
          <w:sz w:val="22"/>
        </w:rPr>
        <w:t xml:space="preserve"> that genome-wide DNA hypo-methylation is a hallmark feature of the human cancer genome and therefore may be usefully applied to cell-free DNA-based cancer diagnosis. However, the amount of circulating cell-free DNA is typically too limited for interrogation with conventional high-depth/coverage genome-wide bisulfite sequencing (WGBS). </w:t>
      </w:r>
      <w:r w:rsidRPr="007E29ED">
        <w:rPr>
          <w:rFonts w:ascii="Arial" w:hAnsi="Arial" w:cs="Arial"/>
          <w:sz w:val="22"/>
        </w:rPr>
        <w:t>Here we proposed a novel method in which we utilized long-region methylation (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) in low-pass WGBS data (~5 million reads) generated from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to detect methylation changes. We applied the method to investigate dynamic methylation changes in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from blood samples of patients with hepatitis, cirrhosis, early and advanced hepatocellular carcinoma (HCC). We found a significant enrichment of differential methylation loci in intergenic and repeat regions, especially </w:t>
      </w:r>
      <w:proofErr w:type="gramStart"/>
      <w:r w:rsidRPr="007E29ED">
        <w:rPr>
          <w:rFonts w:ascii="Arial" w:hAnsi="Arial" w:cs="Arial"/>
          <w:sz w:val="22"/>
        </w:rPr>
        <w:t>in</w:t>
      </w:r>
      <w:proofErr w:type="gramEnd"/>
      <w:r w:rsidRPr="007E29ED">
        <w:rPr>
          <w:rFonts w:ascii="Arial" w:hAnsi="Arial" w:cs="Arial"/>
          <w:sz w:val="22"/>
        </w:rPr>
        <w:t xml:space="preserve"> HBV integration sites. Moreover, methylation profiles nearby HBV integration sites (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) </w:t>
      </w:r>
      <w:proofErr w:type="gramStart"/>
      <w:r w:rsidRPr="007E29ED">
        <w:rPr>
          <w:rFonts w:ascii="Arial" w:hAnsi="Arial" w:cs="Arial"/>
          <w:sz w:val="22"/>
        </w:rPr>
        <w:t>were found</w:t>
      </w:r>
      <w:proofErr w:type="gramEnd"/>
      <w:r w:rsidRPr="007E29ED">
        <w:rPr>
          <w:rFonts w:ascii="Arial" w:hAnsi="Arial" w:cs="Arial"/>
          <w:sz w:val="22"/>
        </w:rPr>
        <w:t xml:space="preserve"> to enhance the prediction performance. Multiple machine </w:t>
      </w:r>
      <w:proofErr w:type="spellStart"/>
      <w:r w:rsidRPr="007E29ED">
        <w:rPr>
          <w:rFonts w:ascii="Arial" w:hAnsi="Arial" w:cs="Arial"/>
          <w:sz w:val="22"/>
        </w:rPr>
        <w:t>learing</w:t>
      </w:r>
      <w:proofErr w:type="spellEnd"/>
      <w:r w:rsidRPr="007E29ED">
        <w:rPr>
          <w:rFonts w:ascii="Arial" w:hAnsi="Arial" w:cs="Arial"/>
          <w:sz w:val="22"/>
        </w:rPr>
        <w:t xml:space="preserve"> models based on 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fragment size (</w:t>
      </w:r>
      <w:proofErr w:type="spellStart"/>
      <w:r w:rsidRPr="007E29ED">
        <w:rPr>
          <w:rFonts w:ascii="Arial" w:hAnsi="Arial" w:cs="Arial"/>
          <w:sz w:val="22"/>
        </w:rPr>
        <w:t>cfDNA</w:t>
      </w:r>
      <w:r w:rsidRPr="007E29ED">
        <w:rPr>
          <w:rFonts w:ascii="Arial" w:hAnsi="Arial" w:cs="Arial"/>
          <w:sz w:val="22"/>
          <w:vertAlign w:val="subscript"/>
        </w:rPr>
        <w:t>size</w:t>
      </w:r>
      <w:proofErr w:type="spellEnd"/>
      <w:r w:rsidRPr="007E29ED">
        <w:rPr>
          <w:rFonts w:ascii="Arial" w:hAnsi="Arial" w:cs="Arial"/>
          <w:sz w:val="22"/>
        </w:rPr>
        <w:t xml:space="preserve">) with five-fold cross-validation demonstrated low-pass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methylation data provided powerful discriminating ability. </w:t>
      </w:r>
      <w:r w:rsidRPr="002041A0">
        <w:rPr>
          <w:rFonts w:ascii="Arial" w:hAnsi="Arial" w:cs="Arial"/>
          <w:sz w:val="22"/>
        </w:rPr>
        <w:t xml:space="preserve">Our study shows that low-pass WGBS provides a stable and powerful diagnostic tool for HCC. Furthermore, our approach enables an evaluation of the efficacy of surgical intervention for HCC. Interestingly, we present evidence of over-representation of differentially methylated </w:t>
      </w:r>
      <w:proofErr w:type="spellStart"/>
      <w:r w:rsidRPr="002041A0">
        <w:rPr>
          <w:rFonts w:ascii="Arial" w:hAnsi="Arial" w:cs="Arial"/>
          <w:sz w:val="22"/>
        </w:rPr>
        <w:t>CpGs</w:t>
      </w:r>
      <w:proofErr w:type="spellEnd"/>
      <w:r w:rsidRPr="002041A0">
        <w:rPr>
          <w:rFonts w:ascii="Arial" w:hAnsi="Arial" w:cs="Arial"/>
          <w:sz w:val="22"/>
        </w:rPr>
        <w:t xml:space="preserve"> in HBV integration regions based on our low-pass WGBS approach, providing additional insights into the mechanisms of HCC molecular pathophysiology and may aid with HCC diagnosis and clinical decisions. Implementation of this approach </w:t>
      </w:r>
      <w:proofErr w:type="gramStart"/>
      <w:r w:rsidRPr="002041A0">
        <w:rPr>
          <w:rFonts w:ascii="Arial" w:hAnsi="Arial" w:cs="Arial"/>
          <w:sz w:val="22"/>
        </w:rPr>
        <w:t>is favored</w:t>
      </w:r>
      <w:proofErr w:type="gramEnd"/>
      <w:r w:rsidRPr="002041A0">
        <w:rPr>
          <w:rFonts w:ascii="Arial" w:hAnsi="Arial" w:cs="Arial"/>
          <w:sz w:val="22"/>
        </w:rPr>
        <w:t xml:space="preserve"> by the low cost compared to conventional techniques. Using machine learning, we show that HBV integration-based DNA methylation in cell-free DNA (</w:t>
      </w:r>
      <w:proofErr w:type="spellStart"/>
      <w:r w:rsidRPr="002041A0">
        <w:rPr>
          <w:rFonts w:ascii="Arial" w:hAnsi="Arial" w:cs="Arial"/>
          <w:sz w:val="22"/>
        </w:rPr>
        <w:t>Methyl</w:t>
      </w:r>
      <w:r w:rsidRPr="00524ED5">
        <w:rPr>
          <w:rFonts w:ascii="Arial" w:hAnsi="Arial" w:cs="Arial"/>
          <w:sz w:val="22"/>
          <w:vertAlign w:val="subscript"/>
        </w:rPr>
        <w:t>HBV</w:t>
      </w:r>
      <w:proofErr w:type="spellEnd"/>
      <w:r w:rsidRPr="002041A0">
        <w:rPr>
          <w:rFonts w:ascii="Arial" w:hAnsi="Arial" w:cs="Arial"/>
          <w:sz w:val="22"/>
        </w:rPr>
        <w:t xml:space="preserve">) exhibited excellent predictive performance in distinguishing HCC from other liver diseases. Finally, using the same data, we introduced cell-free </w:t>
      </w:r>
      <w:proofErr w:type="gramStart"/>
      <w:r w:rsidRPr="002041A0">
        <w:rPr>
          <w:rFonts w:ascii="Arial" w:hAnsi="Arial" w:cs="Arial"/>
          <w:sz w:val="22"/>
        </w:rPr>
        <w:t>DNA fragment size distribution effects</w:t>
      </w:r>
      <w:proofErr w:type="gramEnd"/>
      <w:r w:rsidRPr="002041A0">
        <w:rPr>
          <w:rFonts w:ascii="Arial" w:hAnsi="Arial" w:cs="Arial"/>
          <w:sz w:val="22"/>
        </w:rPr>
        <w:t xml:space="preserve"> into our predictive model yielding a powerful HCC discriminating ability.</w:t>
      </w:r>
    </w:p>
    <w:p w:rsidR="00DB7291" w:rsidRPr="004B2BDA" w:rsidRDefault="00DB7291" w:rsidP="00DB7291">
      <w:pPr>
        <w:rPr>
          <w:rFonts w:ascii="Tahoma" w:hAnsi="Tahoma"/>
          <w:sz w:val="22"/>
        </w:rPr>
      </w:pPr>
    </w:p>
    <w:sectPr w:rsidR="00DB7291" w:rsidRPr="004B2BDA" w:rsidSect="00DB7291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 AMT">
    <w:altName w:val="MS PMincho"/>
    <w:charset w:val="80"/>
    <w:family w:val="roman"/>
    <w:pitch w:val="variable"/>
  </w:font>
  <w:font w:name="DejaVu Sans Mono">
    <w:altName w:val="MS Mincho"/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90D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CE7CB8"/>
    <w:multiLevelType w:val="hybridMultilevel"/>
    <w:tmpl w:val="D6EEE478"/>
    <w:lvl w:ilvl="0" w:tplc="BA70E410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84D"/>
    <w:multiLevelType w:val="hybridMultilevel"/>
    <w:tmpl w:val="D0549D7C"/>
    <w:lvl w:ilvl="0" w:tplc="53D80D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E7F1629"/>
    <w:multiLevelType w:val="hybridMultilevel"/>
    <w:tmpl w:val="E01C445E"/>
    <w:lvl w:ilvl="0" w:tplc="BF06E0DA">
      <w:start w:val="2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95C76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58453D1"/>
    <w:multiLevelType w:val="hybridMultilevel"/>
    <w:tmpl w:val="ACF4B340"/>
    <w:lvl w:ilvl="0" w:tplc="8DDC972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0890DFC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2607D6"/>
    <w:multiLevelType w:val="hybridMultilevel"/>
    <w:tmpl w:val="FE4E9B7C"/>
    <w:lvl w:ilvl="0" w:tplc="FFEE18C8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03"/>
    <w:rsid w:val="001244DD"/>
    <w:rsid w:val="0018216D"/>
    <w:rsid w:val="002041A0"/>
    <w:rsid w:val="00225FBE"/>
    <w:rsid w:val="00251BA4"/>
    <w:rsid w:val="002C2F7A"/>
    <w:rsid w:val="002D61DD"/>
    <w:rsid w:val="002E26D0"/>
    <w:rsid w:val="002E7755"/>
    <w:rsid w:val="00375C7E"/>
    <w:rsid w:val="003C54BA"/>
    <w:rsid w:val="003D4A15"/>
    <w:rsid w:val="004101E8"/>
    <w:rsid w:val="0045657D"/>
    <w:rsid w:val="00462CEB"/>
    <w:rsid w:val="00497D43"/>
    <w:rsid w:val="004D4080"/>
    <w:rsid w:val="004F1819"/>
    <w:rsid w:val="00524ED5"/>
    <w:rsid w:val="00526B38"/>
    <w:rsid w:val="0052715A"/>
    <w:rsid w:val="00612ADD"/>
    <w:rsid w:val="006D16D7"/>
    <w:rsid w:val="0070649E"/>
    <w:rsid w:val="007066A1"/>
    <w:rsid w:val="00746C5A"/>
    <w:rsid w:val="00790EE6"/>
    <w:rsid w:val="007F1B2D"/>
    <w:rsid w:val="0087126B"/>
    <w:rsid w:val="008A1DC4"/>
    <w:rsid w:val="00A0795A"/>
    <w:rsid w:val="00A163A3"/>
    <w:rsid w:val="00A262DC"/>
    <w:rsid w:val="00A43004"/>
    <w:rsid w:val="00A96E68"/>
    <w:rsid w:val="00AA52CA"/>
    <w:rsid w:val="00B30903"/>
    <w:rsid w:val="00B92033"/>
    <w:rsid w:val="00BE3FFB"/>
    <w:rsid w:val="00C50F2A"/>
    <w:rsid w:val="00C75DCB"/>
    <w:rsid w:val="00CC7B2C"/>
    <w:rsid w:val="00DB7291"/>
    <w:rsid w:val="00EC17E8"/>
    <w:rsid w:val="00F07B87"/>
    <w:rsid w:val="00FD37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09CE8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B2BDA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4B2BD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2BDA"/>
    <w:pPr>
      <w:keepNext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B2BDA"/>
    <w:pPr>
      <w:keepNext/>
      <w:ind w:firstLine="720"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B2BDA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4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BDA"/>
    <w:rPr>
      <w:color w:val="0000FF"/>
      <w:u w:val="single"/>
    </w:rPr>
  </w:style>
  <w:style w:type="paragraph" w:styleId="BodyText">
    <w:name w:val="Body Text"/>
    <w:basedOn w:val="Normal"/>
    <w:rsid w:val="004B2BDA"/>
    <w:rPr>
      <w:b/>
      <w:sz w:val="32"/>
    </w:rPr>
  </w:style>
  <w:style w:type="paragraph" w:styleId="BodyTextIndent">
    <w:name w:val="Body Text Indent"/>
    <w:basedOn w:val="Normal"/>
    <w:rsid w:val="004B2BDA"/>
    <w:pPr>
      <w:ind w:firstLine="720"/>
    </w:pPr>
  </w:style>
  <w:style w:type="paragraph" w:styleId="BodyTextIndent2">
    <w:name w:val="Body Text Indent 2"/>
    <w:basedOn w:val="Normal"/>
    <w:semiHidden/>
    <w:unhideWhenUsed/>
    <w:rsid w:val="004B2BDA"/>
    <w:pPr>
      <w:spacing w:after="120" w:line="480" w:lineRule="auto"/>
      <w:ind w:left="360"/>
    </w:pPr>
  </w:style>
  <w:style w:type="character" w:customStyle="1" w:styleId="Heading1Char">
    <w:name w:val="Heading 1 Char"/>
    <w:rsid w:val="004B2BDA"/>
    <w:rPr>
      <w:b/>
      <w:sz w:val="24"/>
    </w:rPr>
  </w:style>
  <w:style w:type="character" w:customStyle="1" w:styleId="Heading2Char">
    <w:name w:val="Heading 2 Char"/>
    <w:rsid w:val="004B2BDA"/>
    <w:rPr>
      <w:b/>
      <w:sz w:val="24"/>
    </w:rPr>
  </w:style>
  <w:style w:type="paragraph" w:customStyle="1" w:styleId="PreformattedText">
    <w:name w:val="Preformatted Text"/>
    <w:basedOn w:val="Normal"/>
    <w:rsid w:val="004B2BDA"/>
    <w:pPr>
      <w:suppressAutoHyphens/>
    </w:pPr>
    <w:rPr>
      <w:rFonts w:ascii="Thorndale AMT" w:eastAsia="DejaVu Sans Mono" w:hAnsi="Thorndale AMT" w:cs="DejaVu Sans Mono"/>
      <w:sz w:val="20"/>
      <w:lang w:eastAsia="ar-SA"/>
    </w:rPr>
  </w:style>
  <w:style w:type="paragraph" w:customStyle="1" w:styleId="NormalLatinTahoma">
    <w:name w:val="Normal + (Latin) Tahoma"/>
    <w:aliases w:val="11 pt"/>
    <w:basedOn w:val="Normal"/>
    <w:rsid w:val="004B2BDA"/>
    <w:pPr>
      <w:ind w:left="634"/>
    </w:pPr>
    <w:rPr>
      <w:rFonts w:ascii="Tahoma" w:hAnsi="Tahoma" w:cs="Tahoma"/>
      <w:sz w:val="22"/>
    </w:rPr>
  </w:style>
  <w:style w:type="paragraph" w:customStyle="1" w:styleId="NormalLeft044">
    <w:name w:val="Normal + Left:  0.44&quot;"/>
    <w:basedOn w:val="Normal"/>
    <w:rsid w:val="004B2BDA"/>
    <w:pPr>
      <w:ind w:left="634"/>
    </w:pPr>
  </w:style>
  <w:style w:type="paragraph" w:customStyle="1" w:styleId="Body">
    <w:name w:val="Body"/>
    <w:rsid w:val="004B2BDA"/>
    <w:rPr>
      <w:rFonts w:ascii="Helvetica" w:eastAsia="ヒラギノ角ゴ Pro W3" w:hAnsi="Helvetica"/>
      <w:color w:val="000000"/>
      <w:sz w:val="24"/>
    </w:rPr>
  </w:style>
  <w:style w:type="paragraph" w:customStyle="1" w:styleId="MediumGrid1-Accent21">
    <w:name w:val="Medium Grid 1 - Accent 21"/>
    <w:basedOn w:val="Normal"/>
    <w:qFormat/>
    <w:rsid w:val="004B2BDA"/>
    <w:pPr>
      <w:ind w:left="720"/>
      <w:contextualSpacing/>
    </w:pPr>
    <w:rPr>
      <w:rFonts w:ascii="Cambria" w:eastAsia="Cambria" w:hAnsi="Cambria"/>
      <w:szCs w:val="24"/>
    </w:rPr>
  </w:style>
  <w:style w:type="paragraph" w:customStyle="1" w:styleId="Default">
    <w:name w:val="Default"/>
    <w:rsid w:val="00A96E6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2B157D07.dotm</Template>
  <TotalTime>0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Lipman, M</vt:lpstr>
    </vt:vector>
  </TitlesOfParts>
  <Manager/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Lipman, M</dc:title>
  <dc:subject/>
  <dc:creator/>
  <cp:keywords/>
  <cp:lastModifiedBy/>
  <cp:revision>1</cp:revision>
  <cp:lastPrinted>2009-10-09T15:44:00Z</cp:lastPrinted>
  <dcterms:created xsi:type="dcterms:W3CDTF">2019-09-23T18:47:00Z</dcterms:created>
  <dcterms:modified xsi:type="dcterms:W3CDTF">2019-09-24T01:20:00Z</dcterms:modified>
</cp:coreProperties>
</file>