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20" w:rsidRPr="009D7920" w:rsidRDefault="009D66B5" w:rsidP="009D7920">
      <w:pPr>
        <w:shd w:val="clear" w:color="auto" w:fill="FFFFFF"/>
        <w:spacing w:before="120" w:after="120" w:line="300" w:lineRule="atLeast"/>
        <w:outlineLvl w:val="0"/>
        <w:rPr>
          <w:rFonts w:ascii="Arial" w:hAnsi="Arial" w:cs="Arial"/>
          <w:b/>
          <w:bCs/>
          <w:color w:val="000000"/>
          <w:kern w:val="36"/>
          <w:sz w:val="22"/>
          <w:szCs w:val="22"/>
        </w:rPr>
      </w:pPr>
      <w:r w:rsidRPr="00153D45">
        <w:rPr>
          <w:rFonts w:ascii="Arial" w:hAnsi="Arial" w:cs="Arial"/>
          <w:b/>
          <w:bCs/>
          <w:color w:val="000000"/>
          <w:kern w:val="36"/>
          <w:sz w:val="22"/>
          <w:szCs w:val="22"/>
        </w:rPr>
        <w:t>Genetic</w:t>
      </w:r>
      <w:r w:rsidR="009D7920" w:rsidRPr="009D7920">
        <w:rPr>
          <w:rFonts w:ascii="Arial" w:hAnsi="Arial" w:cs="Arial"/>
          <w:b/>
          <w:bCs/>
          <w:color w:val="000000"/>
          <w:kern w:val="36"/>
          <w:sz w:val="22"/>
          <w:szCs w:val="22"/>
        </w:rPr>
        <w:t xml:space="preserve"> and </w:t>
      </w:r>
      <w:r w:rsidRPr="00153D45">
        <w:rPr>
          <w:rFonts w:ascii="Arial" w:hAnsi="Arial" w:cs="Arial"/>
          <w:b/>
          <w:bCs/>
          <w:color w:val="000000"/>
          <w:kern w:val="36"/>
          <w:sz w:val="22"/>
          <w:szCs w:val="22"/>
        </w:rPr>
        <w:t>epigenetic</w:t>
      </w:r>
      <w:r w:rsidR="009D7920" w:rsidRPr="009D7920">
        <w:rPr>
          <w:rFonts w:ascii="Arial" w:hAnsi="Arial" w:cs="Arial"/>
          <w:b/>
          <w:bCs/>
          <w:color w:val="000000"/>
          <w:kern w:val="36"/>
          <w:sz w:val="22"/>
          <w:szCs w:val="22"/>
        </w:rPr>
        <w:t xml:space="preserve"> </w:t>
      </w:r>
      <w:r w:rsidR="00C231E0" w:rsidRPr="00153D45">
        <w:rPr>
          <w:rFonts w:ascii="Arial" w:hAnsi="Arial" w:cs="Arial"/>
          <w:b/>
          <w:bCs/>
          <w:color w:val="000000"/>
          <w:kern w:val="36"/>
          <w:sz w:val="22"/>
          <w:szCs w:val="22"/>
        </w:rPr>
        <w:t xml:space="preserve">pathogenesis and mechanisms </w:t>
      </w:r>
      <w:r w:rsidR="009D7920" w:rsidRPr="009D7920">
        <w:rPr>
          <w:rFonts w:ascii="Arial" w:hAnsi="Arial" w:cs="Arial"/>
          <w:b/>
          <w:bCs/>
          <w:color w:val="000000"/>
          <w:kern w:val="36"/>
          <w:sz w:val="22"/>
          <w:szCs w:val="22"/>
        </w:rPr>
        <w:t>of</w:t>
      </w:r>
      <w:r w:rsidRPr="00153D45">
        <w:rPr>
          <w:rFonts w:ascii="Arial" w:hAnsi="Arial" w:cs="Arial"/>
          <w:b/>
          <w:bCs/>
          <w:color w:val="000000"/>
          <w:kern w:val="36"/>
          <w:sz w:val="22"/>
          <w:szCs w:val="22"/>
        </w:rPr>
        <w:t xml:space="preserve"> thyroid cancer</w:t>
      </w:r>
      <w:r w:rsidR="009D7920" w:rsidRPr="009D7920">
        <w:rPr>
          <w:rFonts w:ascii="Arial" w:hAnsi="Arial" w:cs="Arial"/>
          <w:b/>
          <w:bCs/>
          <w:color w:val="000000"/>
          <w:kern w:val="36"/>
          <w:sz w:val="22"/>
          <w:szCs w:val="22"/>
        </w:rPr>
        <w:t>.</w:t>
      </w:r>
    </w:p>
    <w:p w:rsidR="009B703D" w:rsidRPr="00153D45" w:rsidRDefault="009B703D">
      <w:pPr>
        <w:rPr>
          <w:rFonts w:ascii="Arial" w:hAnsi="Arial" w:cs="Arial"/>
          <w:sz w:val="22"/>
          <w:szCs w:val="22"/>
        </w:rPr>
      </w:pPr>
    </w:p>
    <w:p w:rsidR="00C57B92" w:rsidRPr="00153D45" w:rsidRDefault="00C57B92">
      <w:pPr>
        <w:rPr>
          <w:rFonts w:ascii="Arial" w:hAnsi="Arial" w:cs="Arial"/>
          <w:sz w:val="22"/>
          <w:szCs w:val="22"/>
        </w:rPr>
      </w:pPr>
      <w:r w:rsidRPr="00153D45">
        <w:rPr>
          <w:rFonts w:ascii="Arial" w:hAnsi="Arial" w:cs="Arial"/>
          <w:sz w:val="22"/>
          <w:szCs w:val="22"/>
        </w:rPr>
        <w:t>Shicheng Guo</w:t>
      </w:r>
    </w:p>
    <w:p w:rsidR="00C231E0" w:rsidRPr="00153D45" w:rsidRDefault="00C231E0">
      <w:pPr>
        <w:rPr>
          <w:rFonts w:ascii="Arial" w:hAnsi="Arial" w:cs="Arial"/>
          <w:sz w:val="22"/>
          <w:szCs w:val="22"/>
        </w:rPr>
      </w:pPr>
    </w:p>
    <w:p w:rsidR="000726B4" w:rsidRPr="00153D45" w:rsidRDefault="000726B4">
      <w:pPr>
        <w:rPr>
          <w:rFonts w:ascii="Arial" w:hAnsi="Arial" w:cs="Arial"/>
          <w:sz w:val="22"/>
          <w:szCs w:val="22"/>
        </w:rPr>
      </w:pPr>
      <w:r w:rsidRPr="00153D45">
        <w:rPr>
          <w:rFonts w:ascii="Arial" w:hAnsi="Arial" w:cs="Arial"/>
          <w:sz w:val="22"/>
          <w:szCs w:val="22"/>
        </w:rPr>
        <w:t xml:space="preserve">Thyroid cancer is a common endocrine malignancy. There has been exciting progress in understanding its molecular pathogenesis in recent years, as best exemplified by the elucidation of the fundamental role of several major </w:t>
      </w:r>
      <w:proofErr w:type="spellStart"/>
      <w:r w:rsidRPr="00153D45">
        <w:rPr>
          <w:rFonts w:ascii="Arial" w:hAnsi="Arial" w:cs="Arial"/>
          <w:sz w:val="22"/>
          <w:szCs w:val="22"/>
        </w:rPr>
        <w:t>signalling</w:t>
      </w:r>
      <w:proofErr w:type="spellEnd"/>
      <w:r w:rsidRPr="00153D45">
        <w:rPr>
          <w:rFonts w:ascii="Arial" w:hAnsi="Arial" w:cs="Arial"/>
          <w:sz w:val="22"/>
          <w:szCs w:val="22"/>
        </w:rPr>
        <w:t xml:space="preserve"> pathways and related molecular derangements. Central to these mechanisms are the genetic and epigenetic alterations in these pathways, such as mutation, gene copy-number gain and aberrant gene methylation. Many of these molecular alterations represent novel diagnostic and prognostic molecular markers and therapeutic targets for thyroid cancer, which provide unprecedented opportunities for further research and clinical development of novel treatment strategies for this cancer</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Key Points</w:t>
      </w:r>
    </w:p>
    <w:p w:rsidR="009D7920" w:rsidRDefault="009D7920">
      <w:pPr>
        <w:rPr>
          <w:rFonts w:ascii="Arial" w:hAnsi="Arial" w:cs="Arial"/>
          <w:sz w:val="22"/>
          <w:szCs w:val="22"/>
        </w:rPr>
      </w:pPr>
    </w:p>
    <w:p w:rsidR="00153D45" w:rsidRPr="00153D45" w:rsidRDefault="00153D45">
      <w:pPr>
        <w:rPr>
          <w:rFonts w:ascii="Arial" w:hAnsi="Arial" w:cs="Arial"/>
          <w:sz w:val="22"/>
          <w:szCs w:val="22"/>
        </w:rPr>
      </w:pPr>
    </w:p>
    <w:p w:rsidR="00153D45" w:rsidRPr="00153D45" w:rsidRDefault="00153D45" w:rsidP="00153D45">
      <w:pPr>
        <w:pStyle w:val="Heading3"/>
        <w:shd w:val="clear" w:color="auto" w:fill="FFFFFF"/>
        <w:spacing w:before="0" w:after="90"/>
        <w:rPr>
          <w:rFonts w:ascii="Arial" w:hAnsi="Arial" w:cs="Arial"/>
          <w:b/>
          <w:color w:val="222222"/>
          <w:sz w:val="22"/>
          <w:szCs w:val="22"/>
        </w:rPr>
      </w:pPr>
      <w:r w:rsidRPr="00153D45">
        <w:rPr>
          <w:rFonts w:ascii="Arial" w:hAnsi="Arial" w:cs="Arial"/>
          <w:b/>
          <w:color w:val="222222"/>
          <w:sz w:val="22"/>
          <w:szCs w:val="22"/>
        </w:rPr>
        <w:t>Thyroid cancer risk and protective genetic variants identified by GWAS study</w:t>
      </w:r>
    </w:p>
    <w:p w:rsidR="00153D45" w:rsidRPr="00153D45" w:rsidRDefault="00153D45" w:rsidP="00153D45">
      <w:pPr>
        <w:rPr>
          <w:rFonts w:ascii="Arial" w:hAnsi="Arial" w:cs="Arial"/>
          <w:sz w:val="22"/>
          <w:szCs w:val="22"/>
        </w:rPr>
      </w:pPr>
    </w:p>
    <w:p w:rsidR="009D7920" w:rsidRDefault="009D7920">
      <w:pPr>
        <w:rPr>
          <w:rFonts w:ascii="Arial" w:hAnsi="Arial" w:cs="Arial"/>
          <w:sz w:val="22"/>
          <w:szCs w:val="22"/>
        </w:rPr>
      </w:pPr>
    </w:p>
    <w:p w:rsidR="00153D45" w:rsidRDefault="00153D45">
      <w:pPr>
        <w:rPr>
          <w:rFonts w:ascii="Arial" w:hAnsi="Arial" w:cs="Arial"/>
          <w:sz w:val="22"/>
          <w:szCs w:val="22"/>
        </w:rPr>
      </w:pPr>
    </w:p>
    <w:p w:rsidR="00153D45" w:rsidRPr="00153D45" w:rsidRDefault="00153D45">
      <w:pPr>
        <w:rPr>
          <w:rFonts w:ascii="Arial" w:hAnsi="Arial" w:cs="Arial"/>
          <w:sz w:val="22"/>
          <w:szCs w:val="22"/>
        </w:rPr>
      </w:pPr>
    </w:p>
    <w:p w:rsidR="009D66B5" w:rsidRPr="00153D45" w:rsidRDefault="009D66B5" w:rsidP="009D66B5">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Genetic and epigenetic of RA</w:t>
      </w:r>
    </w:p>
    <w:p w:rsidR="009D66B5" w:rsidRPr="00153D45" w:rsidRDefault="009D66B5">
      <w:pPr>
        <w:rPr>
          <w:rFonts w:ascii="Arial" w:hAnsi="Arial" w:cs="Arial"/>
          <w:sz w:val="22"/>
          <w:szCs w:val="22"/>
        </w:rPr>
      </w:pPr>
    </w:p>
    <w:p w:rsidR="009D7920" w:rsidRPr="00153D45" w:rsidRDefault="009D66B5">
      <w:pPr>
        <w:rPr>
          <w:rFonts w:ascii="Arial" w:hAnsi="Arial" w:cs="Arial"/>
          <w:sz w:val="22"/>
          <w:szCs w:val="22"/>
        </w:rPr>
      </w:pPr>
      <w:r w:rsidRPr="00153D45">
        <w:rPr>
          <w:rFonts w:ascii="Arial" w:hAnsi="Arial" w:cs="Arial"/>
          <w:sz w:val="22"/>
          <w:szCs w:val="22"/>
        </w:rPr>
        <w:t>Genetic alterations in thyroid cancer</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Functional implications of risk alleles</w:t>
      </w:r>
    </w:p>
    <w:p w:rsidR="009D7920" w:rsidRPr="00153D45" w:rsidRDefault="009D7920">
      <w:pPr>
        <w:rPr>
          <w:rFonts w:ascii="Arial" w:hAnsi="Arial" w:cs="Arial"/>
          <w:sz w:val="22"/>
          <w:szCs w:val="22"/>
        </w:rPr>
      </w:pPr>
    </w:p>
    <w:p w:rsidR="009D7920" w:rsidRDefault="009D7920" w:rsidP="009D7920">
      <w:pPr>
        <w:pStyle w:val="Heading2"/>
        <w:shd w:val="clear" w:color="auto" w:fill="FFFFFF"/>
        <w:spacing w:before="0" w:after="90"/>
        <w:rPr>
          <w:rFonts w:ascii="Arial" w:hAnsi="Arial" w:cs="Arial"/>
          <w:b/>
          <w:bCs/>
          <w:color w:val="222222"/>
          <w:sz w:val="22"/>
          <w:szCs w:val="22"/>
        </w:rPr>
      </w:pPr>
      <w:r w:rsidRPr="00153D45">
        <w:rPr>
          <w:rFonts w:ascii="Arial" w:hAnsi="Arial" w:cs="Arial"/>
          <w:b/>
          <w:bCs/>
          <w:color w:val="222222"/>
          <w:sz w:val="22"/>
          <w:szCs w:val="22"/>
        </w:rPr>
        <w:t xml:space="preserve">Epigenetics of </w:t>
      </w:r>
      <w:r w:rsidR="00336F05">
        <w:rPr>
          <w:rFonts w:ascii="Arial" w:hAnsi="Arial" w:cs="Arial"/>
          <w:b/>
          <w:bCs/>
          <w:color w:val="222222"/>
          <w:sz w:val="22"/>
          <w:szCs w:val="22"/>
        </w:rPr>
        <w:t>thyroid cancer</w:t>
      </w:r>
    </w:p>
    <w:p w:rsidR="00336F05" w:rsidRDefault="00336F05" w:rsidP="00336F05"/>
    <w:p w:rsidR="00336F05" w:rsidRDefault="00336F05" w:rsidP="00336F05"/>
    <w:p w:rsidR="00336F05" w:rsidRPr="00336F05" w:rsidRDefault="00336F05" w:rsidP="00336F05">
      <w:pPr>
        <w:rPr>
          <w:rFonts w:ascii="Arial" w:hAnsi="Arial" w:cs="Arial"/>
          <w:sz w:val="22"/>
          <w:szCs w:val="22"/>
        </w:rPr>
      </w:pPr>
      <w:r w:rsidRPr="00336F05">
        <w:rPr>
          <w:rFonts w:ascii="Arial" w:hAnsi="Arial" w:cs="Arial"/>
          <w:sz w:val="22"/>
          <w:szCs w:val="22"/>
        </w:rPr>
        <w:t xml:space="preserve">Genetic and epigenetic complementary effects </w:t>
      </w:r>
      <w:proofErr w:type="gramStart"/>
      <w:r w:rsidRPr="00336F05">
        <w:rPr>
          <w:rFonts w:ascii="Arial" w:hAnsi="Arial" w:cs="Arial"/>
          <w:sz w:val="22"/>
          <w:szCs w:val="22"/>
        </w:rPr>
        <w:t>were frequently observed</w:t>
      </w:r>
      <w:proofErr w:type="gramEnd"/>
      <w:r w:rsidRPr="00336F05">
        <w:rPr>
          <w:rFonts w:ascii="Arial" w:hAnsi="Arial" w:cs="Arial"/>
          <w:sz w:val="22"/>
          <w:szCs w:val="22"/>
        </w:rPr>
        <w:t xml:space="preserve"> in the pathogenesis of the diseases. For example, </w:t>
      </w:r>
      <w:r w:rsidR="00CE42D0">
        <w:rPr>
          <w:rFonts w:ascii="Arial" w:hAnsi="Arial" w:cs="Arial"/>
          <w:sz w:val="22"/>
          <w:szCs w:val="22"/>
        </w:rPr>
        <w:t>KLLN</w:t>
      </w:r>
      <w:r w:rsidRPr="00336F05">
        <w:rPr>
          <w:rFonts w:ascii="Arial" w:hAnsi="Arial" w:cs="Arial"/>
          <w:sz w:val="22"/>
          <w:szCs w:val="22"/>
        </w:rPr>
        <w:t xml:space="preserve"> was hyper</w:t>
      </w:r>
      <w:r>
        <w:rPr>
          <w:rFonts w:ascii="Arial" w:hAnsi="Arial" w:cs="Arial"/>
          <w:sz w:val="22"/>
          <w:szCs w:val="22"/>
        </w:rPr>
        <w:t>-</w:t>
      </w:r>
      <w:r w:rsidRPr="00336F05">
        <w:rPr>
          <w:rFonts w:ascii="Arial" w:hAnsi="Arial" w:cs="Arial"/>
          <w:sz w:val="22"/>
          <w:szCs w:val="22"/>
        </w:rPr>
        <w:t xml:space="preserve">methylated and transcriptional repressed in non-PTEN mutation </w:t>
      </w:r>
      <w:r w:rsidRPr="00336F05">
        <w:rPr>
          <w:rFonts w:ascii="Arial" w:hAnsi="Arial" w:cs="Arial"/>
          <w:sz w:val="22"/>
          <w:szCs w:val="22"/>
        </w:rPr>
        <w:t>Cowden and Cowden-like syndrome</w:t>
      </w:r>
      <w:r>
        <w:rPr>
          <w:rFonts w:ascii="Arial" w:hAnsi="Arial" w:cs="Arial"/>
          <w:sz w:val="22"/>
          <w:szCs w:val="22"/>
        </w:rPr>
        <w:t xml:space="preserve"> </w:t>
      </w:r>
      <w:r w:rsidR="005404EA">
        <w:rPr>
          <w:rFonts w:ascii="Arial" w:hAnsi="Arial" w:cs="Arial"/>
          <w:color w:val="000000"/>
          <w:sz w:val="20"/>
          <w:szCs w:val="20"/>
          <w:shd w:val="clear" w:color="auto" w:fill="FFFFFF"/>
        </w:rPr>
        <w:t>characterized by high risks of</w:t>
      </w:r>
      <w:r w:rsidR="005404EA">
        <w:rPr>
          <w:rFonts w:ascii="Arial" w:hAnsi="Arial" w:cs="Arial"/>
          <w:sz w:val="22"/>
          <w:szCs w:val="22"/>
        </w:rPr>
        <w:t xml:space="preserve"> </w:t>
      </w:r>
      <w:r>
        <w:rPr>
          <w:rFonts w:ascii="Arial" w:hAnsi="Arial" w:cs="Arial"/>
          <w:sz w:val="22"/>
          <w:szCs w:val="22"/>
        </w:rPr>
        <w:t>thyroid cancers</w:t>
      </w:r>
      <w:r w:rsidR="0079792B">
        <w:rPr>
          <w:rFonts w:ascii="Arial" w:hAnsi="Arial" w:cs="Arial"/>
          <w:sz w:val="22"/>
          <w:szCs w:val="22"/>
        </w:rPr>
        <w:fldChar w:fldCharType="begin"/>
      </w:r>
      <w:r w:rsidR="0079792B">
        <w:rPr>
          <w:rFonts w:ascii="Arial" w:hAnsi="Arial" w:cs="Arial"/>
          <w:sz w:val="22"/>
          <w:szCs w:val="22"/>
        </w:rPr>
        <w:instrText xml:space="preserve"> ADDIN EN.CITE &lt;EndNote&gt;&lt;Cite&gt;&lt;Author&gt;Bennett&lt;/Author&gt;&lt;Year&gt;2010&lt;/Year&gt;&lt;RecNum&gt;11421&lt;/RecNum&gt;&lt;DisplayText&gt;&lt;style face="superscript"&gt;1&lt;/style&gt;&lt;/DisplayText&gt;&lt;record&gt;&lt;rec-number&gt;11421&lt;/rec-number&gt;&lt;foreign-keys&gt;&lt;key app="EN" db-id="trpe9xp9a5trtnez0x2pvee92e99dw0wpv5d" timestamp="1570822451"&gt;11421&lt;/key&gt;&lt;/foreign-keys&gt;&lt;ref-type name="Journal Article"&gt;17&lt;/ref-type&gt;&lt;contributors&gt;&lt;authors&gt;&lt;author&gt;Bennett, K. L.&lt;/author&gt;&lt;author&gt;Mester, J.&lt;/author&gt;&lt;author&gt;Eng, C.&lt;/author&gt;&lt;/authors&gt;&lt;/contributors&gt;&lt;auth-address&gt;Genomic Medicine Institute, Cleveland Clinic, 9500 Euclid Ave, Cleveland, OH 44195, USA.&lt;/auth-address&gt;&lt;titles&gt;&lt;title&gt;Germline epigenetic regulation of KILLIN in Cowden and Cowden-like syndrome&lt;/title&gt;&lt;secondary-title&gt;JAMA&lt;/secondary-title&gt;&lt;/titles&gt;&lt;periodical&gt;&lt;full-title&gt;JAMA&lt;/full-title&gt;&lt;abbr-1&gt;Jama&lt;/abbr-1&gt;&lt;/periodical&gt;&lt;pages&gt;2724-31&lt;/pages&gt;&lt;volume&gt;304&lt;/volume&gt;&lt;number&gt;24&lt;/number&gt;&lt;edition&gt;2010/12/24&lt;/edition&gt;&lt;keywords&gt;&lt;keyword&gt;Breast Neoplasms/*complications/genetics&lt;/keyword&gt;&lt;keyword&gt;Case-Control Studies&lt;/keyword&gt;&lt;keyword&gt;DNA Methylation&lt;/keyword&gt;&lt;keyword&gt;Epigenesis, Genetic&lt;/keyword&gt;&lt;keyword&gt;Gene Silencing&lt;/keyword&gt;&lt;keyword&gt;*Genetic Predisposition to Disease&lt;/keyword&gt;&lt;keyword&gt;*Germ-Line Mutation&lt;/keyword&gt;&lt;keyword&gt;Hamartoma Syndrome, Multiple/*complications/*genetics&lt;/keyword&gt;&lt;keyword&gt;Humans&lt;/keyword&gt;&lt;keyword&gt;PTEN Phosphohydrolase/genetics/metabolism&lt;/keyword&gt;&lt;keyword&gt;Promoter Regions, Genetic&lt;/keyword&gt;&lt;keyword&gt;Rectal Neoplasms/*complications/genetics&lt;/keyword&gt;&lt;keyword&gt;Tumor Suppressor Protein p53/metabolism&lt;/keyword&gt;&lt;keyword&gt;Tumor Suppressor Proteins/*genetics/metabolism&lt;/keyword&gt;&lt;/keywords&gt;&lt;dates&gt;&lt;year&gt;2010&lt;/year&gt;&lt;pub-dates&gt;&lt;date&gt;Dec 22&lt;/date&gt;&lt;/pub-dates&gt;&lt;/dates&gt;&lt;isbn&gt;1538-3598 (Electronic)&amp;#xD;0098-7484 (Linking)&lt;/isbn&gt;&lt;accession-num&gt;21177507&lt;/accession-num&gt;&lt;urls&gt;&lt;related-urls&gt;&lt;url&gt;https://www.ncbi.nlm.nih.gov/pubmed/21177507&lt;/url&gt;&lt;/related-urls&gt;&lt;/urls&gt;&lt;custom2&gt;PMC3655326&lt;/custom2&gt;&lt;electronic-resource-num&gt;10.1001/jama.2010.1877&lt;/electronic-resource-num&gt;&lt;/record&gt;&lt;/Cite&gt;&lt;/EndNote&gt;</w:instrText>
      </w:r>
      <w:r w:rsidR="0079792B">
        <w:rPr>
          <w:rFonts w:ascii="Arial" w:hAnsi="Arial" w:cs="Arial"/>
          <w:sz w:val="22"/>
          <w:szCs w:val="22"/>
        </w:rPr>
        <w:fldChar w:fldCharType="separate"/>
      </w:r>
      <w:r w:rsidR="0079792B" w:rsidRPr="0079792B">
        <w:rPr>
          <w:rFonts w:ascii="Arial" w:hAnsi="Arial" w:cs="Arial"/>
          <w:noProof/>
          <w:sz w:val="22"/>
          <w:szCs w:val="22"/>
          <w:vertAlign w:val="superscript"/>
        </w:rPr>
        <w:t>1</w:t>
      </w:r>
      <w:r w:rsidR="0079792B">
        <w:rPr>
          <w:rFonts w:ascii="Arial" w:hAnsi="Arial" w:cs="Arial"/>
          <w:sz w:val="22"/>
          <w:szCs w:val="22"/>
        </w:rPr>
        <w:fldChar w:fldCharType="end"/>
      </w:r>
      <w:r>
        <w:rPr>
          <w:rFonts w:ascii="Arial" w:hAnsi="Arial" w:cs="Arial"/>
          <w:sz w:val="22"/>
          <w:szCs w:val="22"/>
        </w:rPr>
        <w:t xml:space="preserve">. </w:t>
      </w:r>
    </w:p>
    <w:p w:rsidR="00336F05" w:rsidRDefault="00336F05" w:rsidP="00336F05">
      <w:bookmarkStart w:id="0" w:name="_GoBack"/>
      <w:bookmarkEnd w:id="0"/>
    </w:p>
    <w:p w:rsidR="00336F05" w:rsidRDefault="00336F05" w:rsidP="00336F05"/>
    <w:p w:rsidR="00336F05" w:rsidRDefault="00336F05" w:rsidP="00336F05"/>
    <w:p w:rsidR="00336F05" w:rsidRPr="00336F05" w:rsidRDefault="00336F05" w:rsidP="00336F05"/>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Epigenetic mechanisms</w:t>
      </w:r>
    </w:p>
    <w:p w:rsidR="009D7920" w:rsidRPr="00153D45" w:rsidRDefault="009D7920">
      <w:pPr>
        <w:rPr>
          <w:rFonts w:ascii="Arial" w:hAnsi="Arial" w:cs="Arial"/>
          <w:sz w:val="22"/>
          <w:szCs w:val="22"/>
        </w:rPr>
      </w:pP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Environmental influences</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Epigenetic studies in RA</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Future directions</w:t>
      </w:r>
    </w:p>
    <w:p w:rsidR="009D7920" w:rsidRPr="00153D45" w:rsidRDefault="009D7920" w:rsidP="009D7920">
      <w:pPr>
        <w:pStyle w:val="Heading2"/>
        <w:shd w:val="clear" w:color="auto" w:fill="FFFFFF"/>
        <w:spacing w:before="0" w:after="90"/>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b/>
          <w:bCs/>
          <w:color w:val="222222"/>
          <w:sz w:val="22"/>
          <w:szCs w:val="22"/>
        </w:rPr>
      </w:pPr>
      <w:r w:rsidRPr="00153D45">
        <w:rPr>
          <w:rFonts w:ascii="Arial" w:hAnsi="Arial" w:cs="Arial"/>
          <w:b/>
          <w:bCs/>
          <w:color w:val="222222"/>
          <w:sz w:val="22"/>
          <w:szCs w:val="22"/>
        </w:rPr>
        <w:t>Conclusions</w:t>
      </w:r>
    </w:p>
    <w:p w:rsidR="00445BE5" w:rsidRPr="00153D45" w:rsidRDefault="00445BE5" w:rsidP="00445BE5">
      <w:pPr>
        <w:rPr>
          <w:rFonts w:ascii="Arial" w:hAnsi="Arial" w:cs="Arial"/>
          <w:sz w:val="22"/>
          <w:szCs w:val="22"/>
        </w:rPr>
      </w:pPr>
    </w:p>
    <w:p w:rsidR="00445BE5" w:rsidRPr="00153D45" w:rsidRDefault="00445BE5" w:rsidP="00445BE5">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Review criteria</w:t>
      </w:r>
    </w:p>
    <w:p w:rsidR="00445BE5" w:rsidRPr="00153D45" w:rsidRDefault="00445BE5" w:rsidP="00445BE5">
      <w:pPr>
        <w:rPr>
          <w:rFonts w:ascii="Arial" w:hAnsi="Arial" w:cs="Arial"/>
          <w:sz w:val="22"/>
          <w:szCs w:val="22"/>
        </w:rPr>
      </w:pPr>
    </w:p>
    <w:p w:rsidR="00445BE5" w:rsidRPr="00153D45" w:rsidRDefault="00445BE5" w:rsidP="00445BE5">
      <w:pPr>
        <w:rPr>
          <w:rFonts w:ascii="Arial" w:hAnsi="Arial" w:cs="Arial"/>
          <w:sz w:val="22"/>
          <w:szCs w:val="22"/>
        </w:rPr>
      </w:pPr>
    </w:p>
    <w:p w:rsidR="00445BE5" w:rsidRPr="00153D45" w:rsidRDefault="00445BE5" w:rsidP="00445BE5">
      <w:pPr>
        <w:pStyle w:val="Heading2"/>
        <w:shd w:val="clear" w:color="auto" w:fill="FFFFFF"/>
        <w:spacing w:before="0" w:after="90"/>
        <w:rPr>
          <w:rFonts w:ascii="Arial" w:hAnsi="Arial" w:cs="Arial"/>
          <w:b/>
          <w:bCs/>
          <w:color w:val="222222"/>
          <w:sz w:val="22"/>
          <w:szCs w:val="22"/>
        </w:rPr>
      </w:pPr>
      <w:r w:rsidRPr="00153D45">
        <w:rPr>
          <w:rFonts w:ascii="Arial" w:hAnsi="Arial" w:cs="Arial"/>
          <w:b/>
          <w:bCs/>
          <w:color w:val="222222"/>
          <w:sz w:val="22"/>
          <w:szCs w:val="22"/>
        </w:rPr>
        <w:t>References</w:t>
      </w:r>
    </w:p>
    <w:p w:rsidR="000726B4" w:rsidRPr="00153D45" w:rsidRDefault="000726B4" w:rsidP="000726B4">
      <w:pPr>
        <w:rPr>
          <w:rFonts w:ascii="Arial" w:hAnsi="Arial" w:cs="Arial"/>
          <w:sz w:val="22"/>
          <w:szCs w:val="22"/>
        </w:rPr>
      </w:pPr>
    </w:p>
    <w:p w:rsidR="000726B4" w:rsidRPr="00153D45" w:rsidRDefault="000726B4" w:rsidP="000726B4">
      <w:pPr>
        <w:rPr>
          <w:rFonts w:ascii="Arial" w:hAnsi="Arial" w:cs="Arial"/>
          <w:sz w:val="22"/>
          <w:szCs w:val="22"/>
        </w:rPr>
      </w:pPr>
    </w:p>
    <w:p w:rsidR="000726B4" w:rsidRPr="00153D45" w:rsidRDefault="000726B4" w:rsidP="000726B4">
      <w:pPr>
        <w:rPr>
          <w:rFonts w:ascii="Arial" w:hAnsi="Arial" w:cs="Arial"/>
          <w:sz w:val="22"/>
          <w:szCs w:val="22"/>
        </w:rPr>
      </w:pPr>
    </w:p>
    <w:p w:rsidR="00393BEB" w:rsidRPr="00153D45" w:rsidRDefault="00393BEB" w:rsidP="00393BEB">
      <w:pPr>
        <w:rPr>
          <w:rFonts w:ascii="Arial" w:hAnsi="Arial" w:cs="Arial"/>
          <w:sz w:val="22"/>
          <w:szCs w:val="22"/>
        </w:rPr>
      </w:pPr>
      <w:r w:rsidRPr="00153D45">
        <w:rPr>
          <w:rFonts w:ascii="Arial" w:hAnsi="Arial" w:cs="Arial"/>
          <w:sz w:val="22"/>
          <w:szCs w:val="22"/>
        </w:rPr>
        <w:t>Table 1 | Copy-number gains in thyroid cancer*</w:t>
      </w:r>
    </w:p>
    <w:p w:rsidR="00393BEB" w:rsidRPr="00153D45" w:rsidRDefault="00393BEB" w:rsidP="00393BEB">
      <w:pPr>
        <w:rPr>
          <w:rFonts w:ascii="Arial" w:hAnsi="Arial" w:cs="Arial"/>
          <w:sz w:val="22"/>
          <w:szCs w:val="22"/>
        </w:rPr>
      </w:pPr>
      <w:r w:rsidRPr="00153D45">
        <w:rPr>
          <w:rFonts w:ascii="Arial" w:hAnsi="Arial" w:cs="Arial"/>
          <w:sz w:val="22"/>
          <w:szCs w:val="22"/>
        </w:rPr>
        <w:t>Table 2 | Copy-number gains in thyroid cancer*</w:t>
      </w:r>
    </w:p>
    <w:p w:rsidR="000726B4" w:rsidRPr="00153D45" w:rsidRDefault="000726B4" w:rsidP="000726B4">
      <w:pPr>
        <w:rPr>
          <w:rFonts w:ascii="Arial" w:hAnsi="Arial" w:cs="Arial"/>
          <w:sz w:val="22"/>
          <w:szCs w:val="22"/>
        </w:rPr>
      </w:pPr>
      <w:r w:rsidRPr="00153D45">
        <w:rPr>
          <w:rFonts w:ascii="Arial" w:hAnsi="Arial" w:cs="Arial"/>
          <w:sz w:val="22"/>
          <w:szCs w:val="22"/>
        </w:rPr>
        <w:t>Table 3 | Copy-number gains in thyroid cancer*</w:t>
      </w:r>
    </w:p>
    <w:p w:rsidR="00445BE5" w:rsidRPr="00153D45" w:rsidRDefault="00445BE5" w:rsidP="00445BE5">
      <w:pPr>
        <w:rPr>
          <w:rFonts w:ascii="Arial" w:hAnsi="Arial" w:cs="Arial"/>
          <w:sz w:val="22"/>
          <w:szCs w:val="22"/>
        </w:rPr>
      </w:pPr>
    </w:p>
    <w:p w:rsidR="0079792B" w:rsidRDefault="0079792B">
      <w:pPr>
        <w:rPr>
          <w:rFonts w:ascii="Arial" w:hAnsi="Arial" w:cs="Arial"/>
          <w:sz w:val="22"/>
          <w:szCs w:val="22"/>
        </w:rPr>
      </w:pPr>
    </w:p>
    <w:p w:rsidR="0079792B" w:rsidRDefault="0079792B">
      <w:pPr>
        <w:rPr>
          <w:rFonts w:ascii="Arial" w:hAnsi="Arial" w:cs="Arial"/>
          <w:sz w:val="22"/>
          <w:szCs w:val="22"/>
        </w:rPr>
      </w:pPr>
    </w:p>
    <w:p w:rsidR="0079792B" w:rsidRPr="0079792B" w:rsidRDefault="0079792B" w:rsidP="0079792B">
      <w:pPr>
        <w:pStyle w:val="EndNoteBibliography"/>
        <w:ind w:left="720" w:hanging="720"/>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Pr="0079792B">
        <w:t>1.</w:t>
      </w:r>
      <w:r w:rsidRPr="0079792B">
        <w:tab/>
        <w:t xml:space="preserve">Bennett, K.L., Mester, J. &amp; Eng, C. Germline epigenetic regulation of KILLIN in Cowden and Cowden-like syndrome. </w:t>
      </w:r>
      <w:r w:rsidRPr="0079792B">
        <w:rPr>
          <w:i/>
        </w:rPr>
        <w:t>JAMA</w:t>
      </w:r>
      <w:r w:rsidRPr="0079792B">
        <w:t xml:space="preserve"> </w:t>
      </w:r>
      <w:r w:rsidRPr="0079792B">
        <w:rPr>
          <w:b/>
        </w:rPr>
        <w:t>304</w:t>
      </w:r>
      <w:r w:rsidRPr="0079792B">
        <w:t>, 2724-31 (2010).</w:t>
      </w:r>
    </w:p>
    <w:p w:rsidR="009D7920" w:rsidRPr="00153D45" w:rsidRDefault="0079792B">
      <w:pPr>
        <w:rPr>
          <w:rFonts w:ascii="Arial" w:hAnsi="Arial" w:cs="Arial"/>
          <w:sz w:val="22"/>
          <w:szCs w:val="22"/>
        </w:rPr>
      </w:pPr>
      <w:r>
        <w:rPr>
          <w:rFonts w:ascii="Arial" w:hAnsi="Arial" w:cs="Arial"/>
          <w:sz w:val="22"/>
          <w:szCs w:val="22"/>
        </w:rPr>
        <w:fldChar w:fldCharType="end"/>
      </w:r>
    </w:p>
    <w:sectPr w:rsidR="009D7920" w:rsidRPr="00153D45" w:rsidSect="009D79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1421&lt;/item&gt;&lt;/record-ids&gt;&lt;/item&gt;&lt;/Libraries&gt;"/>
  </w:docVars>
  <w:rsids>
    <w:rsidRoot w:val="009D7920"/>
    <w:rsid w:val="000726B4"/>
    <w:rsid w:val="00153D45"/>
    <w:rsid w:val="002E6FF6"/>
    <w:rsid w:val="00336F05"/>
    <w:rsid w:val="00393BEB"/>
    <w:rsid w:val="00445BE5"/>
    <w:rsid w:val="005404EA"/>
    <w:rsid w:val="0079792B"/>
    <w:rsid w:val="009B703D"/>
    <w:rsid w:val="009D66B5"/>
    <w:rsid w:val="009D7920"/>
    <w:rsid w:val="00C231E0"/>
    <w:rsid w:val="00C57B92"/>
    <w:rsid w:val="00CE42D0"/>
    <w:rsid w:val="00E3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46C17"/>
  <w15:chartTrackingRefBased/>
  <w15:docId w15:val="{DBCCD7C4-6332-41DE-A516-E1A00F73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9D792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9D79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9D792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20"/>
    <w:rPr>
      <w:b/>
      <w:bCs/>
      <w:kern w:val="36"/>
      <w:sz w:val="48"/>
      <w:szCs w:val="48"/>
    </w:rPr>
  </w:style>
  <w:style w:type="character" w:customStyle="1" w:styleId="Heading2Char">
    <w:name w:val="Heading 2 Char"/>
    <w:basedOn w:val="DefaultParagraphFont"/>
    <w:link w:val="Heading2"/>
    <w:semiHidden/>
    <w:rsid w:val="009D79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9D7920"/>
    <w:rPr>
      <w:rFonts w:asciiTheme="majorHAnsi" w:eastAsiaTheme="majorEastAsia" w:hAnsiTheme="majorHAnsi" w:cstheme="majorBidi"/>
      <w:color w:val="1F4D78" w:themeColor="accent1" w:themeShade="7F"/>
      <w:sz w:val="24"/>
      <w:szCs w:val="24"/>
    </w:rPr>
  </w:style>
  <w:style w:type="paragraph" w:customStyle="1" w:styleId="EndNoteBibliographyTitle">
    <w:name w:val="EndNote Bibliography Title"/>
    <w:basedOn w:val="Normal"/>
    <w:link w:val="EndNoteBibliographyTitleChar"/>
    <w:rsid w:val="0079792B"/>
    <w:pPr>
      <w:jc w:val="center"/>
    </w:pPr>
    <w:rPr>
      <w:noProof/>
    </w:rPr>
  </w:style>
  <w:style w:type="character" w:customStyle="1" w:styleId="EndNoteBibliographyTitleChar">
    <w:name w:val="EndNote Bibliography Title Char"/>
    <w:basedOn w:val="DefaultParagraphFont"/>
    <w:link w:val="EndNoteBibliographyTitle"/>
    <w:rsid w:val="0079792B"/>
    <w:rPr>
      <w:noProof/>
      <w:sz w:val="24"/>
      <w:szCs w:val="24"/>
    </w:rPr>
  </w:style>
  <w:style w:type="paragraph" w:customStyle="1" w:styleId="EndNoteBibliography">
    <w:name w:val="EndNote Bibliography"/>
    <w:basedOn w:val="Normal"/>
    <w:link w:val="EndNoteBibliographyChar"/>
    <w:rsid w:val="0079792B"/>
    <w:rPr>
      <w:noProof/>
    </w:rPr>
  </w:style>
  <w:style w:type="character" w:customStyle="1" w:styleId="EndNoteBibliographyChar">
    <w:name w:val="EndNote Bibliography Char"/>
    <w:basedOn w:val="DefaultParagraphFont"/>
    <w:link w:val="EndNoteBibliography"/>
    <w:rsid w:val="0079792B"/>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5428">
      <w:bodyDiv w:val="1"/>
      <w:marLeft w:val="0"/>
      <w:marRight w:val="0"/>
      <w:marTop w:val="0"/>
      <w:marBottom w:val="0"/>
      <w:divBdr>
        <w:top w:val="none" w:sz="0" w:space="0" w:color="auto"/>
        <w:left w:val="none" w:sz="0" w:space="0" w:color="auto"/>
        <w:bottom w:val="none" w:sz="0" w:space="0" w:color="auto"/>
        <w:right w:val="none" w:sz="0" w:space="0" w:color="auto"/>
      </w:divBdr>
    </w:div>
    <w:div w:id="81604571">
      <w:bodyDiv w:val="1"/>
      <w:marLeft w:val="0"/>
      <w:marRight w:val="0"/>
      <w:marTop w:val="0"/>
      <w:marBottom w:val="0"/>
      <w:divBdr>
        <w:top w:val="none" w:sz="0" w:space="0" w:color="auto"/>
        <w:left w:val="none" w:sz="0" w:space="0" w:color="auto"/>
        <w:bottom w:val="none" w:sz="0" w:space="0" w:color="auto"/>
        <w:right w:val="none" w:sz="0" w:space="0" w:color="auto"/>
      </w:divBdr>
    </w:div>
    <w:div w:id="325980054">
      <w:bodyDiv w:val="1"/>
      <w:marLeft w:val="0"/>
      <w:marRight w:val="0"/>
      <w:marTop w:val="0"/>
      <w:marBottom w:val="0"/>
      <w:divBdr>
        <w:top w:val="none" w:sz="0" w:space="0" w:color="auto"/>
        <w:left w:val="none" w:sz="0" w:space="0" w:color="auto"/>
        <w:bottom w:val="none" w:sz="0" w:space="0" w:color="auto"/>
        <w:right w:val="none" w:sz="0" w:space="0" w:color="auto"/>
      </w:divBdr>
    </w:div>
    <w:div w:id="472255237">
      <w:bodyDiv w:val="1"/>
      <w:marLeft w:val="0"/>
      <w:marRight w:val="0"/>
      <w:marTop w:val="0"/>
      <w:marBottom w:val="0"/>
      <w:divBdr>
        <w:top w:val="none" w:sz="0" w:space="0" w:color="auto"/>
        <w:left w:val="none" w:sz="0" w:space="0" w:color="auto"/>
        <w:bottom w:val="none" w:sz="0" w:space="0" w:color="auto"/>
        <w:right w:val="none" w:sz="0" w:space="0" w:color="auto"/>
      </w:divBdr>
    </w:div>
    <w:div w:id="618490468">
      <w:bodyDiv w:val="1"/>
      <w:marLeft w:val="0"/>
      <w:marRight w:val="0"/>
      <w:marTop w:val="0"/>
      <w:marBottom w:val="0"/>
      <w:divBdr>
        <w:top w:val="none" w:sz="0" w:space="0" w:color="auto"/>
        <w:left w:val="none" w:sz="0" w:space="0" w:color="auto"/>
        <w:bottom w:val="none" w:sz="0" w:space="0" w:color="auto"/>
        <w:right w:val="none" w:sz="0" w:space="0" w:color="auto"/>
      </w:divBdr>
    </w:div>
    <w:div w:id="797068884">
      <w:bodyDiv w:val="1"/>
      <w:marLeft w:val="0"/>
      <w:marRight w:val="0"/>
      <w:marTop w:val="0"/>
      <w:marBottom w:val="0"/>
      <w:divBdr>
        <w:top w:val="none" w:sz="0" w:space="0" w:color="auto"/>
        <w:left w:val="none" w:sz="0" w:space="0" w:color="auto"/>
        <w:bottom w:val="none" w:sz="0" w:space="0" w:color="auto"/>
        <w:right w:val="none" w:sz="0" w:space="0" w:color="auto"/>
      </w:divBdr>
    </w:div>
    <w:div w:id="894925579">
      <w:bodyDiv w:val="1"/>
      <w:marLeft w:val="0"/>
      <w:marRight w:val="0"/>
      <w:marTop w:val="0"/>
      <w:marBottom w:val="0"/>
      <w:divBdr>
        <w:top w:val="none" w:sz="0" w:space="0" w:color="auto"/>
        <w:left w:val="none" w:sz="0" w:space="0" w:color="auto"/>
        <w:bottom w:val="none" w:sz="0" w:space="0" w:color="auto"/>
        <w:right w:val="none" w:sz="0" w:space="0" w:color="auto"/>
      </w:divBdr>
    </w:div>
    <w:div w:id="1240021811">
      <w:bodyDiv w:val="1"/>
      <w:marLeft w:val="0"/>
      <w:marRight w:val="0"/>
      <w:marTop w:val="0"/>
      <w:marBottom w:val="0"/>
      <w:divBdr>
        <w:top w:val="none" w:sz="0" w:space="0" w:color="auto"/>
        <w:left w:val="none" w:sz="0" w:space="0" w:color="auto"/>
        <w:bottom w:val="none" w:sz="0" w:space="0" w:color="auto"/>
        <w:right w:val="none" w:sz="0" w:space="0" w:color="auto"/>
      </w:divBdr>
    </w:div>
    <w:div w:id="1315139285">
      <w:bodyDiv w:val="1"/>
      <w:marLeft w:val="0"/>
      <w:marRight w:val="0"/>
      <w:marTop w:val="0"/>
      <w:marBottom w:val="0"/>
      <w:divBdr>
        <w:top w:val="none" w:sz="0" w:space="0" w:color="auto"/>
        <w:left w:val="none" w:sz="0" w:space="0" w:color="auto"/>
        <w:bottom w:val="none" w:sz="0" w:space="0" w:color="auto"/>
        <w:right w:val="none" w:sz="0" w:space="0" w:color="auto"/>
      </w:divBdr>
    </w:div>
    <w:div w:id="1335766701">
      <w:bodyDiv w:val="1"/>
      <w:marLeft w:val="0"/>
      <w:marRight w:val="0"/>
      <w:marTop w:val="0"/>
      <w:marBottom w:val="0"/>
      <w:divBdr>
        <w:top w:val="none" w:sz="0" w:space="0" w:color="auto"/>
        <w:left w:val="none" w:sz="0" w:space="0" w:color="auto"/>
        <w:bottom w:val="none" w:sz="0" w:space="0" w:color="auto"/>
        <w:right w:val="none" w:sz="0" w:space="0" w:color="auto"/>
      </w:divBdr>
    </w:div>
    <w:div w:id="1374577338">
      <w:bodyDiv w:val="1"/>
      <w:marLeft w:val="0"/>
      <w:marRight w:val="0"/>
      <w:marTop w:val="0"/>
      <w:marBottom w:val="0"/>
      <w:divBdr>
        <w:top w:val="none" w:sz="0" w:space="0" w:color="auto"/>
        <w:left w:val="none" w:sz="0" w:space="0" w:color="auto"/>
        <w:bottom w:val="none" w:sz="0" w:space="0" w:color="auto"/>
        <w:right w:val="none" w:sz="0" w:space="0" w:color="auto"/>
      </w:divBdr>
    </w:div>
    <w:div w:id="1538814536">
      <w:bodyDiv w:val="1"/>
      <w:marLeft w:val="0"/>
      <w:marRight w:val="0"/>
      <w:marTop w:val="0"/>
      <w:marBottom w:val="0"/>
      <w:divBdr>
        <w:top w:val="none" w:sz="0" w:space="0" w:color="auto"/>
        <w:left w:val="none" w:sz="0" w:space="0" w:color="auto"/>
        <w:bottom w:val="none" w:sz="0" w:space="0" w:color="auto"/>
        <w:right w:val="none" w:sz="0" w:space="0" w:color="auto"/>
      </w:divBdr>
    </w:div>
    <w:div w:id="1693797735">
      <w:bodyDiv w:val="1"/>
      <w:marLeft w:val="0"/>
      <w:marRight w:val="0"/>
      <w:marTop w:val="0"/>
      <w:marBottom w:val="0"/>
      <w:divBdr>
        <w:top w:val="none" w:sz="0" w:space="0" w:color="auto"/>
        <w:left w:val="none" w:sz="0" w:space="0" w:color="auto"/>
        <w:bottom w:val="none" w:sz="0" w:space="0" w:color="auto"/>
        <w:right w:val="none" w:sz="0" w:space="0" w:color="auto"/>
      </w:divBdr>
    </w:div>
    <w:div w:id="196137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21734042.dotm</Template>
  <TotalTime>7</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7</cp:revision>
  <dcterms:created xsi:type="dcterms:W3CDTF">2019-10-11T19:33:00Z</dcterms:created>
  <dcterms:modified xsi:type="dcterms:W3CDTF">2019-10-11T19:40:00Z</dcterms:modified>
</cp:coreProperties>
</file>