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DE" w:rsidRPr="00CC38C6" w:rsidRDefault="001230DE" w:rsidP="001230D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C38C6">
        <w:rPr>
          <w:rFonts w:asciiTheme="minorHAnsi" w:hAnsiTheme="minorHAnsi" w:cstheme="minorHAnsi"/>
          <w:sz w:val="22"/>
          <w:szCs w:val="22"/>
        </w:rPr>
        <w:t xml:space="preserve">Several immune checkpoint blockade (ICB) agents have achieved FDA approval and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are being used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in multiple cancers with promising results, including improved durable response and, in some cases, cure of advanced disease. However, the response rate is still low at 15-20%, and the improvement in overall survival is limited. Significant effort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is being made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to search for biomarkers that identify patients who will benefit from anti-PD1 and anti-PD-L1 treatment. The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clinically-used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immunohistochemistry (IHC) assay for PD-L1 has several disadvantages, including variations in assays, antibodies and proportion of tumor cells with cell-surface staining. Additionally, different scoring methods and variable cut-off values have culminated in a lack of robust standard. </w:t>
      </w:r>
    </w:p>
    <w:p w:rsidR="001230DE" w:rsidRPr="00CC38C6" w:rsidRDefault="001230DE" w:rsidP="001230D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C38C6">
        <w:rPr>
          <w:rFonts w:asciiTheme="minorHAnsi" w:hAnsiTheme="minorHAnsi" w:cstheme="minorHAnsi"/>
          <w:sz w:val="22"/>
          <w:szCs w:val="22"/>
        </w:rPr>
        <w:t xml:space="preserve">Tumor mutational burden (TMB), an indirect measurement of </w:t>
      </w:r>
      <w:proofErr w:type="spellStart"/>
      <w:r w:rsidRPr="00CC38C6">
        <w:rPr>
          <w:rFonts w:asciiTheme="minorHAnsi" w:hAnsiTheme="minorHAnsi" w:cstheme="minorHAnsi"/>
          <w:sz w:val="22"/>
          <w:szCs w:val="22"/>
        </w:rPr>
        <w:t>neoantigens</w:t>
      </w:r>
      <w:proofErr w:type="spellEnd"/>
      <w:r w:rsidRPr="00CC38C6">
        <w:rPr>
          <w:rFonts w:asciiTheme="minorHAnsi" w:hAnsiTheme="minorHAnsi" w:cstheme="minorHAnsi"/>
          <w:sz w:val="22"/>
          <w:szCs w:val="22"/>
        </w:rPr>
        <w:t xml:space="preserve"> produced in a tumor,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is increasingly recognized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as a promising biomarker for ICB. Several clinical studies have demonstrated the clinical utility of NGS-based TMB analysis as a predictor of response, and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F1CDx from Foundation Medicine and MSK panel have been recently approved by FDA as companion diagnostics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for ICB. A major caveat to current TMB assay is that it measures the </w:t>
      </w:r>
      <w:r w:rsidRPr="00CC38C6">
        <w:rPr>
          <w:rFonts w:asciiTheme="minorHAnsi" w:hAnsiTheme="minorHAnsi" w:cstheme="minorHAnsi"/>
          <w:i/>
          <w:iCs/>
          <w:sz w:val="22"/>
          <w:szCs w:val="22"/>
        </w:rPr>
        <w:t xml:space="preserve">number </w:t>
      </w:r>
      <w:r w:rsidRPr="00CC38C6">
        <w:rPr>
          <w:rFonts w:asciiTheme="minorHAnsi" w:hAnsiTheme="minorHAnsi" w:cstheme="minorHAnsi"/>
          <w:sz w:val="22"/>
          <w:szCs w:val="22"/>
        </w:rPr>
        <w:t xml:space="preserve">of unique mutations in a tumor, without taking into account of the </w:t>
      </w:r>
      <w:r w:rsidRPr="00CC38C6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size </w:t>
      </w:r>
      <w:r w:rsidRPr="00CC38C6">
        <w:rPr>
          <w:rFonts w:asciiTheme="minorHAnsi" w:hAnsiTheme="minorHAnsi" w:cstheme="minorHAnsi"/>
          <w:sz w:val="22"/>
          <w:szCs w:val="22"/>
        </w:rPr>
        <w:t xml:space="preserve">of input specimen or tumor </w:t>
      </w:r>
      <w:r w:rsidRPr="00CC38C6">
        <w:rPr>
          <w:rFonts w:asciiTheme="minorHAnsi" w:hAnsiTheme="minorHAnsi" w:cstheme="minorHAnsi"/>
          <w:b/>
          <w:bCs/>
          <w:i/>
          <w:iCs/>
          <w:sz w:val="22"/>
          <w:szCs w:val="22"/>
        </w:rPr>
        <w:t>purity</w:t>
      </w:r>
      <w:r w:rsidRPr="00CC38C6">
        <w:rPr>
          <w:rFonts w:asciiTheme="minorHAnsi" w:hAnsiTheme="minorHAnsi" w:cstheme="minorHAnsi"/>
          <w:sz w:val="22"/>
          <w:szCs w:val="22"/>
        </w:rPr>
        <w:t xml:space="preserve">. More importantly, TMB analysis counts every mutation only once, no matter how many cancer cells in a tumor carry it. </w:t>
      </w:r>
    </w:p>
    <w:p w:rsidR="00654BDA" w:rsidRPr="00CC38C6" w:rsidRDefault="001230DE" w:rsidP="001230DE">
      <w:pPr>
        <w:rPr>
          <w:rFonts w:asciiTheme="minorHAnsi" w:hAnsiTheme="minorHAnsi" w:cstheme="minorHAnsi"/>
          <w:sz w:val="22"/>
          <w:szCs w:val="22"/>
        </w:rPr>
      </w:pPr>
      <w:r w:rsidRPr="00CC38C6">
        <w:rPr>
          <w:rFonts w:asciiTheme="minorHAnsi" w:hAnsiTheme="minorHAnsi" w:cstheme="minorHAnsi"/>
          <w:sz w:val="22"/>
          <w:szCs w:val="22"/>
        </w:rPr>
        <w:t xml:space="preserve">To combat this issue, the </w:t>
      </w:r>
      <w:proofErr w:type="spellStart"/>
      <w:r w:rsidRPr="00CC38C6">
        <w:rPr>
          <w:rFonts w:asciiTheme="minorHAnsi" w:hAnsiTheme="minorHAnsi" w:cstheme="minorHAnsi"/>
          <w:sz w:val="22"/>
          <w:szCs w:val="22"/>
        </w:rPr>
        <w:t>Immortagen</w:t>
      </w:r>
      <w:proofErr w:type="spellEnd"/>
      <w:r w:rsidRPr="00CC38C6">
        <w:rPr>
          <w:rFonts w:asciiTheme="minorHAnsi" w:hAnsiTheme="minorHAnsi" w:cstheme="minorHAnsi"/>
          <w:sz w:val="22"/>
          <w:szCs w:val="22"/>
        </w:rPr>
        <w:t xml:space="preserve"> R&amp;D team has developed an algorithm, called Mean Cancer Cell Mutation Burden (MCMB), which measures the number of mutations in every cancer cell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in order to more accurately reflect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CC38C6">
        <w:rPr>
          <w:rFonts w:asciiTheme="minorHAnsi" w:hAnsiTheme="minorHAnsi" w:cstheme="minorHAnsi"/>
          <w:sz w:val="22"/>
          <w:szCs w:val="22"/>
        </w:rPr>
        <w:t>neoantigen</w:t>
      </w:r>
      <w:proofErr w:type="spellEnd"/>
      <w:r w:rsidRPr="00CC38C6">
        <w:rPr>
          <w:rFonts w:asciiTheme="minorHAnsi" w:hAnsiTheme="minorHAnsi" w:cstheme="minorHAnsi"/>
          <w:sz w:val="22"/>
          <w:szCs w:val="22"/>
        </w:rPr>
        <w:t xml:space="preserve"> produced in a tumor. MCMB </w:t>
      </w:r>
      <w:proofErr w:type="gramStart"/>
      <w:r w:rsidRPr="00CC38C6">
        <w:rPr>
          <w:rFonts w:asciiTheme="minorHAnsi" w:hAnsiTheme="minorHAnsi" w:cstheme="minorHAnsi"/>
          <w:sz w:val="22"/>
          <w:szCs w:val="22"/>
        </w:rPr>
        <w:t>is based</w:t>
      </w:r>
      <w:proofErr w:type="gramEnd"/>
      <w:r w:rsidRPr="00CC38C6">
        <w:rPr>
          <w:rFonts w:asciiTheme="minorHAnsi" w:hAnsiTheme="minorHAnsi" w:cstheme="minorHAnsi"/>
          <w:sz w:val="22"/>
          <w:szCs w:val="22"/>
        </w:rPr>
        <w:t xml:space="preserve"> upon the same NGS data used for TMB calculation but is expected to be superior for prediction of clinical outcomes.</w:t>
      </w:r>
    </w:p>
    <w:p w:rsidR="00CC38C6" w:rsidRPr="00CC38C6" w:rsidRDefault="00CC38C6" w:rsidP="00CC38C6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CC38C6" w:rsidRPr="00CC38C6" w:rsidRDefault="00CC38C6" w:rsidP="00CC38C6">
      <w:pPr>
        <w:shd w:val="clear" w:color="auto" w:fill="FFFFFF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Rheumatoid arthritis (RA) is a chronic, generally progressive autoimmune disease that causes functional disability, significant pain and joint destruction, and leads to premature mortality. It affect approximately 1% of the worldwide population. In the present, there is no cure for rheumatoid arthritis. Disease-modifying </w:t>
      </w:r>
      <w:proofErr w:type="spellStart"/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>antirheumatic</w:t>
      </w:r>
      <w:proofErr w:type="spellEnd"/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drugs (DMARDs) and biologic drugs </w:t>
      </w:r>
      <w:proofErr w:type="gramStart"/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>are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frequently used</w:t>
      </w:r>
      <w:proofErr w:type="gramEnd"/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 the treatment of RA. However, these drugs can 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only 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slow the 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disease 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>progression and save the joints and other tissues from permanent damage. </w:t>
      </w:r>
      <w:r w:rsidRPr="00CC38C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Advanced understanding to the etiology and pathology of RA is the important </w:t>
      </w:r>
      <w:bookmarkStart w:id="0" w:name="_GoBack"/>
      <w:bookmarkEnd w:id="0"/>
    </w:p>
    <w:p w:rsidR="00D14110" w:rsidRPr="00CC38C6" w:rsidRDefault="00D14110" w:rsidP="001230DE">
      <w:pPr>
        <w:rPr>
          <w:rFonts w:asciiTheme="minorHAnsi" w:hAnsiTheme="minorHAnsi" w:cstheme="minorHAnsi"/>
          <w:sz w:val="22"/>
          <w:szCs w:val="22"/>
        </w:rPr>
      </w:pPr>
    </w:p>
    <w:sectPr w:rsidR="00D14110" w:rsidRPr="00CC3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DE"/>
    <w:rsid w:val="001230DE"/>
    <w:rsid w:val="00654BDA"/>
    <w:rsid w:val="00CC38C6"/>
    <w:rsid w:val="00D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9DF0"/>
  <w15:chartTrackingRefBased/>
  <w15:docId w15:val="{10B74CF1-271E-4DC1-BFEB-E0431F91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0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1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3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14D3DBDA.dotm</Template>
  <TotalTime>18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2019-11-13T00:45:00Z</dcterms:created>
  <dcterms:modified xsi:type="dcterms:W3CDTF">2019-11-13T01:27:00Z</dcterms:modified>
</cp:coreProperties>
</file>