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9D" w:rsidRPr="003B14B6" w:rsidRDefault="00874364" w:rsidP="00276568">
      <w:pPr>
        <w:rPr>
          <w:rFonts w:ascii="Arial" w:hAnsi="Arial" w:cs="Arial"/>
          <w:b/>
          <w:sz w:val="22"/>
          <w:szCs w:val="22"/>
        </w:rPr>
      </w:pPr>
      <w:r w:rsidRPr="003B14B6">
        <w:rPr>
          <w:rFonts w:ascii="Arial" w:hAnsi="Arial" w:cs="Arial"/>
          <w:b/>
          <w:sz w:val="22"/>
          <w:szCs w:val="22"/>
        </w:rPr>
        <w:t>Overview and Gap</w:t>
      </w:r>
    </w:p>
    <w:p w:rsidR="00944DEA" w:rsidRPr="003B14B6" w:rsidRDefault="00875FB4" w:rsidP="004F352E">
      <w:pPr>
        <w:ind w:firstLine="720"/>
        <w:rPr>
          <w:rFonts w:ascii="Arial" w:hAnsi="Arial" w:cs="Arial"/>
          <w:sz w:val="22"/>
          <w:szCs w:val="22"/>
        </w:rPr>
      </w:pPr>
      <w:r w:rsidRPr="003B14B6">
        <w:rPr>
          <w:rFonts w:ascii="Arial" w:hAnsi="Arial" w:cs="Arial"/>
          <w:sz w:val="22"/>
          <w:szCs w:val="22"/>
        </w:rPr>
        <w:t>T</w:t>
      </w:r>
      <w:r w:rsidR="00944DEA" w:rsidRPr="003B14B6">
        <w:rPr>
          <w:rFonts w:ascii="Arial" w:hAnsi="Arial" w:cs="Arial"/>
          <w:sz w:val="22"/>
          <w:szCs w:val="22"/>
        </w:rPr>
        <w:t>he</w:t>
      </w:r>
      <w:r w:rsidR="00B44DD6" w:rsidRPr="003B14B6">
        <w:rPr>
          <w:rFonts w:ascii="Arial" w:hAnsi="Arial" w:cs="Arial"/>
          <w:sz w:val="22"/>
          <w:szCs w:val="22"/>
        </w:rPr>
        <w:t xml:space="preserve"> </w:t>
      </w:r>
      <w:r w:rsidR="00D51582" w:rsidRPr="003B14B6">
        <w:rPr>
          <w:rFonts w:ascii="Arial" w:hAnsi="Arial" w:cs="Arial"/>
          <w:sz w:val="22"/>
          <w:szCs w:val="22"/>
        </w:rPr>
        <w:t>SEER Cancer Reports</w:t>
      </w:r>
      <w:r w:rsidR="00B44DD6" w:rsidRPr="003B14B6">
        <w:rPr>
          <w:rFonts w:ascii="Arial" w:hAnsi="Arial" w:cs="Arial"/>
          <w:sz w:val="22"/>
          <w:szCs w:val="22"/>
        </w:rPr>
        <w:t xml:space="preserve"> estimated </w:t>
      </w:r>
      <w:r w:rsidR="00FC57FD" w:rsidRPr="003B14B6">
        <w:rPr>
          <w:rFonts w:ascii="Arial" w:hAnsi="Arial" w:cs="Arial"/>
          <w:sz w:val="22"/>
          <w:szCs w:val="22"/>
        </w:rPr>
        <w:t>oral cancer (</w:t>
      </w:r>
      <w:r w:rsidR="00D90974" w:rsidRPr="003B14B6">
        <w:rPr>
          <w:rFonts w:ascii="Arial" w:hAnsi="Arial" w:cs="Arial"/>
          <w:sz w:val="22"/>
          <w:szCs w:val="22"/>
        </w:rPr>
        <w:t>OC</w:t>
      </w:r>
      <w:r w:rsidR="00FC57FD" w:rsidRPr="003B14B6">
        <w:rPr>
          <w:rFonts w:ascii="Arial" w:hAnsi="Arial" w:cs="Arial"/>
          <w:sz w:val="22"/>
          <w:szCs w:val="22"/>
        </w:rPr>
        <w:t>)</w:t>
      </w:r>
      <w:r w:rsidR="00E01C0E" w:rsidRPr="003B14B6">
        <w:rPr>
          <w:rFonts w:ascii="Arial" w:hAnsi="Arial" w:cs="Arial"/>
          <w:sz w:val="22"/>
          <w:szCs w:val="22"/>
        </w:rPr>
        <w:t xml:space="preserve"> incidence </w:t>
      </w:r>
      <w:r w:rsidRPr="003B14B6">
        <w:rPr>
          <w:rFonts w:ascii="Arial" w:hAnsi="Arial" w:cs="Arial"/>
          <w:sz w:val="22"/>
          <w:szCs w:val="22"/>
        </w:rPr>
        <w:t xml:space="preserve">in the US </w:t>
      </w:r>
      <w:r w:rsidR="00E01C0E" w:rsidRPr="003B14B6">
        <w:rPr>
          <w:rFonts w:ascii="Arial" w:hAnsi="Arial" w:cs="Arial"/>
          <w:sz w:val="22"/>
          <w:szCs w:val="22"/>
        </w:rPr>
        <w:t xml:space="preserve">at </w:t>
      </w:r>
      <w:r w:rsidR="00D51582" w:rsidRPr="003B14B6">
        <w:rPr>
          <w:rFonts w:ascii="Arial" w:hAnsi="Arial" w:cs="Arial"/>
          <w:sz w:val="22"/>
          <w:szCs w:val="22"/>
        </w:rPr>
        <w:t>11.3%/100,000 (</w:t>
      </w:r>
      <w:r w:rsidR="00D8375F" w:rsidRPr="003B14B6">
        <w:rPr>
          <w:rFonts w:ascii="Arial" w:hAnsi="Arial" w:cs="Arial"/>
          <w:sz w:val="22"/>
          <w:szCs w:val="22"/>
        </w:rPr>
        <w:t>n=</w:t>
      </w:r>
      <w:r w:rsidR="00D51582" w:rsidRPr="003B14B6">
        <w:rPr>
          <w:rFonts w:ascii="Arial" w:hAnsi="Arial" w:cs="Arial"/>
          <w:sz w:val="22"/>
          <w:szCs w:val="22"/>
        </w:rPr>
        <w:t>53,000</w:t>
      </w:r>
      <w:r w:rsidR="00E01C0E" w:rsidRPr="003B14B6">
        <w:rPr>
          <w:rFonts w:ascii="Arial" w:hAnsi="Arial" w:cs="Arial"/>
          <w:sz w:val="22"/>
          <w:szCs w:val="22"/>
        </w:rPr>
        <w:t xml:space="preserve"> new cases</w:t>
      </w:r>
      <w:r w:rsidR="00D51582" w:rsidRPr="003B14B6">
        <w:rPr>
          <w:rFonts w:ascii="Arial" w:hAnsi="Arial" w:cs="Arial"/>
          <w:sz w:val="22"/>
          <w:szCs w:val="22"/>
        </w:rPr>
        <w:t>) in 2019, rep</w:t>
      </w:r>
      <w:r w:rsidR="00D90974" w:rsidRPr="003B14B6">
        <w:rPr>
          <w:rFonts w:ascii="Arial" w:hAnsi="Arial" w:cs="Arial"/>
          <w:sz w:val="22"/>
          <w:szCs w:val="22"/>
        </w:rPr>
        <w:t>resenting 3% of all new cancers.</w:t>
      </w:r>
      <w:r w:rsidR="00D51582" w:rsidRPr="003B14B6">
        <w:rPr>
          <w:rFonts w:ascii="Arial" w:hAnsi="Arial" w:cs="Arial"/>
          <w:sz w:val="22"/>
          <w:szCs w:val="22"/>
        </w:rPr>
        <w:t xml:space="preserve"> </w:t>
      </w:r>
      <w:r w:rsidR="00D90974" w:rsidRPr="003B14B6">
        <w:rPr>
          <w:rFonts w:ascii="Arial" w:hAnsi="Arial" w:cs="Arial"/>
          <w:sz w:val="22"/>
          <w:szCs w:val="22"/>
        </w:rPr>
        <w:t>Approximately</w:t>
      </w:r>
      <w:r w:rsidR="00D51582" w:rsidRPr="003B14B6">
        <w:rPr>
          <w:rFonts w:ascii="Arial" w:hAnsi="Arial" w:cs="Arial"/>
          <w:sz w:val="22"/>
          <w:szCs w:val="22"/>
        </w:rPr>
        <w:t xml:space="preserve"> 10,860 deaths</w:t>
      </w:r>
      <w:r w:rsidR="00D90974" w:rsidRPr="003B14B6">
        <w:rPr>
          <w:rFonts w:ascii="Arial" w:hAnsi="Arial" w:cs="Arial"/>
          <w:sz w:val="22"/>
          <w:szCs w:val="22"/>
        </w:rPr>
        <w:t xml:space="preserve"> are</w:t>
      </w:r>
      <w:r w:rsidR="00D51582" w:rsidRPr="003B14B6">
        <w:rPr>
          <w:rFonts w:ascii="Arial" w:hAnsi="Arial" w:cs="Arial"/>
          <w:sz w:val="22"/>
          <w:szCs w:val="22"/>
        </w:rPr>
        <w:t xml:space="preserve"> </w:t>
      </w:r>
      <w:r w:rsidR="00D90974" w:rsidRPr="003B14B6">
        <w:rPr>
          <w:rFonts w:ascii="Arial" w:hAnsi="Arial" w:cs="Arial"/>
          <w:sz w:val="22"/>
          <w:szCs w:val="22"/>
        </w:rPr>
        <w:t xml:space="preserve">directly </w:t>
      </w:r>
      <w:r w:rsidR="00D51582" w:rsidRPr="003B14B6">
        <w:rPr>
          <w:rFonts w:ascii="Arial" w:hAnsi="Arial" w:cs="Arial"/>
          <w:sz w:val="22"/>
          <w:szCs w:val="22"/>
        </w:rPr>
        <w:t>attributable to</w:t>
      </w:r>
      <w:r w:rsidR="00D90974" w:rsidRPr="003B14B6">
        <w:rPr>
          <w:rFonts w:ascii="Arial" w:hAnsi="Arial" w:cs="Arial"/>
          <w:sz w:val="22"/>
          <w:szCs w:val="22"/>
        </w:rPr>
        <w:t xml:space="preserve"> OC</w:t>
      </w:r>
      <w:commentRangeStart w:id="0"/>
      <w:r w:rsidR="00B44DD6" w:rsidRPr="003B14B6">
        <w:rPr>
          <w:rFonts w:ascii="Arial" w:hAnsi="Arial" w:cs="Arial"/>
          <w:sz w:val="22"/>
          <w:szCs w:val="22"/>
        </w:rPr>
        <w:t xml:space="preserve">. </w:t>
      </w:r>
      <w:commentRangeEnd w:id="0"/>
      <w:r w:rsidR="000934C9" w:rsidRPr="003B14B6">
        <w:rPr>
          <w:rStyle w:val="CommentReference"/>
          <w:rFonts w:ascii="Arial" w:hAnsi="Arial" w:cs="Arial"/>
          <w:sz w:val="22"/>
          <w:szCs w:val="22"/>
        </w:rPr>
        <w:commentReference w:id="0"/>
      </w:r>
      <w:r w:rsidRPr="003B14B6">
        <w:rPr>
          <w:rFonts w:ascii="Arial" w:hAnsi="Arial" w:cs="Arial"/>
          <w:sz w:val="22"/>
          <w:szCs w:val="22"/>
        </w:rPr>
        <w:t xml:space="preserve"> </w:t>
      </w:r>
      <w:r w:rsidR="00D90974" w:rsidRPr="003B14B6">
        <w:rPr>
          <w:rFonts w:ascii="Arial" w:hAnsi="Arial" w:cs="Arial"/>
          <w:sz w:val="22"/>
          <w:szCs w:val="22"/>
        </w:rPr>
        <w:t xml:space="preserve"> </w:t>
      </w:r>
      <w:proofErr w:type="gramStart"/>
      <w:r w:rsidR="00592524" w:rsidRPr="003B14B6">
        <w:rPr>
          <w:rFonts w:ascii="Arial" w:hAnsi="Arial" w:cs="Arial"/>
          <w:sz w:val="22"/>
          <w:szCs w:val="22"/>
        </w:rPr>
        <w:t>Because</w:t>
      </w:r>
      <w:proofErr w:type="gramEnd"/>
      <w:r w:rsidR="00592524" w:rsidRPr="003B14B6">
        <w:rPr>
          <w:rFonts w:ascii="Arial" w:hAnsi="Arial" w:cs="Arial"/>
          <w:sz w:val="22"/>
          <w:szCs w:val="22"/>
        </w:rPr>
        <w:t xml:space="preserve"> the oral cavity is </w:t>
      </w:r>
      <w:r w:rsidR="00B44DD6" w:rsidRPr="003B14B6">
        <w:rPr>
          <w:rFonts w:ascii="Arial" w:hAnsi="Arial" w:cs="Arial"/>
          <w:sz w:val="22"/>
          <w:szCs w:val="22"/>
        </w:rPr>
        <w:t>highly innervated</w:t>
      </w:r>
      <w:r w:rsidR="00592524" w:rsidRPr="003B14B6">
        <w:rPr>
          <w:rFonts w:ascii="Arial" w:hAnsi="Arial" w:cs="Arial"/>
          <w:sz w:val="22"/>
          <w:szCs w:val="22"/>
        </w:rPr>
        <w:t>,</w:t>
      </w:r>
      <w:r w:rsidR="00B44DD6" w:rsidRPr="003B14B6">
        <w:rPr>
          <w:rFonts w:ascii="Arial" w:hAnsi="Arial" w:cs="Arial"/>
          <w:sz w:val="22"/>
          <w:szCs w:val="22"/>
        </w:rPr>
        <w:t xml:space="preserve"> vascularized </w:t>
      </w:r>
      <w:r w:rsidR="00592524" w:rsidRPr="003B14B6">
        <w:rPr>
          <w:rFonts w:ascii="Arial" w:hAnsi="Arial" w:cs="Arial"/>
          <w:sz w:val="22"/>
          <w:szCs w:val="22"/>
        </w:rPr>
        <w:t xml:space="preserve">and </w:t>
      </w:r>
      <w:r w:rsidR="00FC57FD" w:rsidRPr="003B14B6">
        <w:rPr>
          <w:rFonts w:ascii="Arial" w:hAnsi="Arial" w:cs="Arial"/>
          <w:sz w:val="22"/>
          <w:szCs w:val="22"/>
        </w:rPr>
        <w:t>associated with</w:t>
      </w:r>
      <w:r w:rsidR="00592524" w:rsidRPr="003B14B6">
        <w:rPr>
          <w:rFonts w:ascii="Arial" w:hAnsi="Arial" w:cs="Arial"/>
          <w:sz w:val="22"/>
          <w:szCs w:val="22"/>
        </w:rPr>
        <w:t xml:space="preserve"> rich lymphatics</w:t>
      </w:r>
      <w:r w:rsidR="00310608" w:rsidRPr="003B14B6">
        <w:rPr>
          <w:rFonts w:ascii="Arial" w:hAnsi="Arial" w:cs="Arial"/>
          <w:sz w:val="22"/>
          <w:szCs w:val="22"/>
        </w:rPr>
        <w:t xml:space="preserve"> facilitating metastasis, </w:t>
      </w:r>
      <w:r w:rsidR="00944DEA" w:rsidRPr="003B14B6">
        <w:rPr>
          <w:rFonts w:ascii="Arial" w:hAnsi="Arial" w:cs="Arial"/>
          <w:sz w:val="22"/>
          <w:szCs w:val="22"/>
        </w:rPr>
        <w:t>late-stage presentation of O</w:t>
      </w:r>
      <w:r w:rsidR="00B44DD6" w:rsidRPr="003B14B6">
        <w:rPr>
          <w:rFonts w:ascii="Arial" w:hAnsi="Arial" w:cs="Arial"/>
          <w:sz w:val="22"/>
          <w:szCs w:val="22"/>
        </w:rPr>
        <w:t>C requir</w:t>
      </w:r>
      <w:r w:rsidR="00310608" w:rsidRPr="003B14B6">
        <w:rPr>
          <w:rFonts w:ascii="Arial" w:hAnsi="Arial" w:cs="Arial"/>
          <w:sz w:val="22"/>
          <w:szCs w:val="22"/>
        </w:rPr>
        <w:t>es</w:t>
      </w:r>
      <w:r w:rsidR="00B44DD6" w:rsidRPr="003B14B6">
        <w:rPr>
          <w:rFonts w:ascii="Arial" w:hAnsi="Arial" w:cs="Arial"/>
          <w:sz w:val="22"/>
          <w:szCs w:val="22"/>
        </w:rPr>
        <w:t xml:space="preserve"> aggressive treatment and </w:t>
      </w:r>
      <w:r w:rsidR="00310608" w:rsidRPr="003B14B6">
        <w:rPr>
          <w:rFonts w:ascii="Arial" w:hAnsi="Arial" w:cs="Arial"/>
          <w:sz w:val="22"/>
          <w:szCs w:val="22"/>
        </w:rPr>
        <w:t xml:space="preserve">is associated with </w:t>
      </w:r>
      <w:r w:rsidR="00B44DD6" w:rsidRPr="003B14B6">
        <w:rPr>
          <w:rFonts w:ascii="Arial" w:hAnsi="Arial" w:cs="Arial"/>
          <w:sz w:val="22"/>
          <w:szCs w:val="22"/>
        </w:rPr>
        <w:t xml:space="preserve">high </w:t>
      </w:r>
      <w:r w:rsidR="00310608" w:rsidRPr="003B14B6">
        <w:rPr>
          <w:rFonts w:ascii="Arial" w:hAnsi="Arial" w:cs="Arial"/>
          <w:sz w:val="22"/>
          <w:szCs w:val="22"/>
        </w:rPr>
        <w:t>mortality</w:t>
      </w:r>
      <w:r w:rsidR="00B44DD6" w:rsidRPr="003B14B6">
        <w:rPr>
          <w:rFonts w:ascii="Arial" w:hAnsi="Arial" w:cs="Arial"/>
          <w:sz w:val="22"/>
          <w:szCs w:val="22"/>
        </w:rPr>
        <w:t>.</w:t>
      </w:r>
      <w:r w:rsidR="000934C9" w:rsidRPr="003B14B6">
        <w:rPr>
          <w:rFonts w:ascii="Arial" w:hAnsi="Arial" w:cs="Arial"/>
          <w:sz w:val="22"/>
          <w:szCs w:val="22"/>
        </w:rPr>
        <w:t xml:space="preserve"> </w:t>
      </w:r>
      <w:r w:rsidR="00463323" w:rsidRPr="003B14B6">
        <w:rPr>
          <w:rFonts w:ascii="Arial" w:hAnsi="Arial" w:cs="Arial"/>
          <w:sz w:val="22"/>
          <w:szCs w:val="22"/>
        </w:rPr>
        <w:t xml:space="preserve">While </w:t>
      </w:r>
      <w:r w:rsidR="000934C9" w:rsidRPr="003B14B6">
        <w:rPr>
          <w:rFonts w:ascii="Arial" w:hAnsi="Arial" w:cs="Arial"/>
          <w:sz w:val="22"/>
          <w:szCs w:val="22"/>
        </w:rPr>
        <w:t xml:space="preserve">preventable and treatable if diagnosed early, </w:t>
      </w:r>
      <w:r w:rsidR="00B3264A" w:rsidRPr="003B14B6">
        <w:rPr>
          <w:rFonts w:ascii="Arial" w:hAnsi="Arial" w:cs="Arial"/>
          <w:sz w:val="22"/>
          <w:szCs w:val="22"/>
        </w:rPr>
        <w:t xml:space="preserve">OC </w:t>
      </w:r>
      <w:r w:rsidR="00B44DD6" w:rsidRPr="003B14B6">
        <w:rPr>
          <w:rFonts w:ascii="Arial" w:hAnsi="Arial" w:cs="Arial"/>
          <w:sz w:val="22"/>
          <w:szCs w:val="22"/>
        </w:rPr>
        <w:t>survival rate</w:t>
      </w:r>
      <w:r w:rsidR="00480E44" w:rsidRPr="003B14B6">
        <w:rPr>
          <w:rFonts w:ascii="Arial" w:hAnsi="Arial" w:cs="Arial"/>
          <w:sz w:val="22"/>
          <w:szCs w:val="22"/>
        </w:rPr>
        <w:t xml:space="preserve"> decreases with advancing sta</w:t>
      </w:r>
      <w:r w:rsidR="000934C9" w:rsidRPr="003B14B6">
        <w:rPr>
          <w:rFonts w:ascii="Arial" w:hAnsi="Arial" w:cs="Arial"/>
          <w:sz w:val="22"/>
          <w:szCs w:val="22"/>
        </w:rPr>
        <w:t>ge,</w:t>
      </w:r>
      <w:r w:rsidR="00480E44" w:rsidRPr="003B14B6">
        <w:rPr>
          <w:rFonts w:ascii="Arial" w:hAnsi="Arial" w:cs="Arial"/>
          <w:sz w:val="22"/>
          <w:szCs w:val="22"/>
        </w:rPr>
        <w:t xml:space="preserve"> with</w:t>
      </w:r>
      <w:r w:rsidR="00B44DD6" w:rsidRPr="003B14B6">
        <w:rPr>
          <w:rFonts w:ascii="Arial" w:hAnsi="Arial" w:cs="Arial"/>
          <w:sz w:val="22"/>
          <w:szCs w:val="22"/>
        </w:rPr>
        <w:t xml:space="preserve"> stage I and II </w:t>
      </w:r>
      <w:r w:rsidR="00480E44" w:rsidRPr="003B14B6">
        <w:rPr>
          <w:rFonts w:ascii="Arial" w:hAnsi="Arial" w:cs="Arial"/>
          <w:sz w:val="22"/>
          <w:szCs w:val="22"/>
        </w:rPr>
        <w:t xml:space="preserve">survival rate </w:t>
      </w:r>
      <w:r w:rsidR="00B44DD6" w:rsidRPr="003B14B6">
        <w:rPr>
          <w:rFonts w:ascii="Arial" w:hAnsi="Arial" w:cs="Arial"/>
          <w:sz w:val="22"/>
          <w:szCs w:val="22"/>
        </w:rPr>
        <w:t>&gt;80%, decreasing to 60% for stage III and &lt;40% for stage IV with systemic metastasis</w:t>
      </w:r>
      <w:commentRangeStart w:id="1"/>
      <w:r w:rsidR="00B44DD6" w:rsidRPr="003B14B6">
        <w:rPr>
          <w:rFonts w:ascii="Arial" w:hAnsi="Arial" w:cs="Arial"/>
          <w:sz w:val="22"/>
          <w:szCs w:val="22"/>
        </w:rPr>
        <w:fldChar w:fldCharType="begin" w:fldLock="1"/>
      </w:r>
      <w:r w:rsidR="00B44DD6" w:rsidRPr="003B14B6">
        <w:rPr>
          <w:rFonts w:ascii="Arial" w:hAnsi="Arial" w:cs="Arial"/>
          <w:sz w:val="22"/>
          <w:szCs w:val="22"/>
        </w:rPr>
        <w:instrText>ADDIN CSL_CITATION {"citationItems":[{"id":"ITEM-1","itemData":{"author":[{"dropping-particle":"","family":"American Cancer Society","given":"","non-dropping-particle":"","parse-names":false,"suffix":""}],"container-title":"American Cancer Society. Atlanta, Ga","id":"ITEM-1","issued":{"date-parts":[["2019"]]},"title":"Facts &amp; Figures 2019","type":"article-journal"},"uris":["http://www.mendeley.com/documents/?uuid=0b9ac5ab-92a5-4a55-bcb1-23ad16b18ad5"]}],"mendeley":{"formattedCitation":"&lt;sup&gt;2&lt;/sup&gt;","plainTextFormattedCitation":"2","previouslyFormattedCitation":"&lt;sup&gt;2&lt;/sup&gt;"},"properties":{"noteIndex":0},"schema":"https://github.com/citation-style-language/schema/raw/master/csl-citation.json"}</w:instrText>
      </w:r>
      <w:r w:rsidR="00B44DD6" w:rsidRPr="003B14B6">
        <w:rPr>
          <w:rFonts w:ascii="Arial" w:hAnsi="Arial" w:cs="Arial"/>
          <w:sz w:val="22"/>
          <w:szCs w:val="22"/>
        </w:rPr>
        <w:fldChar w:fldCharType="separate"/>
      </w:r>
      <w:r w:rsidR="00B44DD6" w:rsidRPr="003B14B6">
        <w:rPr>
          <w:rFonts w:ascii="Arial" w:hAnsi="Arial" w:cs="Arial"/>
          <w:noProof/>
          <w:sz w:val="22"/>
          <w:szCs w:val="22"/>
          <w:vertAlign w:val="superscript"/>
        </w:rPr>
        <w:t>2</w:t>
      </w:r>
      <w:r w:rsidR="00B44DD6" w:rsidRPr="003B14B6">
        <w:rPr>
          <w:rFonts w:ascii="Arial" w:hAnsi="Arial" w:cs="Arial"/>
          <w:sz w:val="22"/>
          <w:szCs w:val="22"/>
        </w:rPr>
        <w:fldChar w:fldCharType="end"/>
      </w:r>
      <w:commentRangeEnd w:id="1"/>
      <w:r w:rsidR="00FC57FD" w:rsidRPr="003B14B6">
        <w:rPr>
          <w:rStyle w:val="CommentReference"/>
          <w:rFonts w:ascii="Arial" w:hAnsi="Arial" w:cs="Arial"/>
          <w:sz w:val="22"/>
          <w:szCs w:val="22"/>
        </w:rPr>
        <w:commentReference w:id="1"/>
      </w:r>
      <w:r w:rsidR="00B44DD6" w:rsidRPr="003B14B6">
        <w:rPr>
          <w:rFonts w:ascii="Arial" w:hAnsi="Arial" w:cs="Arial"/>
          <w:sz w:val="22"/>
          <w:szCs w:val="22"/>
        </w:rPr>
        <w:t xml:space="preserve">.  </w:t>
      </w:r>
      <w:r w:rsidR="00944DEA" w:rsidRPr="003B14B6">
        <w:rPr>
          <w:rFonts w:ascii="Arial" w:hAnsi="Arial" w:cs="Arial"/>
          <w:sz w:val="22"/>
          <w:szCs w:val="22"/>
        </w:rPr>
        <w:t xml:space="preserve">The estimated cost associated with OC in the US in 2017 </w:t>
      </w:r>
      <w:r w:rsidR="00310608" w:rsidRPr="003B14B6">
        <w:rPr>
          <w:rFonts w:ascii="Arial" w:hAnsi="Arial" w:cs="Arial"/>
          <w:sz w:val="22"/>
          <w:szCs w:val="22"/>
        </w:rPr>
        <w:t>exceeded</w:t>
      </w:r>
      <w:r w:rsidR="00944DEA" w:rsidRPr="003B14B6">
        <w:rPr>
          <w:rFonts w:ascii="Arial" w:hAnsi="Arial" w:cs="Arial"/>
          <w:sz w:val="22"/>
          <w:szCs w:val="22"/>
        </w:rPr>
        <w:t xml:space="preserve"> $4 billion</w:t>
      </w:r>
      <w:r w:rsidR="00944DEA" w:rsidRPr="003B14B6">
        <w:rPr>
          <w:rFonts w:ascii="Arial" w:hAnsi="Arial" w:cs="Arial"/>
          <w:sz w:val="22"/>
          <w:szCs w:val="22"/>
          <w:vertAlign w:val="superscript"/>
        </w:rPr>
        <w:t>4</w:t>
      </w:r>
      <w:r w:rsidR="00944DEA" w:rsidRPr="003B14B6">
        <w:rPr>
          <w:rFonts w:ascii="Arial" w:hAnsi="Arial" w:cs="Arial"/>
          <w:sz w:val="22"/>
          <w:szCs w:val="22"/>
        </w:rPr>
        <w:t>.  Highest oral cancer risk has been associated with behavioral factors including smoking</w:t>
      </w:r>
      <w:r w:rsidR="00D90974" w:rsidRPr="003B14B6">
        <w:rPr>
          <w:rFonts w:ascii="Arial" w:hAnsi="Arial" w:cs="Arial"/>
          <w:sz w:val="22"/>
          <w:szCs w:val="22"/>
        </w:rPr>
        <w:t>,</w:t>
      </w:r>
      <w:r w:rsidR="00944DEA" w:rsidRPr="003B14B6">
        <w:rPr>
          <w:rFonts w:ascii="Arial" w:hAnsi="Arial" w:cs="Arial"/>
          <w:sz w:val="22"/>
          <w:szCs w:val="22"/>
        </w:rPr>
        <w:t xml:space="preserve"> alcohol consumption</w:t>
      </w:r>
      <w:r w:rsidR="00D90974" w:rsidRPr="003B14B6">
        <w:rPr>
          <w:rFonts w:ascii="Arial" w:hAnsi="Arial" w:cs="Arial"/>
          <w:sz w:val="22"/>
          <w:szCs w:val="22"/>
        </w:rPr>
        <w:t>, and positive status for human papilloma virus (HPV) for certain oral cancers, including oropharyngeal and tonsillar tumors</w:t>
      </w:r>
      <w:r w:rsidR="00944DEA" w:rsidRPr="003B14B6">
        <w:rPr>
          <w:rFonts w:ascii="Arial" w:hAnsi="Arial" w:cs="Arial"/>
          <w:sz w:val="22"/>
          <w:szCs w:val="22"/>
        </w:rPr>
        <w:t>.</w:t>
      </w:r>
    </w:p>
    <w:p w:rsidR="00300927" w:rsidRPr="003B14B6" w:rsidRDefault="00944DEA" w:rsidP="00944DEA">
      <w:pPr>
        <w:ind w:firstLine="720"/>
        <w:rPr>
          <w:rFonts w:ascii="Arial" w:hAnsi="Arial" w:cs="Arial"/>
          <w:sz w:val="22"/>
          <w:szCs w:val="22"/>
        </w:rPr>
      </w:pPr>
      <w:r w:rsidRPr="003B14B6">
        <w:rPr>
          <w:rFonts w:ascii="Arial" w:hAnsi="Arial" w:cs="Arial"/>
          <w:sz w:val="22"/>
          <w:szCs w:val="22"/>
        </w:rPr>
        <w:t>While estimated overall 5 year survival (2009-2015) has been increasing</w:t>
      </w:r>
      <w:r w:rsidR="00D90974" w:rsidRPr="003B14B6">
        <w:rPr>
          <w:rFonts w:ascii="Arial" w:hAnsi="Arial" w:cs="Arial"/>
          <w:sz w:val="22"/>
          <w:szCs w:val="22"/>
        </w:rPr>
        <w:t>,</w:t>
      </w:r>
      <w:r w:rsidRPr="003B14B6">
        <w:rPr>
          <w:rFonts w:ascii="Arial" w:hAnsi="Arial" w:cs="Arial"/>
          <w:sz w:val="22"/>
          <w:szCs w:val="22"/>
        </w:rPr>
        <w:t xml:space="preserve"> achieving 65.3% in 2015</w:t>
      </w:r>
      <w:r w:rsidRPr="003B14B6">
        <w:rPr>
          <w:rFonts w:ascii="Arial" w:hAnsi="Arial" w:cs="Arial"/>
          <w:sz w:val="22"/>
          <w:szCs w:val="22"/>
          <w:vertAlign w:val="superscript"/>
        </w:rPr>
        <w:t>1</w:t>
      </w:r>
      <w:r w:rsidRPr="003B14B6">
        <w:rPr>
          <w:rFonts w:ascii="Arial" w:hAnsi="Arial" w:cs="Arial"/>
          <w:sz w:val="22"/>
          <w:szCs w:val="22"/>
        </w:rPr>
        <w:t>, trends between 1999-2015 document</w:t>
      </w:r>
      <w:r w:rsidR="00AF0449" w:rsidRPr="003B14B6">
        <w:rPr>
          <w:rFonts w:ascii="Arial" w:hAnsi="Arial" w:cs="Arial"/>
          <w:sz w:val="22"/>
          <w:szCs w:val="22"/>
        </w:rPr>
        <w:t>ed</w:t>
      </w:r>
      <w:r w:rsidRPr="003B14B6">
        <w:rPr>
          <w:rFonts w:ascii="Arial" w:hAnsi="Arial" w:cs="Arial"/>
          <w:sz w:val="22"/>
          <w:szCs w:val="22"/>
        </w:rPr>
        <w:t xml:space="preserve"> increase</w:t>
      </w:r>
      <w:r w:rsidR="00AF0449" w:rsidRPr="003B14B6">
        <w:rPr>
          <w:rFonts w:ascii="Arial" w:hAnsi="Arial" w:cs="Arial"/>
          <w:sz w:val="22"/>
          <w:szCs w:val="22"/>
        </w:rPr>
        <w:t>d</w:t>
      </w:r>
      <w:r w:rsidRPr="003B14B6">
        <w:rPr>
          <w:rFonts w:ascii="Arial" w:hAnsi="Arial" w:cs="Arial"/>
          <w:sz w:val="22"/>
          <w:szCs w:val="22"/>
        </w:rPr>
        <w:t xml:space="preserve"> </w:t>
      </w:r>
      <w:r w:rsidR="00D90974" w:rsidRPr="003B14B6">
        <w:rPr>
          <w:rFonts w:ascii="Arial" w:hAnsi="Arial" w:cs="Arial"/>
          <w:sz w:val="22"/>
          <w:szCs w:val="22"/>
        </w:rPr>
        <w:t>incidence of certain HPV 16</w:t>
      </w:r>
      <w:r w:rsidRPr="003B14B6">
        <w:rPr>
          <w:rFonts w:ascii="Arial" w:hAnsi="Arial" w:cs="Arial"/>
          <w:sz w:val="22"/>
          <w:szCs w:val="22"/>
        </w:rPr>
        <w:t xml:space="preserve">-associated </w:t>
      </w:r>
      <w:r w:rsidR="00D90974" w:rsidRPr="003B14B6">
        <w:rPr>
          <w:rFonts w:ascii="Arial" w:hAnsi="Arial" w:cs="Arial"/>
          <w:sz w:val="22"/>
          <w:szCs w:val="22"/>
        </w:rPr>
        <w:t>OC</w:t>
      </w:r>
      <w:r w:rsidR="00AF0449" w:rsidRPr="003B14B6">
        <w:rPr>
          <w:rFonts w:ascii="Arial" w:hAnsi="Arial" w:cs="Arial"/>
          <w:sz w:val="22"/>
          <w:szCs w:val="22"/>
        </w:rPr>
        <w:t>s</w:t>
      </w:r>
      <w:r w:rsidRPr="003B14B6">
        <w:rPr>
          <w:rFonts w:ascii="Arial" w:hAnsi="Arial" w:cs="Arial"/>
          <w:sz w:val="22"/>
          <w:szCs w:val="22"/>
        </w:rPr>
        <w:t xml:space="preserve"> (2.7% in men and 0.8% in women)</w:t>
      </w:r>
      <w:commentRangeStart w:id="2"/>
      <w:r w:rsidRPr="003B14B6">
        <w:rPr>
          <w:rFonts w:ascii="Arial" w:hAnsi="Arial" w:cs="Arial"/>
          <w:sz w:val="22"/>
          <w:szCs w:val="22"/>
          <w:vertAlign w:val="superscript"/>
        </w:rPr>
        <w:t>2</w:t>
      </w:r>
      <w:commentRangeEnd w:id="2"/>
      <w:r w:rsidRPr="003B14B6">
        <w:rPr>
          <w:rStyle w:val="CommentReference"/>
          <w:rFonts w:ascii="Arial" w:hAnsi="Arial" w:cs="Arial"/>
          <w:sz w:val="22"/>
          <w:szCs w:val="22"/>
        </w:rPr>
        <w:commentReference w:id="2"/>
      </w:r>
      <w:r w:rsidRPr="003B14B6">
        <w:rPr>
          <w:rFonts w:ascii="Arial" w:hAnsi="Arial" w:cs="Arial"/>
          <w:sz w:val="22"/>
          <w:szCs w:val="22"/>
        </w:rPr>
        <w:t xml:space="preserve">.  In 2015, nearly 19,000 HPV-associated </w:t>
      </w:r>
      <w:r w:rsidR="00D90974" w:rsidRPr="003B14B6">
        <w:rPr>
          <w:rFonts w:ascii="Arial" w:hAnsi="Arial" w:cs="Arial"/>
          <w:sz w:val="22"/>
          <w:szCs w:val="22"/>
        </w:rPr>
        <w:t>OCs</w:t>
      </w:r>
      <w:r w:rsidRPr="003B14B6">
        <w:rPr>
          <w:rFonts w:ascii="Arial" w:hAnsi="Arial" w:cs="Arial"/>
          <w:sz w:val="22"/>
          <w:szCs w:val="22"/>
        </w:rPr>
        <w:t xml:space="preserve"> were diagnosed, </w:t>
      </w:r>
      <w:r w:rsidR="00AF0449" w:rsidRPr="003B14B6">
        <w:rPr>
          <w:rFonts w:ascii="Arial" w:hAnsi="Arial" w:cs="Arial"/>
          <w:sz w:val="22"/>
          <w:szCs w:val="22"/>
        </w:rPr>
        <w:t>establishing</w:t>
      </w:r>
      <w:r w:rsidRPr="003B14B6">
        <w:rPr>
          <w:rFonts w:ascii="Arial" w:hAnsi="Arial" w:cs="Arial"/>
          <w:sz w:val="22"/>
          <w:szCs w:val="22"/>
        </w:rPr>
        <w:t xml:space="preserve"> it </w:t>
      </w:r>
      <w:r w:rsidR="00AF0449" w:rsidRPr="003B14B6">
        <w:rPr>
          <w:rFonts w:ascii="Arial" w:hAnsi="Arial" w:cs="Arial"/>
          <w:sz w:val="22"/>
          <w:szCs w:val="22"/>
        </w:rPr>
        <w:t xml:space="preserve">as </w:t>
      </w:r>
      <w:r w:rsidRPr="003B14B6">
        <w:rPr>
          <w:rFonts w:ascii="Arial" w:hAnsi="Arial" w:cs="Arial"/>
          <w:sz w:val="22"/>
          <w:szCs w:val="22"/>
        </w:rPr>
        <w:t xml:space="preserve">the most </w:t>
      </w:r>
      <w:proofErr w:type="gramStart"/>
      <w:r w:rsidR="00AF0449" w:rsidRPr="003B14B6">
        <w:rPr>
          <w:rFonts w:ascii="Arial" w:hAnsi="Arial" w:cs="Arial"/>
          <w:sz w:val="22"/>
          <w:szCs w:val="22"/>
        </w:rPr>
        <w:t>frequently-</w:t>
      </w:r>
      <w:r w:rsidRPr="003B14B6">
        <w:rPr>
          <w:rFonts w:ascii="Arial" w:hAnsi="Arial" w:cs="Arial"/>
          <w:sz w:val="22"/>
          <w:szCs w:val="22"/>
        </w:rPr>
        <w:t>diagnosed</w:t>
      </w:r>
      <w:proofErr w:type="gramEnd"/>
      <w:r w:rsidRPr="003B14B6">
        <w:rPr>
          <w:rFonts w:ascii="Arial" w:hAnsi="Arial" w:cs="Arial"/>
          <w:sz w:val="22"/>
          <w:szCs w:val="22"/>
        </w:rPr>
        <w:t xml:space="preserve"> HPV-associated cancer</w:t>
      </w:r>
      <w:r w:rsidR="00FC57FD" w:rsidRPr="003B14B6">
        <w:rPr>
          <w:rFonts w:ascii="Arial" w:hAnsi="Arial" w:cs="Arial"/>
          <w:sz w:val="22"/>
          <w:szCs w:val="22"/>
          <w:vertAlign w:val="superscript"/>
        </w:rPr>
        <w:t>2</w:t>
      </w:r>
      <w:r w:rsidR="00FC57FD" w:rsidRPr="003B14B6">
        <w:rPr>
          <w:rFonts w:ascii="Arial" w:hAnsi="Arial" w:cs="Arial"/>
          <w:sz w:val="22"/>
          <w:szCs w:val="22"/>
        </w:rPr>
        <w:t xml:space="preserve">.  </w:t>
      </w:r>
      <w:r w:rsidR="00CC79BA" w:rsidRPr="003B14B6">
        <w:rPr>
          <w:rFonts w:ascii="Arial" w:hAnsi="Arial" w:cs="Arial"/>
          <w:sz w:val="22"/>
          <w:szCs w:val="22"/>
        </w:rPr>
        <w:t>Moreover, between</w:t>
      </w:r>
      <w:r w:rsidR="00FC57FD" w:rsidRPr="003B14B6">
        <w:rPr>
          <w:rFonts w:ascii="Arial" w:hAnsi="Arial" w:cs="Arial"/>
          <w:sz w:val="22"/>
          <w:szCs w:val="22"/>
        </w:rPr>
        <w:t xml:space="preserve"> 1999 and 2016, </w:t>
      </w:r>
      <w:r w:rsidR="00CC79BA" w:rsidRPr="003B14B6">
        <w:rPr>
          <w:rFonts w:ascii="Arial" w:hAnsi="Arial" w:cs="Arial"/>
          <w:sz w:val="22"/>
          <w:szCs w:val="22"/>
        </w:rPr>
        <w:t xml:space="preserve">a notable increase in tongue cancer </w:t>
      </w:r>
      <w:r w:rsidR="00946D20" w:rsidRPr="003B14B6">
        <w:rPr>
          <w:rFonts w:ascii="Arial" w:hAnsi="Arial" w:cs="Arial"/>
          <w:sz w:val="22"/>
          <w:szCs w:val="22"/>
        </w:rPr>
        <w:t>(</w:t>
      </w:r>
      <w:r w:rsidR="00CC79BA" w:rsidRPr="003B14B6">
        <w:rPr>
          <w:rFonts w:ascii="Arial" w:hAnsi="Arial" w:cs="Arial"/>
          <w:sz w:val="22"/>
          <w:szCs w:val="22"/>
        </w:rPr>
        <w:t>2.5 to 3.8 per 100,000</w:t>
      </w:r>
      <w:r w:rsidR="00946D20" w:rsidRPr="003B14B6">
        <w:rPr>
          <w:rFonts w:ascii="Arial" w:hAnsi="Arial" w:cs="Arial"/>
          <w:sz w:val="22"/>
          <w:szCs w:val="22"/>
        </w:rPr>
        <w:t>)</w:t>
      </w:r>
      <w:r w:rsidR="00CC79BA" w:rsidRPr="003B14B6">
        <w:rPr>
          <w:rFonts w:ascii="Arial" w:hAnsi="Arial" w:cs="Arial"/>
          <w:sz w:val="22"/>
          <w:szCs w:val="22"/>
        </w:rPr>
        <w:t xml:space="preserve"> was observed with &gt;17,000 new cases </w:t>
      </w:r>
      <w:r w:rsidR="00AF0449" w:rsidRPr="003B14B6">
        <w:rPr>
          <w:rFonts w:ascii="Arial" w:hAnsi="Arial" w:cs="Arial"/>
          <w:sz w:val="22"/>
          <w:szCs w:val="22"/>
        </w:rPr>
        <w:t xml:space="preserve">predicted </w:t>
      </w:r>
      <w:r w:rsidR="00CC79BA" w:rsidRPr="003B14B6">
        <w:rPr>
          <w:rFonts w:ascii="Arial" w:hAnsi="Arial" w:cs="Arial"/>
          <w:sz w:val="22"/>
          <w:szCs w:val="22"/>
        </w:rPr>
        <w:t>in 2019</w:t>
      </w:r>
      <w:r w:rsidR="00CC79BA" w:rsidRPr="003B14B6">
        <w:rPr>
          <w:rFonts w:ascii="Arial" w:hAnsi="Arial" w:cs="Arial"/>
          <w:sz w:val="22"/>
          <w:szCs w:val="22"/>
          <w:vertAlign w:val="superscript"/>
        </w:rPr>
        <w:t>1</w:t>
      </w:r>
      <w:r w:rsidR="00CC79BA" w:rsidRPr="003B14B6">
        <w:rPr>
          <w:rFonts w:ascii="Arial" w:hAnsi="Arial" w:cs="Arial"/>
          <w:sz w:val="22"/>
          <w:szCs w:val="22"/>
        </w:rPr>
        <w:t xml:space="preserve">.  </w:t>
      </w:r>
      <w:r w:rsidR="00946D20" w:rsidRPr="003B14B6">
        <w:rPr>
          <w:rFonts w:ascii="Arial" w:hAnsi="Arial" w:cs="Arial"/>
          <w:sz w:val="22"/>
          <w:szCs w:val="22"/>
        </w:rPr>
        <w:t>An</w:t>
      </w:r>
      <w:r w:rsidR="00CC79BA" w:rsidRPr="003B14B6">
        <w:rPr>
          <w:rFonts w:ascii="Arial" w:hAnsi="Arial" w:cs="Arial"/>
          <w:sz w:val="22"/>
          <w:szCs w:val="22"/>
        </w:rPr>
        <w:t xml:space="preserve"> estimated 70% of </w:t>
      </w:r>
      <w:r w:rsidR="00946D20" w:rsidRPr="003B14B6">
        <w:rPr>
          <w:rFonts w:ascii="Arial" w:hAnsi="Arial" w:cs="Arial"/>
          <w:sz w:val="22"/>
          <w:szCs w:val="22"/>
        </w:rPr>
        <w:t>oropharyngeal cancers</w:t>
      </w:r>
      <w:r w:rsidR="00CC79BA" w:rsidRPr="003B14B6">
        <w:rPr>
          <w:rFonts w:ascii="Arial" w:hAnsi="Arial" w:cs="Arial"/>
          <w:sz w:val="22"/>
          <w:szCs w:val="22"/>
        </w:rPr>
        <w:t xml:space="preserve"> </w:t>
      </w:r>
      <w:proofErr w:type="gramStart"/>
      <w:r w:rsidR="00E96620" w:rsidRPr="003B14B6">
        <w:rPr>
          <w:rFonts w:ascii="Arial" w:hAnsi="Arial" w:cs="Arial"/>
          <w:sz w:val="22"/>
          <w:szCs w:val="22"/>
        </w:rPr>
        <w:t>are linked</w:t>
      </w:r>
      <w:proofErr w:type="gramEnd"/>
      <w:r w:rsidR="00E96620" w:rsidRPr="003B14B6">
        <w:rPr>
          <w:rFonts w:ascii="Arial" w:hAnsi="Arial" w:cs="Arial"/>
          <w:sz w:val="22"/>
          <w:szCs w:val="22"/>
        </w:rPr>
        <w:t xml:space="preserve"> to HPV 16</w:t>
      </w:r>
      <w:r w:rsidR="00946D20" w:rsidRPr="003B14B6">
        <w:rPr>
          <w:rFonts w:ascii="Arial" w:hAnsi="Arial" w:cs="Arial"/>
          <w:sz w:val="22"/>
          <w:szCs w:val="22"/>
        </w:rPr>
        <w:t>, a sexually transmitted virus,</w:t>
      </w:r>
      <w:r w:rsidR="001B5949" w:rsidRPr="003B14B6">
        <w:rPr>
          <w:rFonts w:ascii="Arial" w:hAnsi="Arial" w:cs="Arial"/>
          <w:sz w:val="22"/>
          <w:szCs w:val="22"/>
        </w:rPr>
        <w:t xml:space="preserve"> </w:t>
      </w:r>
      <w:r w:rsidR="00946D20" w:rsidRPr="003B14B6">
        <w:rPr>
          <w:rFonts w:ascii="Arial" w:hAnsi="Arial" w:cs="Arial"/>
          <w:sz w:val="22"/>
          <w:szCs w:val="22"/>
        </w:rPr>
        <w:t xml:space="preserve">while HPV 16+ status is associated with </w:t>
      </w:r>
      <w:r w:rsidR="008345E3" w:rsidRPr="003B14B6">
        <w:rPr>
          <w:rFonts w:ascii="Arial" w:hAnsi="Arial" w:cs="Arial"/>
          <w:sz w:val="22"/>
          <w:szCs w:val="22"/>
        </w:rPr>
        <w:t xml:space="preserve">3% of </w:t>
      </w:r>
      <w:r w:rsidR="00946D20" w:rsidRPr="003B14B6">
        <w:rPr>
          <w:rFonts w:ascii="Arial" w:hAnsi="Arial" w:cs="Arial"/>
          <w:sz w:val="22"/>
          <w:szCs w:val="22"/>
        </w:rPr>
        <w:t xml:space="preserve">oral cavity </w:t>
      </w:r>
      <w:r w:rsidR="008345E3" w:rsidRPr="003B14B6">
        <w:rPr>
          <w:rFonts w:ascii="Arial" w:hAnsi="Arial" w:cs="Arial"/>
          <w:sz w:val="22"/>
          <w:szCs w:val="22"/>
        </w:rPr>
        <w:t>cancers</w:t>
      </w:r>
      <w:r w:rsidR="00946D20" w:rsidRPr="003B14B6">
        <w:rPr>
          <w:rFonts w:ascii="Arial" w:hAnsi="Arial" w:cs="Arial"/>
          <w:sz w:val="22"/>
          <w:szCs w:val="22"/>
        </w:rPr>
        <w:t xml:space="preserve">. </w:t>
      </w:r>
      <w:r w:rsidR="008345E3" w:rsidRPr="003B14B6">
        <w:rPr>
          <w:rFonts w:ascii="Arial" w:hAnsi="Arial" w:cs="Arial"/>
          <w:sz w:val="22"/>
          <w:szCs w:val="22"/>
        </w:rPr>
        <w:t xml:space="preserve">National </w:t>
      </w:r>
      <w:r w:rsidR="001B5949" w:rsidRPr="003B14B6">
        <w:rPr>
          <w:rFonts w:ascii="Arial" w:hAnsi="Arial" w:cs="Arial"/>
          <w:sz w:val="22"/>
          <w:szCs w:val="22"/>
        </w:rPr>
        <w:t xml:space="preserve">SEER </w:t>
      </w:r>
      <w:r w:rsidR="00EC7827" w:rsidRPr="003B14B6">
        <w:rPr>
          <w:rFonts w:ascii="Arial" w:hAnsi="Arial" w:cs="Arial"/>
          <w:sz w:val="22"/>
          <w:szCs w:val="22"/>
        </w:rPr>
        <w:t xml:space="preserve">data </w:t>
      </w:r>
      <w:r w:rsidR="001B5949" w:rsidRPr="003B14B6">
        <w:rPr>
          <w:rFonts w:ascii="Arial" w:hAnsi="Arial" w:cs="Arial"/>
          <w:sz w:val="22"/>
          <w:szCs w:val="22"/>
        </w:rPr>
        <w:t>document</w:t>
      </w:r>
      <w:r w:rsidR="00EC7827" w:rsidRPr="003B14B6">
        <w:rPr>
          <w:rFonts w:ascii="Arial" w:hAnsi="Arial" w:cs="Arial"/>
          <w:sz w:val="22"/>
          <w:szCs w:val="22"/>
        </w:rPr>
        <w:t>e</w:t>
      </w:r>
      <w:r w:rsidR="001B5949" w:rsidRPr="003B14B6">
        <w:rPr>
          <w:rFonts w:ascii="Arial" w:hAnsi="Arial" w:cs="Arial"/>
          <w:sz w:val="22"/>
          <w:szCs w:val="22"/>
        </w:rPr>
        <w:t xml:space="preserve">d a rise in both number (burden) and rates (risk) </w:t>
      </w:r>
      <w:r w:rsidR="00EC7827" w:rsidRPr="003B14B6">
        <w:rPr>
          <w:rFonts w:ascii="Arial" w:hAnsi="Arial" w:cs="Arial"/>
          <w:sz w:val="22"/>
          <w:szCs w:val="22"/>
        </w:rPr>
        <w:t xml:space="preserve">of </w:t>
      </w:r>
      <w:r w:rsidR="001B5949" w:rsidRPr="003B14B6">
        <w:rPr>
          <w:rFonts w:ascii="Arial" w:hAnsi="Arial" w:cs="Arial"/>
          <w:sz w:val="22"/>
          <w:szCs w:val="22"/>
        </w:rPr>
        <w:t>28% and 5%, respectively</w:t>
      </w:r>
      <w:r w:rsidR="00EC7827" w:rsidRPr="003B14B6">
        <w:rPr>
          <w:rFonts w:ascii="Arial" w:hAnsi="Arial" w:cs="Arial"/>
          <w:sz w:val="22"/>
          <w:szCs w:val="22"/>
        </w:rPr>
        <w:t xml:space="preserve"> for </w:t>
      </w:r>
      <w:r w:rsidR="00946D20" w:rsidRPr="003B14B6">
        <w:rPr>
          <w:rFonts w:ascii="Arial" w:hAnsi="Arial" w:cs="Arial"/>
          <w:sz w:val="22"/>
          <w:szCs w:val="22"/>
        </w:rPr>
        <w:t>OCs</w:t>
      </w:r>
      <w:r w:rsidR="001B5949" w:rsidRPr="003B14B6">
        <w:rPr>
          <w:rFonts w:ascii="Arial" w:hAnsi="Arial" w:cs="Arial"/>
          <w:sz w:val="22"/>
          <w:szCs w:val="22"/>
        </w:rPr>
        <w:t xml:space="preserve"> between 2007 and 2016</w:t>
      </w:r>
      <w:commentRangeStart w:id="3"/>
      <w:r w:rsidR="001B5949" w:rsidRPr="003B14B6">
        <w:rPr>
          <w:rFonts w:ascii="Arial" w:hAnsi="Arial" w:cs="Arial"/>
          <w:sz w:val="22"/>
          <w:szCs w:val="22"/>
          <w:vertAlign w:val="superscript"/>
        </w:rPr>
        <w:t>3</w:t>
      </w:r>
      <w:commentRangeEnd w:id="3"/>
      <w:r w:rsidR="001B5949" w:rsidRPr="003B14B6">
        <w:rPr>
          <w:rStyle w:val="CommentReference"/>
          <w:rFonts w:ascii="Arial" w:hAnsi="Arial" w:cs="Arial"/>
          <w:sz w:val="22"/>
          <w:szCs w:val="22"/>
        </w:rPr>
        <w:commentReference w:id="3"/>
      </w:r>
      <w:r w:rsidR="001B5949" w:rsidRPr="003B14B6">
        <w:rPr>
          <w:rFonts w:ascii="Arial" w:hAnsi="Arial" w:cs="Arial"/>
          <w:sz w:val="22"/>
          <w:szCs w:val="22"/>
        </w:rPr>
        <w:t xml:space="preserve">. </w:t>
      </w:r>
      <w:r w:rsidR="004F352E" w:rsidRPr="003B14B6">
        <w:rPr>
          <w:rFonts w:ascii="Arial" w:hAnsi="Arial" w:cs="Arial"/>
          <w:sz w:val="22"/>
          <w:szCs w:val="22"/>
        </w:rPr>
        <w:t xml:space="preserve">Whereas HPV immunization </w:t>
      </w:r>
      <w:proofErr w:type="gramStart"/>
      <w:r w:rsidR="004F352E" w:rsidRPr="003B14B6">
        <w:rPr>
          <w:rFonts w:ascii="Arial" w:hAnsi="Arial" w:cs="Arial"/>
          <w:sz w:val="22"/>
          <w:szCs w:val="22"/>
        </w:rPr>
        <w:t xml:space="preserve">is </w:t>
      </w:r>
      <w:r w:rsidR="008345E3" w:rsidRPr="003B14B6">
        <w:rPr>
          <w:rFonts w:ascii="Arial" w:hAnsi="Arial" w:cs="Arial"/>
          <w:sz w:val="22"/>
          <w:szCs w:val="22"/>
        </w:rPr>
        <w:t>predicted</w:t>
      </w:r>
      <w:proofErr w:type="gramEnd"/>
      <w:r w:rsidR="004F352E" w:rsidRPr="003B14B6">
        <w:rPr>
          <w:rFonts w:ascii="Arial" w:hAnsi="Arial" w:cs="Arial"/>
          <w:sz w:val="22"/>
          <w:szCs w:val="22"/>
        </w:rPr>
        <w:t xml:space="preserve"> to reduce the rates of HPV-associated </w:t>
      </w:r>
      <w:r w:rsidR="00946D20" w:rsidRPr="003B14B6">
        <w:rPr>
          <w:rFonts w:ascii="Arial" w:hAnsi="Arial" w:cs="Arial"/>
          <w:sz w:val="22"/>
          <w:szCs w:val="22"/>
        </w:rPr>
        <w:t>OC</w:t>
      </w:r>
      <w:r w:rsidR="004F352E" w:rsidRPr="003B14B6">
        <w:rPr>
          <w:rFonts w:ascii="Arial" w:hAnsi="Arial" w:cs="Arial"/>
          <w:sz w:val="22"/>
          <w:szCs w:val="22"/>
        </w:rPr>
        <w:t xml:space="preserve"> over time, current rates of compliance with full vaccination among teens is estimated at only 51%</w:t>
      </w:r>
      <w:commentRangeStart w:id="4"/>
      <w:r w:rsidR="00965BB0" w:rsidRPr="003B14B6">
        <w:rPr>
          <w:rFonts w:ascii="Arial" w:hAnsi="Arial" w:cs="Arial"/>
          <w:sz w:val="22"/>
          <w:szCs w:val="22"/>
          <w:vertAlign w:val="superscript"/>
        </w:rPr>
        <w:t>4</w:t>
      </w:r>
      <w:commentRangeEnd w:id="4"/>
      <w:r w:rsidR="00680DBA" w:rsidRPr="003B14B6">
        <w:rPr>
          <w:rStyle w:val="CommentReference"/>
          <w:rFonts w:ascii="Arial" w:hAnsi="Arial" w:cs="Arial"/>
          <w:sz w:val="22"/>
          <w:szCs w:val="22"/>
        </w:rPr>
        <w:commentReference w:id="4"/>
      </w:r>
      <w:r w:rsidR="004F352E" w:rsidRPr="003B14B6">
        <w:rPr>
          <w:rFonts w:ascii="Arial" w:hAnsi="Arial" w:cs="Arial"/>
          <w:sz w:val="22"/>
          <w:szCs w:val="22"/>
        </w:rPr>
        <w:t xml:space="preserve">. </w:t>
      </w:r>
      <w:r w:rsidR="00EC7827" w:rsidRPr="003B14B6">
        <w:rPr>
          <w:rFonts w:ascii="Arial" w:hAnsi="Arial" w:cs="Arial"/>
          <w:sz w:val="22"/>
          <w:szCs w:val="22"/>
        </w:rPr>
        <w:t>Th</w:t>
      </w:r>
      <w:r w:rsidR="004F352E" w:rsidRPr="003B14B6">
        <w:rPr>
          <w:rFonts w:ascii="Arial" w:hAnsi="Arial" w:cs="Arial"/>
          <w:sz w:val="22"/>
          <w:szCs w:val="22"/>
        </w:rPr>
        <w:t xml:space="preserve">e upward </w:t>
      </w:r>
      <w:r w:rsidR="00EC7827" w:rsidRPr="003B14B6">
        <w:rPr>
          <w:rFonts w:ascii="Arial" w:hAnsi="Arial" w:cs="Arial"/>
          <w:sz w:val="22"/>
          <w:szCs w:val="22"/>
        </w:rPr>
        <w:t>trend</w:t>
      </w:r>
      <w:r w:rsidR="004F352E" w:rsidRPr="003B14B6">
        <w:rPr>
          <w:rFonts w:ascii="Arial" w:hAnsi="Arial" w:cs="Arial"/>
          <w:sz w:val="22"/>
          <w:szCs w:val="22"/>
        </w:rPr>
        <w:t>s</w:t>
      </w:r>
      <w:r w:rsidR="00EC7827" w:rsidRPr="003B14B6">
        <w:rPr>
          <w:rFonts w:ascii="Arial" w:hAnsi="Arial" w:cs="Arial"/>
          <w:sz w:val="22"/>
          <w:szCs w:val="22"/>
        </w:rPr>
        <w:t xml:space="preserve"> i</w:t>
      </w:r>
      <w:r w:rsidR="004F352E" w:rsidRPr="003B14B6">
        <w:rPr>
          <w:rFonts w:ascii="Arial" w:hAnsi="Arial" w:cs="Arial"/>
          <w:sz w:val="22"/>
          <w:szCs w:val="22"/>
        </w:rPr>
        <w:t>n</w:t>
      </w:r>
      <w:r w:rsidR="00EC7827" w:rsidRPr="003B14B6">
        <w:rPr>
          <w:rFonts w:ascii="Arial" w:hAnsi="Arial" w:cs="Arial"/>
          <w:sz w:val="22"/>
          <w:szCs w:val="22"/>
        </w:rPr>
        <w:t xml:space="preserve"> </w:t>
      </w:r>
      <w:r w:rsidR="004F352E" w:rsidRPr="003B14B6">
        <w:rPr>
          <w:rFonts w:ascii="Arial" w:hAnsi="Arial" w:cs="Arial"/>
          <w:sz w:val="22"/>
          <w:szCs w:val="22"/>
        </w:rPr>
        <w:t>OC</w:t>
      </w:r>
      <w:r w:rsidR="00946D20" w:rsidRPr="003B14B6">
        <w:rPr>
          <w:rFonts w:ascii="Arial" w:hAnsi="Arial" w:cs="Arial"/>
          <w:sz w:val="22"/>
          <w:szCs w:val="22"/>
        </w:rPr>
        <w:t>s</w:t>
      </w:r>
      <w:r w:rsidR="004F352E" w:rsidRPr="003B14B6">
        <w:rPr>
          <w:rFonts w:ascii="Arial" w:hAnsi="Arial" w:cs="Arial"/>
          <w:sz w:val="22"/>
          <w:szCs w:val="22"/>
        </w:rPr>
        <w:t xml:space="preserve"> are </w:t>
      </w:r>
      <w:r w:rsidR="00EC7827" w:rsidRPr="003B14B6">
        <w:rPr>
          <w:rFonts w:ascii="Arial" w:hAnsi="Arial" w:cs="Arial"/>
          <w:sz w:val="22"/>
          <w:szCs w:val="22"/>
        </w:rPr>
        <w:t xml:space="preserve">concerning to healthcare professionals, as </w:t>
      </w:r>
      <w:r w:rsidR="004F352E" w:rsidRPr="003B14B6">
        <w:rPr>
          <w:rFonts w:ascii="Arial" w:hAnsi="Arial" w:cs="Arial"/>
          <w:sz w:val="22"/>
          <w:szCs w:val="22"/>
        </w:rPr>
        <w:t>no biomarkers</w:t>
      </w:r>
      <w:r w:rsidR="00EC7827" w:rsidRPr="003B14B6">
        <w:rPr>
          <w:rFonts w:ascii="Arial" w:hAnsi="Arial" w:cs="Arial"/>
          <w:sz w:val="22"/>
          <w:szCs w:val="22"/>
        </w:rPr>
        <w:t xml:space="preserve"> to detect </w:t>
      </w:r>
      <w:r w:rsidR="00946D20" w:rsidRPr="003B14B6">
        <w:rPr>
          <w:rFonts w:ascii="Arial" w:hAnsi="Arial" w:cs="Arial"/>
          <w:sz w:val="22"/>
          <w:szCs w:val="22"/>
        </w:rPr>
        <w:t xml:space="preserve">OC </w:t>
      </w:r>
      <w:r w:rsidR="00EC7827" w:rsidRPr="003B14B6">
        <w:rPr>
          <w:rFonts w:ascii="Arial" w:hAnsi="Arial" w:cs="Arial"/>
          <w:sz w:val="22"/>
          <w:szCs w:val="22"/>
        </w:rPr>
        <w:t xml:space="preserve">emergence are currently available.  </w:t>
      </w:r>
    </w:p>
    <w:p w:rsidR="00874364" w:rsidRPr="003B14B6" w:rsidRDefault="00C95495" w:rsidP="00300927">
      <w:pPr>
        <w:ind w:firstLine="720"/>
        <w:rPr>
          <w:rFonts w:ascii="Arial" w:hAnsi="Arial" w:cs="Arial"/>
          <w:sz w:val="22"/>
          <w:szCs w:val="22"/>
        </w:rPr>
      </w:pPr>
      <w:r w:rsidRPr="003B14B6">
        <w:rPr>
          <w:rFonts w:ascii="Arial" w:hAnsi="Arial" w:cs="Arial"/>
          <w:sz w:val="22"/>
          <w:szCs w:val="22"/>
        </w:rPr>
        <w:t xml:space="preserve">To address this gap, the current study proposes to pilot whether cell free DNA (cfDNA) </w:t>
      </w:r>
      <w:r w:rsidR="00300927" w:rsidRPr="003B14B6">
        <w:rPr>
          <w:rFonts w:ascii="Arial" w:hAnsi="Arial" w:cs="Arial"/>
          <w:sz w:val="22"/>
          <w:szCs w:val="22"/>
        </w:rPr>
        <w:t>arising from</w:t>
      </w:r>
      <w:r w:rsidRPr="003B14B6">
        <w:rPr>
          <w:rFonts w:ascii="Arial" w:hAnsi="Arial" w:cs="Arial"/>
          <w:sz w:val="22"/>
          <w:szCs w:val="22"/>
        </w:rPr>
        <w:t xml:space="preserve"> OC is detectable in </w:t>
      </w:r>
      <w:r w:rsidR="00A0731A" w:rsidRPr="003B14B6">
        <w:rPr>
          <w:rFonts w:ascii="Arial" w:hAnsi="Arial" w:cs="Arial"/>
          <w:sz w:val="22"/>
          <w:szCs w:val="22"/>
        </w:rPr>
        <w:t>saliva</w:t>
      </w:r>
      <w:r w:rsidRPr="003B14B6">
        <w:rPr>
          <w:rFonts w:ascii="Arial" w:hAnsi="Arial" w:cs="Arial"/>
          <w:sz w:val="22"/>
          <w:szCs w:val="22"/>
        </w:rPr>
        <w:t xml:space="preserve">.  </w:t>
      </w:r>
      <w:proofErr w:type="spellStart"/>
      <w:r w:rsidR="00A334C9" w:rsidRPr="003B14B6">
        <w:rPr>
          <w:rFonts w:ascii="Arial" w:hAnsi="Arial" w:cs="Arial"/>
          <w:sz w:val="22"/>
          <w:szCs w:val="22"/>
        </w:rPr>
        <w:t>Christiano</w:t>
      </w:r>
      <w:proofErr w:type="spellEnd"/>
      <w:r w:rsidR="00A334C9" w:rsidRPr="003B14B6">
        <w:rPr>
          <w:rFonts w:ascii="Arial" w:hAnsi="Arial" w:cs="Arial"/>
          <w:sz w:val="22"/>
          <w:szCs w:val="22"/>
        </w:rPr>
        <w:t xml:space="preserve"> et al (2019) recently described a cell free DNA (cfDNA) fragmentation approach </w:t>
      </w:r>
      <w:r w:rsidR="0084594C" w:rsidRPr="003B14B6">
        <w:rPr>
          <w:rFonts w:ascii="Arial" w:hAnsi="Arial" w:cs="Arial"/>
          <w:sz w:val="22"/>
          <w:szCs w:val="22"/>
        </w:rPr>
        <w:t>involving creation of librari</w:t>
      </w:r>
      <w:r w:rsidR="00460B32" w:rsidRPr="003B14B6">
        <w:rPr>
          <w:rFonts w:ascii="Arial" w:hAnsi="Arial" w:cs="Arial"/>
          <w:sz w:val="22"/>
          <w:szCs w:val="22"/>
        </w:rPr>
        <w:t xml:space="preserve">es that are subjected to </w:t>
      </w:r>
      <w:r w:rsidR="002C2E90">
        <w:rPr>
          <w:rFonts w:ascii="Arial" w:hAnsi="Arial" w:cs="Arial"/>
          <w:sz w:val="22"/>
          <w:szCs w:val="22"/>
        </w:rPr>
        <w:t>genome-wide</w:t>
      </w:r>
      <w:r w:rsidR="0084594C" w:rsidRPr="003B14B6">
        <w:rPr>
          <w:rFonts w:ascii="Arial" w:hAnsi="Arial" w:cs="Arial"/>
          <w:sz w:val="22"/>
          <w:szCs w:val="22"/>
        </w:rPr>
        <w:t xml:space="preserve"> (GW) analysis, </w:t>
      </w:r>
      <w:r w:rsidR="00A40AE0" w:rsidRPr="003B14B6">
        <w:rPr>
          <w:rFonts w:ascii="Arial" w:hAnsi="Arial" w:cs="Arial"/>
          <w:sz w:val="22"/>
          <w:szCs w:val="22"/>
        </w:rPr>
        <w:t>termed ‘</w:t>
      </w:r>
      <w:r w:rsidR="00A334C9" w:rsidRPr="003B14B6">
        <w:rPr>
          <w:rFonts w:ascii="Arial" w:hAnsi="Arial" w:cs="Arial"/>
          <w:sz w:val="22"/>
          <w:szCs w:val="22"/>
        </w:rPr>
        <w:t>DNA evaluation of fragments for early interception’ (DEL</w:t>
      </w:r>
      <w:r w:rsidR="00A0575D" w:rsidRPr="003B14B6">
        <w:rPr>
          <w:rFonts w:ascii="Arial" w:hAnsi="Arial" w:cs="Arial"/>
          <w:sz w:val="22"/>
          <w:szCs w:val="22"/>
        </w:rPr>
        <w:t>FI</w:t>
      </w:r>
      <w:r w:rsidR="00A334C9" w:rsidRPr="003B14B6">
        <w:rPr>
          <w:rFonts w:ascii="Arial" w:hAnsi="Arial" w:cs="Arial"/>
          <w:sz w:val="22"/>
          <w:szCs w:val="22"/>
        </w:rPr>
        <w:t>)</w:t>
      </w:r>
      <w:commentRangeStart w:id="5"/>
      <w:r w:rsidR="0023134A" w:rsidRPr="003B14B6">
        <w:rPr>
          <w:rFonts w:ascii="Arial" w:hAnsi="Arial" w:cs="Arial"/>
          <w:sz w:val="22"/>
          <w:szCs w:val="22"/>
          <w:vertAlign w:val="superscript"/>
        </w:rPr>
        <w:t>5</w:t>
      </w:r>
      <w:commentRangeEnd w:id="5"/>
      <w:r w:rsidR="0023134A" w:rsidRPr="003B14B6">
        <w:rPr>
          <w:rStyle w:val="CommentReference"/>
          <w:rFonts w:ascii="Arial" w:hAnsi="Arial" w:cs="Arial"/>
          <w:sz w:val="22"/>
          <w:szCs w:val="22"/>
        </w:rPr>
        <w:commentReference w:id="5"/>
      </w:r>
      <w:r w:rsidR="00A334C9" w:rsidRPr="003B14B6">
        <w:rPr>
          <w:rFonts w:ascii="Arial" w:hAnsi="Arial" w:cs="Arial"/>
          <w:sz w:val="22"/>
          <w:szCs w:val="22"/>
        </w:rPr>
        <w:t>.</w:t>
      </w:r>
      <w:r w:rsidR="00B601CA" w:rsidRPr="003B14B6">
        <w:rPr>
          <w:rFonts w:ascii="Arial" w:hAnsi="Arial" w:cs="Arial"/>
          <w:sz w:val="22"/>
          <w:szCs w:val="22"/>
        </w:rPr>
        <w:t xml:space="preserve">  The investigators </w:t>
      </w:r>
      <w:r w:rsidR="0084594C" w:rsidRPr="003B14B6">
        <w:rPr>
          <w:rFonts w:ascii="Arial" w:hAnsi="Arial" w:cs="Arial"/>
          <w:sz w:val="22"/>
          <w:szCs w:val="22"/>
        </w:rPr>
        <w:t xml:space="preserve">found </w:t>
      </w:r>
      <w:r w:rsidR="00B601CA" w:rsidRPr="003B14B6">
        <w:rPr>
          <w:rFonts w:ascii="Arial" w:hAnsi="Arial" w:cs="Arial"/>
          <w:sz w:val="22"/>
          <w:szCs w:val="22"/>
        </w:rPr>
        <w:t xml:space="preserve">that </w:t>
      </w:r>
      <w:r w:rsidR="00A0731A" w:rsidRPr="003B14B6">
        <w:rPr>
          <w:rFonts w:ascii="Arial" w:hAnsi="Arial" w:cs="Arial"/>
          <w:sz w:val="22"/>
          <w:szCs w:val="22"/>
        </w:rPr>
        <w:t>tumor-</w:t>
      </w:r>
      <w:r w:rsidR="0084594C" w:rsidRPr="003B14B6">
        <w:rPr>
          <w:rFonts w:ascii="Arial" w:hAnsi="Arial" w:cs="Arial"/>
          <w:sz w:val="22"/>
          <w:szCs w:val="22"/>
        </w:rPr>
        <w:t xml:space="preserve">derived </w:t>
      </w:r>
      <w:r w:rsidR="00B601CA" w:rsidRPr="003B14B6">
        <w:rPr>
          <w:rFonts w:ascii="Arial" w:hAnsi="Arial" w:cs="Arial"/>
          <w:sz w:val="22"/>
          <w:szCs w:val="22"/>
        </w:rPr>
        <w:t xml:space="preserve">cfDNA </w:t>
      </w:r>
      <w:r w:rsidR="0084594C" w:rsidRPr="003B14B6">
        <w:rPr>
          <w:rFonts w:ascii="Arial" w:hAnsi="Arial" w:cs="Arial"/>
          <w:sz w:val="22"/>
          <w:szCs w:val="22"/>
        </w:rPr>
        <w:t>has</w:t>
      </w:r>
      <w:r w:rsidR="00B601CA" w:rsidRPr="003B14B6">
        <w:rPr>
          <w:rFonts w:ascii="Arial" w:hAnsi="Arial" w:cs="Arial"/>
          <w:sz w:val="22"/>
          <w:szCs w:val="22"/>
        </w:rPr>
        <w:t xml:space="preserve"> high</w:t>
      </w:r>
      <w:r w:rsidR="00632A2F" w:rsidRPr="003B14B6">
        <w:rPr>
          <w:rFonts w:ascii="Arial" w:hAnsi="Arial" w:cs="Arial"/>
          <w:sz w:val="22"/>
          <w:szCs w:val="22"/>
        </w:rPr>
        <w:t>er</w:t>
      </w:r>
      <w:r w:rsidR="00B601CA" w:rsidRPr="003B14B6">
        <w:rPr>
          <w:rFonts w:ascii="Arial" w:hAnsi="Arial" w:cs="Arial"/>
          <w:sz w:val="22"/>
          <w:szCs w:val="22"/>
        </w:rPr>
        <w:t xml:space="preserve"> variability in fragment length compared to healthy cells (p&lt;0.001 for variance ratio test). </w:t>
      </w:r>
      <w:r w:rsidR="00A334C9" w:rsidRPr="003B14B6">
        <w:rPr>
          <w:rFonts w:ascii="Arial" w:hAnsi="Arial" w:cs="Arial"/>
          <w:sz w:val="22"/>
          <w:szCs w:val="22"/>
        </w:rPr>
        <w:t xml:space="preserve"> </w:t>
      </w:r>
      <w:r w:rsidR="00527FEC" w:rsidRPr="003B14B6">
        <w:rPr>
          <w:rFonts w:ascii="Arial" w:hAnsi="Arial" w:cs="Arial"/>
          <w:sz w:val="22"/>
          <w:szCs w:val="22"/>
        </w:rPr>
        <w:t>While</w:t>
      </w:r>
      <w:r w:rsidR="0084594C" w:rsidRPr="003B14B6">
        <w:rPr>
          <w:rFonts w:ascii="Arial" w:hAnsi="Arial" w:cs="Arial"/>
          <w:sz w:val="22"/>
          <w:szCs w:val="22"/>
        </w:rPr>
        <w:t xml:space="preserve"> conducting GW profiling</w:t>
      </w:r>
      <w:r w:rsidR="00B601CA" w:rsidRPr="003B14B6">
        <w:rPr>
          <w:rFonts w:ascii="Arial" w:hAnsi="Arial" w:cs="Arial"/>
          <w:sz w:val="22"/>
          <w:szCs w:val="22"/>
        </w:rPr>
        <w:t xml:space="preserve"> </w:t>
      </w:r>
      <w:r w:rsidR="0084594C" w:rsidRPr="003B14B6">
        <w:rPr>
          <w:rFonts w:ascii="Arial" w:hAnsi="Arial" w:cs="Arial"/>
          <w:sz w:val="22"/>
          <w:szCs w:val="22"/>
        </w:rPr>
        <w:t xml:space="preserve">on </w:t>
      </w:r>
      <w:r w:rsidR="00B601CA" w:rsidRPr="003B14B6">
        <w:rPr>
          <w:rFonts w:ascii="Arial" w:hAnsi="Arial" w:cs="Arial"/>
          <w:sz w:val="22"/>
          <w:szCs w:val="22"/>
        </w:rPr>
        <w:t xml:space="preserve">cfDNA </w:t>
      </w:r>
      <w:r w:rsidR="0084594C" w:rsidRPr="003B14B6">
        <w:rPr>
          <w:rFonts w:ascii="Arial" w:hAnsi="Arial" w:cs="Arial"/>
          <w:sz w:val="22"/>
          <w:szCs w:val="22"/>
        </w:rPr>
        <w:t xml:space="preserve">libraries </w:t>
      </w:r>
      <w:r w:rsidR="00B601CA" w:rsidRPr="003B14B6">
        <w:rPr>
          <w:rFonts w:ascii="Arial" w:hAnsi="Arial" w:cs="Arial"/>
          <w:sz w:val="22"/>
          <w:szCs w:val="22"/>
        </w:rPr>
        <w:t>of patients with various cancer</w:t>
      </w:r>
      <w:r w:rsidR="00D300F6" w:rsidRPr="003B14B6">
        <w:rPr>
          <w:rFonts w:ascii="Arial" w:hAnsi="Arial" w:cs="Arial"/>
          <w:sz w:val="22"/>
          <w:szCs w:val="22"/>
        </w:rPr>
        <w:t>s</w:t>
      </w:r>
      <w:r w:rsidR="00B601CA" w:rsidRPr="003B14B6">
        <w:rPr>
          <w:rFonts w:ascii="Arial" w:hAnsi="Arial" w:cs="Arial"/>
          <w:sz w:val="22"/>
          <w:szCs w:val="22"/>
        </w:rPr>
        <w:t xml:space="preserve">, </w:t>
      </w:r>
      <w:r w:rsidR="00D300F6" w:rsidRPr="003B14B6">
        <w:rPr>
          <w:rFonts w:ascii="Arial" w:hAnsi="Arial" w:cs="Arial"/>
          <w:sz w:val="22"/>
          <w:szCs w:val="22"/>
        </w:rPr>
        <w:t>the</w:t>
      </w:r>
      <w:r w:rsidR="00527FEC" w:rsidRPr="003B14B6">
        <w:rPr>
          <w:rFonts w:ascii="Arial" w:hAnsi="Arial" w:cs="Arial"/>
          <w:sz w:val="22"/>
          <w:szCs w:val="22"/>
        </w:rPr>
        <w:t>y</w:t>
      </w:r>
      <w:r w:rsidR="00D300F6" w:rsidRPr="003B14B6">
        <w:rPr>
          <w:rFonts w:ascii="Arial" w:hAnsi="Arial" w:cs="Arial"/>
          <w:sz w:val="22"/>
          <w:szCs w:val="22"/>
        </w:rPr>
        <w:t xml:space="preserve"> observed </w:t>
      </w:r>
      <w:r w:rsidR="002C2E90">
        <w:rPr>
          <w:rFonts w:ascii="Arial" w:hAnsi="Arial" w:cs="Arial"/>
          <w:sz w:val="22"/>
          <w:szCs w:val="22"/>
        </w:rPr>
        <w:t>GW</w:t>
      </w:r>
      <w:r w:rsidR="00AF50C0" w:rsidRPr="003B14B6">
        <w:rPr>
          <w:rFonts w:ascii="Arial" w:hAnsi="Arial" w:cs="Arial"/>
          <w:sz w:val="22"/>
          <w:szCs w:val="22"/>
        </w:rPr>
        <w:t xml:space="preserve"> </w:t>
      </w:r>
      <w:r w:rsidR="00D300F6" w:rsidRPr="003B14B6">
        <w:rPr>
          <w:rFonts w:ascii="Arial" w:hAnsi="Arial" w:cs="Arial"/>
          <w:sz w:val="22"/>
          <w:szCs w:val="22"/>
        </w:rPr>
        <w:t xml:space="preserve">regional differences across </w:t>
      </w:r>
      <w:r w:rsidR="00AF50C0" w:rsidRPr="003B14B6">
        <w:rPr>
          <w:rFonts w:ascii="Arial" w:hAnsi="Arial" w:cs="Arial"/>
          <w:sz w:val="22"/>
          <w:szCs w:val="22"/>
        </w:rPr>
        <w:t xml:space="preserve">various </w:t>
      </w:r>
      <w:r w:rsidR="00D300F6" w:rsidRPr="003B14B6">
        <w:rPr>
          <w:rFonts w:ascii="Arial" w:hAnsi="Arial" w:cs="Arial"/>
          <w:sz w:val="22"/>
          <w:szCs w:val="22"/>
        </w:rPr>
        <w:t xml:space="preserve">cancer types and were able to </w:t>
      </w:r>
      <w:r w:rsidR="00527FEC" w:rsidRPr="003B14B6">
        <w:rPr>
          <w:rFonts w:ascii="Arial" w:hAnsi="Arial" w:cs="Arial"/>
          <w:sz w:val="22"/>
          <w:szCs w:val="22"/>
        </w:rPr>
        <w:t>both</w:t>
      </w:r>
      <w:r w:rsidR="00D300F6" w:rsidRPr="003B14B6">
        <w:rPr>
          <w:rFonts w:ascii="Arial" w:hAnsi="Arial" w:cs="Arial"/>
          <w:sz w:val="22"/>
          <w:szCs w:val="22"/>
        </w:rPr>
        <w:t xml:space="preserve"> detect </w:t>
      </w:r>
      <w:r w:rsidR="00632A2F" w:rsidRPr="003B14B6">
        <w:rPr>
          <w:rFonts w:ascii="Arial" w:hAnsi="Arial" w:cs="Arial"/>
          <w:sz w:val="22"/>
          <w:szCs w:val="22"/>
        </w:rPr>
        <w:t>cfDNA of tumors</w:t>
      </w:r>
      <w:r w:rsidR="00527FEC" w:rsidRPr="003B14B6">
        <w:rPr>
          <w:rFonts w:ascii="Arial" w:hAnsi="Arial" w:cs="Arial"/>
          <w:sz w:val="22"/>
          <w:szCs w:val="22"/>
        </w:rPr>
        <w:t xml:space="preserve"> and</w:t>
      </w:r>
      <w:r w:rsidR="00632A2F" w:rsidRPr="003B14B6">
        <w:rPr>
          <w:rFonts w:ascii="Arial" w:hAnsi="Arial" w:cs="Arial"/>
          <w:sz w:val="22"/>
          <w:szCs w:val="22"/>
        </w:rPr>
        <w:t xml:space="preserve"> </w:t>
      </w:r>
      <w:r w:rsidR="00D300F6" w:rsidRPr="003B14B6">
        <w:rPr>
          <w:rFonts w:ascii="Arial" w:hAnsi="Arial" w:cs="Arial"/>
          <w:sz w:val="22"/>
          <w:szCs w:val="22"/>
        </w:rPr>
        <w:t>profile tissue of origin</w:t>
      </w:r>
      <w:r w:rsidR="00A0575D" w:rsidRPr="003B14B6">
        <w:rPr>
          <w:rFonts w:ascii="Arial" w:hAnsi="Arial" w:cs="Arial"/>
          <w:sz w:val="22"/>
          <w:szCs w:val="22"/>
        </w:rPr>
        <w:t>.  The DELF</w:t>
      </w:r>
      <w:r w:rsidR="00D300F6" w:rsidRPr="003B14B6">
        <w:rPr>
          <w:rFonts w:ascii="Arial" w:hAnsi="Arial" w:cs="Arial"/>
          <w:sz w:val="22"/>
          <w:szCs w:val="22"/>
        </w:rPr>
        <w:t xml:space="preserve">I approach achieved an </w:t>
      </w:r>
      <w:r w:rsidR="00AF50C0" w:rsidRPr="003B14B6">
        <w:rPr>
          <w:rFonts w:ascii="Arial" w:hAnsi="Arial" w:cs="Arial"/>
          <w:sz w:val="22"/>
          <w:szCs w:val="22"/>
        </w:rPr>
        <w:t xml:space="preserve">overall </w:t>
      </w:r>
      <w:r w:rsidR="00D300F6" w:rsidRPr="003B14B6">
        <w:rPr>
          <w:rFonts w:ascii="Arial" w:hAnsi="Arial" w:cs="Arial"/>
          <w:sz w:val="22"/>
          <w:szCs w:val="22"/>
        </w:rPr>
        <w:t xml:space="preserve">AUC of 0.94 for detection of patients with cancer. </w:t>
      </w:r>
      <w:r w:rsidR="00A0575D" w:rsidRPr="003B14B6">
        <w:rPr>
          <w:rFonts w:ascii="Arial" w:hAnsi="Arial" w:cs="Arial"/>
          <w:sz w:val="22"/>
          <w:szCs w:val="22"/>
        </w:rPr>
        <w:t>Moreover</w:t>
      </w:r>
      <w:r w:rsidR="00300927" w:rsidRPr="003B14B6">
        <w:rPr>
          <w:rFonts w:ascii="Arial" w:hAnsi="Arial" w:cs="Arial"/>
          <w:sz w:val="22"/>
          <w:szCs w:val="22"/>
        </w:rPr>
        <w:t>,</w:t>
      </w:r>
      <w:r w:rsidR="00A0575D" w:rsidRPr="003B14B6">
        <w:rPr>
          <w:rFonts w:ascii="Arial" w:hAnsi="Arial" w:cs="Arial"/>
          <w:sz w:val="22"/>
          <w:szCs w:val="22"/>
        </w:rPr>
        <w:t xml:space="preserve"> combining DELF</w:t>
      </w:r>
      <w:r w:rsidR="004E1C2B" w:rsidRPr="003B14B6">
        <w:rPr>
          <w:rFonts w:ascii="Arial" w:hAnsi="Arial" w:cs="Arial"/>
          <w:sz w:val="22"/>
          <w:szCs w:val="22"/>
        </w:rPr>
        <w:t>I with mutation</w:t>
      </w:r>
      <w:r w:rsidR="00AF50C0" w:rsidRPr="003B14B6">
        <w:rPr>
          <w:rFonts w:ascii="Arial" w:hAnsi="Arial" w:cs="Arial"/>
          <w:sz w:val="22"/>
          <w:szCs w:val="22"/>
        </w:rPr>
        <w:t>al</w:t>
      </w:r>
      <w:r w:rsidR="004E1C2B" w:rsidRPr="003B14B6">
        <w:rPr>
          <w:rFonts w:ascii="Arial" w:hAnsi="Arial" w:cs="Arial"/>
          <w:sz w:val="22"/>
          <w:szCs w:val="22"/>
        </w:rPr>
        <w:t xml:space="preserve"> </w:t>
      </w:r>
      <w:r w:rsidR="00AF50C0" w:rsidRPr="003B14B6">
        <w:rPr>
          <w:rFonts w:ascii="Arial" w:hAnsi="Arial" w:cs="Arial"/>
          <w:sz w:val="22"/>
          <w:szCs w:val="22"/>
        </w:rPr>
        <w:t>profiling</w:t>
      </w:r>
      <w:r w:rsidR="004E1C2B" w:rsidRPr="003B14B6">
        <w:rPr>
          <w:rFonts w:ascii="Arial" w:hAnsi="Arial" w:cs="Arial"/>
          <w:sz w:val="22"/>
          <w:szCs w:val="22"/>
        </w:rPr>
        <w:t xml:space="preserve"> resulted in detection </w:t>
      </w:r>
      <w:r w:rsidR="00AF50C0" w:rsidRPr="003B14B6">
        <w:rPr>
          <w:rFonts w:ascii="Arial" w:hAnsi="Arial" w:cs="Arial"/>
          <w:sz w:val="22"/>
          <w:szCs w:val="22"/>
        </w:rPr>
        <w:t xml:space="preserve">of mutations </w:t>
      </w:r>
      <w:r w:rsidR="004E1C2B" w:rsidRPr="003B14B6">
        <w:rPr>
          <w:rFonts w:ascii="Arial" w:hAnsi="Arial" w:cs="Arial"/>
          <w:sz w:val="22"/>
          <w:szCs w:val="22"/>
        </w:rPr>
        <w:t xml:space="preserve">in 66% of patients with cancer. </w:t>
      </w:r>
      <w:r w:rsidR="00A0731A" w:rsidRPr="003B14B6">
        <w:rPr>
          <w:rFonts w:ascii="Arial" w:hAnsi="Arial" w:cs="Arial"/>
          <w:sz w:val="22"/>
          <w:szCs w:val="22"/>
        </w:rPr>
        <w:t>Since</w:t>
      </w:r>
      <w:r w:rsidR="00D300F6" w:rsidRPr="003B14B6">
        <w:rPr>
          <w:rFonts w:ascii="Arial" w:hAnsi="Arial" w:cs="Arial"/>
          <w:sz w:val="22"/>
          <w:szCs w:val="22"/>
        </w:rPr>
        <w:t xml:space="preserve"> </w:t>
      </w:r>
      <w:r w:rsidR="00300927" w:rsidRPr="003B14B6">
        <w:rPr>
          <w:rFonts w:ascii="Arial" w:hAnsi="Arial" w:cs="Arial"/>
          <w:sz w:val="22"/>
          <w:szCs w:val="22"/>
        </w:rPr>
        <w:t>O</w:t>
      </w:r>
      <w:r w:rsidR="004E1C2B" w:rsidRPr="003B14B6">
        <w:rPr>
          <w:rFonts w:ascii="Arial" w:hAnsi="Arial" w:cs="Arial"/>
          <w:sz w:val="22"/>
          <w:szCs w:val="22"/>
        </w:rPr>
        <w:t>C</w:t>
      </w:r>
      <w:r w:rsidR="007200D4" w:rsidRPr="003B14B6">
        <w:rPr>
          <w:rFonts w:ascii="Arial" w:hAnsi="Arial" w:cs="Arial"/>
          <w:sz w:val="22"/>
          <w:szCs w:val="22"/>
        </w:rPr>
        <w:t xml:space="preserve"> </w:t>
      </w:r>
      <w:r w:rsidR="00527FEC" w:rsidRPr="003B14B6">
        <w:rPr>
          <w:rFonts w:ascii="Arial" w:hAnsi="Arial" w:cs="Arial"/>
          <w:sz w:val="22"/>
          <w:szCs w:val="22"/>
        </w:rPr>
        <w:t>w</w:t>
      </w:r>
      <w:r w:rsidR="00A0731A" w:rsidRPr="003B14B6">
        <w:rPr>
          <w:rFonts w:ascii="Arial" w:hAnsi="Arial" w:cs="Arial"/>
          <w:sz w:val="22"/>
          <w:szCs w:val="22"/>
        </w:rPr>
        <w:t>as</w:t>
      </w:r>
      <w:r w:rsidR="00527FEC" w:rsidRPr="003B14B6">
        <w:rPr>
          <w:rFonts w:ascii="Arial" w:hAnsi="Arial" w:cs="Arial"/>
          <w:sz w:val="22"/>
          <w:szCs w:val="22"/>
        </w:rPr>
        <w:t xml:space="preserve"> not profiled</w:t>
      </w:r>
      <w:r w:rsidR="002C2E90">
        <w:rPr>
          <w:rFonts w:ascii="Arial" w:hAnsi="Arial" w:cs="Arial"/>
          <w:sz w:val="22"/>
          <w:szCs w:val="22"/>
        </w:rPr>
        <w:t xml:space="preserve"> by </w:t>
      </w:r>
      <w:proofErr w:type="spellStart"/>
      <w:r w:rsidR="002C2E90">
        <w:rPr>
          <w:rFonts w:ascii="Arial" w:hAnsi="Arial" w:cs="Arial"/>
          <w:sz w:val="22"/>
          <w:szCs w:val="22"/>
        </w:rPr>
        <w:t>Christiano</w:t>
      </w:r>
      <w:proofErr w:type="spellEnd"/>
      <w:r w:rsidR="002C2E90">
        <w:rPr>
          <w:rFonts w:ascii="Arial" w:hAnsi="Arial" w:cs="Arial"/>
          <w:sz w:val="22"/>
          <w:szCs w:val="22"/>
        </w:rPr>
        <w:t xml:space="preserve"> </w:t>
      </w:r>
      <w:proofErr w:type="gramStart"/>
      <w:r w:rsidR="002C2E90">
        <w:rPr>
          <w:rFonts w:ascii="Arial" w:hAnsi="Arial" w:cs="Arial"/>
          <w:sz w:val="22"/>
          <w:szCs w:val="22"/>
        </w:rPr>
        <w:t>et</w:t>
      </w:r>
      <w:proofErr w:type="gramEnd"/>
      <w:r w:rsidR="002C2E90">
        <w:rPr>
          <w:rFonts w:ascii="Arial" w:hAnsi="Arial" w:cs="Arial"/>
          <w:sz w:val="22"/>
          <w:szCs w:val="22"/>
        </w:rPr>
        <w:t xml:space="preserve"> al</w:t>
      </w:r>
      <w:r w:rsidR="002C2E90">
        <w:rPr>
          <w:rFonts w:ascii="Arial" w:hAnsi="Arial" w:cs="Arial"/>
          <w:sz w:val="22"/>
          <w:szCs w:val="22"/>
          <w:vertAlign w:val="superscript"/>
        </w:rPr>
        <w:t>5</w:t>
      </w:r>
      <w:r w:rsidR="00A0731A" w:rsidRPr="003B14B6">
        <w:rPr>
          <w:rFonts w:ascii="Arial" w:hAnsi="Arial" w:cs="Arial"/>
          <w:sz w:val="22"/>
          <w:szCs w:val="22"/>
        </w:rPr>
        <w:t xml:space="preserve">, </w:t>
      </w:r>
      <w:r w:rsidR="00527FEC" w:rsidRPr="003B14B6">
        <w:rPr>
          <w:rFonts w:ascii="Arial" w:hAnsi="Arial" w:cs="Arial"/>
          <w:sz w:val="22"/>
          <w:szCs w:val="22"/>
        </w:rPr>
        <w:t>we</w:t>
      </w:r>
      <w:r w:rsidR="007200D4" w:rsidRPr="003B14B6">
        <w:rPr>
          <w:rFonts w:ascii="Arial" w:hAnsi="Arial" w:cs="Arial"/>
          <w:sz w:val="22"/>
          <w:szCs w:val="22"/>
        </w:rPr>
        <w:t xml:space="preserve"> propose to address this gap</w:t>
      </w:r>
      <w:r w:rsidR="00632A2F" w:rsidRPr="003B14B6">
        <w:rPr>
          <w:rFonts w:ascii="Arial" w:hAnsi="Arial" w:cs="Arial"/>
          <w:sz w:val="22"/>
          <w:szCs w:val="22"/>
        </w:rPr>
        <w:t>.</w:t>
      </w:r>
      <w:r w:rsidR="006279C1" w:rsidRPr="003B14B6">
        <w:rPr>
          <w:rFonts w:ascii="Arial" w:hAnsi="Arial" w:cs="Arial"/>
          <w:sz w:val="22"/>
          <w:szCs w:val="22"/>
        </w:rPr>
        <w:t xml:space="preserve"> </w:t>
      </w:r>
      <w:r w:rsidR="00632A2F" w:rsidRPr="003B14B6">
        <w:rPr>
          <w:rFonts w:ascii="Arial" w:hAnsi="Arial" w:cs="Arial"/>
          <w:sz w:val="22"/>
          <w:szCs w:val="22"/>
        </w:rPr>
        <w:t xml:space="preserve">Further, </w:t>
      </w:r>
      <w:r w:rsidR="00952AF6" w:rsidRPr="003B14B6">
        <w:rPr>
          <w:rFonts w:ascii="Arial" w:hAnsi="Arial" w:cs="Arial"/>
          <w:sz w:val="22"/>
          <w:szCs w:val="22"/>
        </w:rPr>
        <w:t xml:space="preserve">epigenetic analysis </w:t>
      </w:r>
      <w:r w:rsidR="00A0731A" w:rsidRPr="003B14B6">
        <w:rPr>
          <w:rFonts w:ascii="Arial" w:hAnsi="Arial" w:cs="Arial"/>
          <w:sz w:val="22"/>
          <w:szCs w:val="22"/>
        </w:rPr>
        <w:t>applying</w:t>
      </w:r>
      <w:r w:rsidR="00952AF6" w:rsidRPr="003B14B6">
        <w:rPr>
          <w:rFonts w:ascii="Arial" w:hAnsi="Arial" w:cs="Arial"/>
          <w:sz w:val="22"/>
          <w:szCs w:val="22"/>
        </w:rPr>
        <w:t xml:space="preserve"> </w:t>
      </w:r>
      <w:r w:rsidR="003D42DA" w:rsidRPr="003B14B6">
        <w:rPr>
          <w:rFonts w:ascii="Arial" w:hAnsi="Arial" w:cs="Arial"/>
          <w:sz w:val="22"/>
          <w:szCs w:val="22"/>
        </w:rPr>
        <w:t xml:space="preserve">DELFI </w:t>
      </w:r>
      <w:r w:rsidR="00952AF6" w:rsidRPr="003B14B6">
        <w:rPr>
          <w:rFonts w:ascii="Arial" w:hAnsi="Arial" w:cs="Arial"/>
          <w:sz w:val="22"/>
          <w:szCs w:val="22"/>
        </w:rPr>
        <w:t>methylation</w:t>
      </w:r>
      <w:r w:rsidR="003D42DA" w:rsidRPr="003B14B6">
        <w:rPr>
          <w:rFonts w:ascii="Arial" w:hAnsi="Arial" w:cs="Arial"/>
          <w:sz w:val="22"/>
          <w:szCs w:val="22"/>
        </w:rPr>
        <w:t xml:space="preserve"> (meDELFI)</w:t>
      </w:r>
      <w:r w:rsidR="00952AF6" w:rsidRPr="003B14B6">
        <w:rPr>
          <w:rFonts w:ascii="Arial" w:hAnsi="Arial" w:cs="Arial"/>
          <w:sz w:val="22"/>
          <w:szCs w:val="22"/>
        </w:rPr>
        <w:t xml:space="preserve"> </w:t>
      </w:r>
      <w:r w:rsidR="00A0731A" w:rsidRPr="003B14B6">
        <w:rPr>
          <w:rFonts w:ascii="Arial" w:hAnsi="Arial" w:cs="Arial"/>
          <w:sz w:val="22"/>
          <w:szCs w:val="22"/>
        </w:rPr>
        <w:t xml:space="preserve">analysis </w:t>
      </w:r>
      <w:proofErr w:type="gramStart"/>
      <w:r w:rsidR="00A0731A" w:rsidRPr="003B14B6">
        <w:rPr>
          <w:rFonts w:ascii="Arial" w:hAnsi="Arial" w:cs="Arial"/>
          <w:sz w:val="22"/>
          <w:szCs w:val="22"/>
        </w:rPr>
        <w:t>is proposed</w:t>
      </w:r>
      <w:proofErr w:type="gramEnd"/>
      <w:r w:rsidR="00A0731A" w:rsidRPr="003B14B6">
        <w:rPr>
          <w:rFonts w:ascii="Arial" w:hAnsi="Arial" w:cs="Arial"/>
          <w:sz w:val="22"/>
          <w:szCs w:val="22"/>
        </w:rPr>
        <w:t xml:space="preserve"> to examine </w:t>
      </w:r>
      <w:r w:rsidR="00952AF6" w:rsidRPr="003B14B6">
        <w:rPr>
          <w:rFonts w:ascii="Arial" w:hAnsi="Arial" w:cs="Arial"/>
          <w:sz w:val="22"/>
          <w:szCs w:val="22"/>
        </w:rPr>
        <w:t>profile</w:t>
      </w:r>
      <w:r w:rsidR="00A0731A" w:rsidRPr="003B14B6">
        <w:rPr>
          <w:rFonts w:ascii="Arial" w:hAnsi="Arial" w:cs="Arial"/>
          <w:sz w:val="22"/>
          <w:szCs w:val="22"/>
        </w:rPr>
        <w:t>s</w:t>
      </w:r>
      <w:r w:rsidR="003D42DA" w:rsidRPr="003B14B6">
        <w:rPr>
          <w:rFonts w:ascii="Arial" w:hAnsi="Arial" w:cs="Arial"/>
          <w:sz w:val="22"/>
          <w:szCs w:val="22"/>
        </w:rPr>
        <w:t xml:space="preserve"> </w:t>
      </w:r>
      <w:r w:rsidR="00952AF6" w:rsidRPr="003B14B6">
        <w:rPr>
          <w:rFonts w:ascii="Arial" w:hAnsi="Arial" w:cs="Arial"/>
          <w:sz w:val="22"/>
          <w:szCs w:val="22"/>
        </w:rPr>
        <w:t>noted in O</w:t>
      </w:r>
      <w:r w:rsidR="00300927" w:rsidRPr="003B14B6">
        <w:rPr>
          <w:rFonts w:ascii="Arial" w:hAnsi="Arial" w:cs="Arial"/>
          <w:sz w:val="22"/>
          <w:szCs w:val="22"/>
        </w:rPr>
        <w:t>C</w:t>
      </w:r>
      <w:r w:rsidR="00527FEC" w:rsidRPr="003B14B6">
        <w:rPr>
          <w:rFonts w:ascii="Arial" w:hAnsi="Arial" w:cs="Arial"/>
          <w:sz w:val="22"/>
          <w:szCs w:val="22"/>
        </w:rPr>
        <w:t xml:space="preserve"> </w:t>
      </w:r>
      <w:r w:rsidR="00A0731A" w:rsidRPr="003B14B6">
        <w:rPr>
          <w:rFonts w:ascii="Arial" w:hAnsi="Arial" w:cs="Arial"/>
          <w:sz w:val="22"/>
          <w:szCs w:val="22"/>
        </w:rPr>
        <w:t>across</w:t>
      </w:r>
      <w:r w:rsidR="00300927" w:rsidRPr="003B14B6">
        <w:rPr>
          <w:rFonts w:ascii="Arial" w:hAnsi="Arial" w:cs="Arial"/>
          <w:sz w:val="22"/>
          <w:szCs w:val="22"/>
        </w:rPr>
        <w:t xml:space="preserve"> </w:t>
      </w:r>
      <w:r w:rsidR="00F6138A" w:rsidRPr="003B14B6">
        <w:rPr>
          <w:rFonts w:ascii="Arial" w:hAnsi="Arial" w:cs="Arial"/>
          <w:sz w:val="22"/>
          <w:szCs w:val="22"/>
        </w:rPr>
        <w:t>advancing</w:t>
      </w:r>
      <w:r w:rsidR="00952AF6" w:rsidRPr="003B14B6">
        <w:rPr>
          <w:rFonts w:ascii="Arial" w:hAnsi="Arial" w:cs="Arial"/>
          <w:sz w:val="22"/>
          <w:szCs w:val="22"/>
        </w:rPr>
        <w:t xml:space="preserve"> cancer stage.   </w:t>
      </w:r>
    </w:p>
    <w:p w:rsidR="00874364" w:rsidRPr="003B14B6" w:rsidRDefault="00874364" w:rsidP="0019737F">
      <w:pPr>
        <w:spacing w:before="120"/>
        <w:rPr>
          <w:rFonts w:ascii="Arial" w:hAnsi="Arial" w:cs="Arial"/>
          <w:b/>
          <w:sz w:val="22"/>
          <w:szCs w:val="22"/>
        </w:rPr>
      </w:pPr>
      <w:r w:rsidRPr="003B14B6">
        <w:rPr>
          <w:rFonts w:ascii="Arial" w:hAnsi="Arial" w:cs="Arial"/>
          <w:b/>
          <w:sz w:val="22"/>
          <w:szCs w:val="22"/>
        </w:rPr>
        <w:t>Specific Aims and Measurable Objectives</w:t>
      </w:r>
    </w:p>
    <w:p w:rsidR="00874364" w:rsidRPr="003B14B6" w:rsidRDefault="00874364" w:rsidP="00276568">
      <w:pPr>
        <w:rPr>
          <w:rFonts w:ascii="Arial" w:hAnsi="Arial" w:cs="Arial"/>
          <w:sz w:val="22"/>
          <w:szCs w:val="22"/>
        </w:rPr>
      </w:pPr>
      <w:r w:rsidRPr="009B3CB3">
        <w:rPr>
          <w:rFonts w:ascii="Arial" w:hAnsi="Arial" w:cs="Arial"/>
          <w:b/>
          <w:i/>
          <w:sz w:val="22"/>
          <w:szCs w:val="22"/>
        </w:rPr>
        <w:t>Hypothesis:</w:t>
      </w:r>
      <w:r w:rsidRPr="003B14B6">
        <w:rPr>
          <w:rFonts w:ascii="Arial" w:hAnsi="Arial" w:cs="Arial"/>
          <w:sz w:val="22"/>
          <w:szCs w:val="22"/>
        </w:rPr>
        <w:t xml:space="preserve">  </w:t>
      </w:r>
      <w:r w:rsidR="00D300F6" w:rsidRPr="003B14B6">
        <w:rPr>
          <w:rFonts w:ascii="Arial" w:hAnsi="Arial" w:cs="Arial"/>
          <w:sz w:val="22"/>
          <w:szCs w:val="22"/>
        </w:rPr>
        <w:t xml:space="preserve">The current </w:t>
      </w:r>
      <w:r w:rsidRPr="003B14B6">
        <w:rPr>
          <w:rFonts w:ascii="Arial" w:hAnsi="Arial" w:cs="Arial"/>
          <w:sz w:val="22"/>
          <w:szCs w:val="22"/>
        </w:rPr>
        <w:t xml:space="preserve">pilot </w:t>
      </w:r>
      <w:r w:rsidR="00D300F6" w:rsidRPr="003B14B6">
        <w:rPr>
          <w:rFonts w:ascii="Arial" w:hAnsi="Arial" w:cs="Arial"/>
          <w:sz w:val="22"/>
          <w:szCs w:val="22"/>
        </w:rPr>
        <w:t xml:space="preserve">study proposes to test </w:t>
      </w:r>
      <w:r w:rsidR="00084267" w:rsidRPr="003B14B6">
        <w:rPr>
          <w:rFonts w:ascii="Arial" w:hAnsi="Arial" w:cs="Arial"/>
          <w:sz w:val="22"/>
          <w:szCs w:val="22"/>
        </w:rPr>
        <w:t xml:space="preserve">the </w:t>
      </w:r>
      <w:r w:rsidRPr="003B14B6">
        <w:rPr>
          <w:rFonts w:ascii="Arial" w:hAnsi="Arial" w:cs="Arial"/>
          <w:sz w:val="22"/>
          <w:szCs w:val="22"/>
        </w:rPr>
        <w:t xml:space="preserve">following hypotheses: </w:t>
      </w:r>
    </w:p>
    <w:p w:rsidR="00874364" w:rsidRPr="003B14B6" w:rsidRDefault="00084267" w:rsidP="00874364">
      <w:pPr>
        <w:pStyle w:val="ListParagraph"/>
        <w:numPr>
          <w:ilvl w:val="0"/>
          <w:numId w:val="5"/>
        </w:numPr>
        <w:rPr>
          <w:rFonts w:ascii="Arial" w:hAnsi="Arial" w:cs="Arial"/>
          <w:sz w:val="22"/>
          <w:szCs w:val="22"/>
        </w:rPr>
      </w:pPr>
      <w:r w:rsidRPr="003B14B6">
        <w:rPr>
          <w:rFonts w:ascii="Arial" w:hAnsi="Arial" w:cs="Arial"/>
          <w:sz w:val="22"/>
          <w:szCs w:val="22"/>
        </w:rPr>
        <w:t xml:space="preserve">cfDNA </w:t>
      </w:r>
      <w:r w:rsidR="003B562C" w:rsidRPr="003B14B6">
        <w:rPr>
          <w:rFonts w:ascii="Arial" w:hAnsi="Arial" w:cs="Arial"/>
          <w:sz w:val="22"/>
          <w:szCs w:val="22"/>
        </w:rPr>
        <w:t>of OC</w:t>
      </w:r>
      <w:r w:rsidR="001A2490" w:rsidRPr="003B14B6">
        <w:rPr>
          <w:rFonts w:ascii="Arial" w:hAnsi="Arial" w:cs="Arial"/>
          <w:sz w:val="22"/>
          <w:szCs w:val="22"/>
        </w:rPr>
        <w:t>s</w:t>
      </w:r>
      <w:r w:rsidRPr="003B14B6">
        <w:rPr>
          <w:rFonts w:ascii="Arial" w:hAnsi="Arial" w:cs="Arial"/>
          <w:sz w:val="22"/>
          <w:szCs w:val="22"/>
        </w:rPr>
        <w:t xml:space="preserve"> </w:t>
      </w:r>
      <w:r w:rsidR="003B562C" w:rsidRPr="003B14B6">
        <w:rPr>
          <w:rFonts w:ascii="Arial" w:hAnsi="Arial" w:cs="Arial"/>
          <w:sz w:val="22"/>
          <w:szCs w:val="22"/>
        </w:rPr>
        <w:t>are</w:t>
      </w:r>
      <w:r w:rsidRPr="003B14B6">
        <w:rPr>
          <w:rFonts w:ascii="Arial" w:hAnsi="Arial" w:cs="Arial"/>
          <w:sz w:val="22"/>
          <w:szCs w:val="22"/>
        </w:rPr>
        <w:t xml:space="preserve"> detectable in saliva</w:t>
      </w:r>
      <w:r w:rsidR="00CA260D" w:rsidRPr="003B14B6">
        <w:rPr>
          <w:rFonts w:ascii="Arial" w:hAnsi="Arial" w:cs="Arial"/>
          <w:sz w:val="22"/>
          <w:szCs w:val="22"/>
        </w:rPr>
        <w:t xml:space="preserve"> applying cfDNA fragmentation analysis</w:t>
      </w:r>
      <w:r w:rsidRPr="003B14B6">
        <w:rPr>
          <w:rFonts w:ascii="Arial" w:hAnsi="Arial" w:cs="Arial"/>
          <w:sz w:val="22"/>
          <w:szCs w:val="22"/>
        </w:rPr>
        <w:t xml:space="preserve">; and </w:t>
      </w:r>
    </w:p>
    <w:p w:rsidR="00874364" w:rsidRPr="003B14B6" w:rsidRDefault="00084267" w:rsidP="00F632C0">
      <w:pPr>
        <w:ind w:left="60"/>
        <w:rPr>
          <w:rFonts w:ascii="Arial" w:hAnsi="Arial" w:cs="Arial"/>
          <w:sz w:val="22"/>
          <w:szCs w:val="22"/>
        </w:rPr>
      </w:pPr>
      <w:r w:rsidRPr="003B14B6">
        <w:rPr>
          <w:rFonts w:ascii="Arial" w:hAnsi="Arial" w:cs="Arial"/>
          <w:sz w:val="22"/>
          <w:szCs w:val="22"/>
        </w:rPr>
        <w:t>b)</w:t>
      </w:r>
      <w:r w:rsidR="004E1C2B" w:rsidRPr="003B14B6">
        <w:rPr>
          <w:rFonts w:ascii="Arial" w:hAnsi="Arial" w:cs="Arial"/>
          <w:sz w:val="22"/>
          <w:szCs w:val="22"/>
        </w:rPr>
        <w:t xml:space="preserve"> </w:t>
      </w:r>
      <w:r w:rsidR="001A2490" w:rsidRPr="003B14B6">
        <w:rPr>
          <w:rFonts w:ascii="Arial" w:hAnsi="Arial" w:cs="Arial"/>
          <w:sz w:val="22"/>
          <w:szCs w:val="22"/>
        </w:rPr>
        <w:t>GW</w:t>
      </w:r>
      <w:r w:rsidR="00D71DF6" w:rsidRPr="003B14B6">
        <w:rPr>
          <w:rFonts w:ascii="Arial" w:hAnsi="Arial" w:cs="Arial"/>
          <w:sz w:val="22"/>
          <w:szCs w:val="22"/>
        </w:rPr>
        <w:t xml:space="preserve"> </w:t>
      </w:r>
      <w:r w:rsidR="004E1C2B" w:rsidRPr="003B14B6">
        <w:rPr>
          <w:rFonts w:ascii="Arial" w:hAnsi="Arial" w:cs="Arial"/>
          <w:sz w:val="22"/>
          <w:szCs w:val="22"/>
        </w:rPr>
        <w:t xml:space="preserve">DELFI </w:t>
      </w:r>
      <w:r w:rsidR="00931F25" w:rsidRPr="003B14B6">
        <w:rPr>
          <w:rFonts w:ascii="Arial" w:hAnsi="Arial" w:cs="Arial"/>
          <w:sz w:val="22"/>
          <w:szCs w:val="22"/>
        </w:rPr>
        <w:t xml:space="preserve">and </w:t>
      </w:r>
      <w:r w:rsidR="00F632C0" w:rsidRPr="003B14B6">
        <w:rPr>
          <w:rFonts w:ascii="Arial" w:hAnsi="Arial" w:cs="Arial"/>
          <w:sz w:val="22"/>
          <w:szCs w:val="22"/>
        </w:rPr>
        <w:t>meDELFI</w:t>
      </w:r>
      <w:r w:rsidR="00D71DF6" w:rsidRPr="003B14B6">
        <w:rPr>
          <w:rFonts w:ascii="Arial" w:hAnsi="Arial" w:cs="Arial"/>
          <w:sz w:val="22"/>
          <w:szCs w:val="22"/>
        </w:rPr>
        <w:t xml:space="preserve"> will reveal distinct genetic and epigenetic </w:t>
      </w:r>
      <w:r w:rsidR="006A1283" w:rsidRPr="003B14B6">
        <w:rPr>
          <w:rFonts w:ascii="Arial" w:hAnsi="Arial" w:cs="Arial"/>
          <w:sz w:val="22"/>
          <w:szCs w:val="22"/>
        </w:rPr>
        <w:t xml:space="preserve">profiles </w:t>
      </w:r>
      <w:r w:rsidR="003B562C" w:rsidRPr="003B14B6">
        <w:rPr>
          <w:rFonts w:ascii="Arial" w:hAnsi="Arial" w:cs="Arial"/>
          <w:sz w:val="22"/>
          <w:szCs w:val="22"/>
        </w:rPr>
        <w:t>for</w:t>
      </w:r>
      <w:r w:rsidR="006A1283" w:rsidRPr="003B14B6">
        <w:rPr>
          <w:rFonts w:ascii="Arial" w:hAnsi="Arial" w:cs="Arial"/>
          <w:sz w:val="22"/>
          <w:szCs w:val="22"/>
        </w:rPr>
        <w:t xml:space="preserve"> </w:t>
      </w:r>
      <w:r w:rsidR="003B562C" w:rsidRPr="003B14B6">
        <w:rPr>
          <w:rFonts w:ascii="Arial" w:hAnsi="Arial" w:cs="Arial"/>
          <w:sz w:val="22"/>
          <w:szCs w:val="22"/>
        </w:rPr>
        <w:t>OC</w:t>
      </w:r>
      <w:r w:rsidR="001A2490" w:rsidRPr="003B14B6">
        <w:rPr>
          <w:rFonts w:ascii="Arial" w:hAnsi="Arial" w:cs="Arial"/>
          <w:sz w:val="22"/>
          <w:szCs w:val="22"/>
        </w:rPr>
        <w:t>s</w:t>
      </w:r>
      <w:r w:rsidR="00D71DF6" w:rsidRPr="003B14B6">
        <w:rPr>
          <w:rFonts w:ascii="Arial" w:hAnsi="Arial" w:cs="Arial"/>
          <w:sz w:val="22"/>
          <w:szCs w:val="22"/>
        </w:rPr>
        <w:t>, mutations,</w:t>
      </w:r>
      <w:r w:rsidR="003B562C" w:rsidRPr="003B14B6">
        <w:rPr>
          <w:rFonts w:ascii="Arial" w:hAnsi="Arial" w:cs="Arial"/>
          <w:sz w:val="22"/>
          <w:szCs w:val="22"/>
        </w:rPr>
        <w:t xml:space="preserve"> and </w:t>
      </w:r>
      <w:r w:rsidR="00D71DF6" w:rsidRPr="003B14B6">
        <w:rPr>
          <w:rFonts w:ascii="Arial" w:hAnsi="Arial" w:cs="Arial"/>
          <w:sz w:val="22"/>
          <w:szCs w:val="22"/>
        </w:rPr>
        <w:t xml:space="preserve">epigenetic </w:t>
      </w:r>
      <w:r w:rsidR="003B562C" w:rsidRPr="003B14B6">
        <w:rPr>
          <w:rFonts w:ascii="Arial" w:hAnsi="Arial" w:cs="Arial"/>
          <w:sz w:val="22"/>
          <w:szCs w:val="22"/>
        </w:rPr>
        <w:t xml:space="preserve">changes </w:t>
      </w:r>
      <w:r w:rsidR="00D71DF6" w:rsidRPr="003B14B6">
        <w:rPr>
          <w:rFonts w:ascii="Arial" w:hAnsi="Arial" w:cs="Arial"/>
          <w:sz w:val="22"/>
          <w:szCs w:val="22"/>
        </w:rPr>
        <w:t xml:space="preserve">associated with advancing tumor stage.  </w:t>
      </w:r>
    </w:p>
    <w:p w:rsidR="004164F2" w:rsidRPr="003B14B6" w:rsidRDefault="006279C1" w:rsidP="0019737F">
      <w:pPr>
        <w:spacing w:before="120"/>
        <w:rPr>
          <w:rFonts w:ascii="Arial" w:hAnsi="Arial" w:cs="Arial"/>
          <w:sz w:val="22"/>
          <w:szCs w:val="22"/>
        </w:rPr>
      </w:pPr>
      <w:r w:rsidRPr="009B3CB3">
        <w:rPr>
          <w:rFonts w:ascii="Arial" w:hAnsi="Arial" w:cs="Arial"/>
          <w:b/>
          <w:i/>
          <w:sz w:val="22"/>
          <w:szCs w:val="22"/>
        </w:rPr>
        <w:t>Specific aims</w:t>
      </w:r>
      <w:r w:rsidRPr="003B14B6">
        <w:rPr>
          <w:rFonts w:ascii="Arial" w:hAnsi="Arial" w:cs="Arial"/>
          <w:sz w:val="22"/>
          <w:szCs w:val="22"/>
        </w:rPr>
        <w:t xml:space="preserve"> to test these hypotheses include: </w:t>
      </w:r>
      <w:r w:rsidR="00084267" w:rsidRPr="003B14B6">
        <w:rPr>
          <w:rFonts w:ascii="Arial" w:hAnsi="Arial" w:cs="Arial"/>
          <w:sz w:val="22"/>
          <w:szCs w:val="22"/>
        </w:rPr>
        <w:t xml:space="preserve">   </w:t>
      </w:r>
    </w:p>
    <w:p w:rsidR="00DB08BB" w:rsidRPr="003B14B6" w:rsidRDefault="0024069D" w:rsidP="004E1C2B">
      <w:pPr>
        <w:ind w:firstLine="720"/>
        <w:rPr>
          <w:rFonts w:ascii="Arial" w:hAnsi="Arial" w:cs="Arial"/>
          <w:sz w:val="22"/>
          <w:szCs w:val="22"/>
        </w:rPr>
      </w:pPr>
      <w:r w:rsidRPr="003B14B6">
        <w:rPr>
          <w:rFonts w:ascii="Arial" w:hAnsi="Arial" w:cs="Arial"/>
          <w:b/>
          <w:sz w:val="22"/>
          <w:szCs w:val="22"/>
        </w:rPr>
        <w:t>Specific Aim 1:</w:t>
      </w:r>
      <w:r w:rsidRPr="003B14B6">
        <w:rPr>
          <w:rFonts w:ascii="Arial" w:hAnsi="Arial" w:cs="Arial"/>
          <w:sz w:val="22"/>
          <w:szCs w:val="22"/>
        </w:rPr>
        <w:t xml:space="preserve">  </w:t>
      </w:r>
      <w:r w:rsidR="006279C1" w:rsidRPr="003B14B6">
        <w:rPr>
          <w:rFonts w:ascii="Arial" w:hAnsi="Arial" w:cs="Arial"/>
          <w:sz w:val="22"/>
          <w:szCs w:val="22"/>
        </w:rPr>
        <w:t xml:space="preserve">Pilot </w:t>
      </w:r>
      <w:r w:rsidR="00687137" w:rsidRPr="003B14B6">
        <w:rPr>
          <w:rFonts w:ascii="Arial" w:hAnsi="Arial" w:cs="Arial"/>
          <w:sz w:val="22"/>
          <w:szCs w:val="22"/>
        </w:rPr>
        <w:t xml:space="preserve">DNA </w:t>
      </w:r>
      <w:r w:rsidR="00BB078C" w:rsidRPr="003B14B6">
        <w:rPr>
          <w:rFonts w:ascii="Arial" w:hAnsi="Arial" w:cs="Arial"/>
          <w:sz w:val="22"/>
          <w:szCs w:val="22"/>
        </w:rPr>
        <w:t xml:space="preserve">fragmentation and </w:t>
      </w:r>
      <w:r w:rsidR="001828FC" w:rsidRPr="003B14B6">
        <w:rPr>
          <w:rFonts w:ascii="Arial" w:hAnsi="Arial" w:cs="Arial"/>
          <w:sz w:val="22"/>
          <w:szCs w:val="22"/>
        </w:rPr>
        <w:t>WG-</w:t>
      </w:r>
      <w:r w:rsidR="006279C1" w:rsidRPr="003B14B6">
        <w:rPr>
          <w:rFonts w:ascii="Arial" w:hAnsi="Arial" w:cs="Arial"/>
          <w:sz w:val="22"/>
          <w:szCs w:val="22"/>
        </w:rPr>
        <w:t>DEL</w:t>
      </w:r>
      <w:r w:rsidR="00DB1DF8" w:rsidRPr="003B14B6">
        <w:rPr>
          <w:rFonts w:ascii="Arial" w:hAnsi="Arial" w:cs="Arial"/>
          <w:sz w:val="22"/>
          <w:szCs w:val="22"/>
        </w:rPr>
        <w:t>F</w:t>
      </w:r>
      <w:r w:rsidR="006279C1" w:rsidRPr="003B14B6">
        <w:rPr>
          <w:rFonts w:ascii="Arial" w:hAnsi="Arial" w:cs="Arial"/>
          <w:sz w:val="22"/>
          <w:szCs w:val="22"/>
        </w:rPr>
        <w:t>I</w:t>
      </w:r>
      <w:r w:rsidR="003D42DA" w:rsidRPr="003B14B6">
        <w:rPr>
          <w:rFonts w:ascii="Arial" w:hAnsi="Arial" w:cs="Arial"/>
          <w:sz w:val="22"/>
          <w:szCs w:val="22"/>
        </w:rPr>
        <w:t>/</w:t>
      </w:r>
      <w:r w:rsidR="004E1C2B" w:rsidRPr="003B14B6">
        <w:rPr>
          <w:rFonts w:ascii="Arial" w:hAnsi="Arial" w:cs="Arial"/>
          <w:sz w:val="22"/>
          <w:szCs w:val="22"/>
        </w:rPr>
        <w:t>mutational analysis</w:t>
      </w:r>
      <w:r w:rsidR="006279C1" w:rsidRPr="003B14B6">
        <w:rPr>
          <w:rFonts w:ascii="Arial" w:hAnsi="Arial" w:cs="Arial"/>
          <w:sz w:val="22"/>
          <w:szCs w:val="22"/>
        </w:rPr>
        <w:t xml:space="preserve"> </w:t>
      </w:r>
      <w:r w:rsidR="00687137" w:rsidRPr="003B14B6">
        <w:rPr>
          <w:rFonts w:ascii="Arial" w:hAnsi="Arial" w:cs="Arial"/>
          <w:sz w:val="22"/>
          <w:szCs w:val="22"/>
        </w:rPr>
        <w:t xml:space="preserve">of </w:t>
      </w:r>
      <w:r w:rsidR="006279C1" w:rsidRPr="003B14B6">
        <w:rPr>
          <w:rFonts w:ascii="Arial" w:hAnsi="Arial" w:cs="Arial"/>
          <w:sz w:val="22"/>
          <w:szCs w:val="22"/>
        </w:rPr>
        <w:t xml:space="preserve">cfDNA </w:t>
      </w:r>
      <w:r w:rsidR="00687137" w:rsidRPr="003B14B6">
        <w:rPr>
          <w:rFonts w:ascii="Arial" w:hAnsi="Arial" w:cs="Arial"/>
          <w:sz w:val="22"/>
          <w:szCs w:val="22"/>
        </w:rPr>
        <w:t xml:space="preserve">libraries </w:t>
      </w:r>
      <w:r w:rsidR="006279C1" w:rsidRPr="003B14B6">
        <w:rPr>
          <w:rFonts w:ascii="Arial" w:hAnsi="Arial" w:cs="Arial"/>
          <w:sz w:val="22"/>
          <w:szCs w:val="22"/>
        </w:rPr>
        <w:t xml:space="preserve">in </w:t>
      </w:r>
      <w:r w:rsidR="003D42DA" w:rsidRPr="003B14B6">
        <w:rPr>
          <w:rFonts w:ascii="Arial" w:hAnsi="Arial" w:cs="Arial"/>
          <w:sz w:val="22"/>
          <w:szCs w:val="22"/>
        </w:rPr>
        <w:t xml:space="preserve">prospectively </w:t>
      </w:r>
      <w:r w:rsidR="00DB08BB" w:rsidRPr="003B14B6">
        <w:rPr>
          <w:rFonts w:ascii="Arial" w:hAnsi="Arial" w:cs="Arial"/>
          <w:sz w:val="22"/>
          <w:szCs w:val="22"/>
        </w:rPr>
        <w:t xml:space="preserve">collected </w:t>
      </w:r>
      <w:r w:rsidR="006279C1" w:rsidRPr="003B14B6">
        <w:rPr>
          <w:rFonts w:ascii="Arial" w:hAnsi="Arial" w:cs="Arial"/>
          <w:sz w:val="22"/>
          <w:szCs w:val="22"/>
        </w:rPr>
        <w:t xml:space="preserve">saliva </w:t>
      </w:r>
      <w:r w:rsidR="00687137" w:rsidRPr="003B14B6">
        <w:rPr>
          <w:rFonts w:ascii="Arial" w:hAnsi="Arial" w:cs="Arial"/>
          <w:sz w:val="22"/>
          <w:szCs w:val="22"/>
        </w:rPr>
        <w:t xml:space="preserve">to compare </w:t>
      </w:r>
      <w:r w:rsidR="001828FC" w:rsidRPr="003B14B6">
        <w:rPr>
          <w:rFonts w:ascii="Arial" w:hAnsi="Arial" w:cs="Arial"/>
          <w:sz w:val="22"/>
          <w:szCs w:val="22"/>
        </w:rPr>
        <w:t>profiles</w:t>
      </w:r>
      <w:r w:rsidR="00687137" w:rsidRPr="003B14B6">
        <w:rPr>
          <w:rFonts w:ascii="Arial" w:hAnsi="Arial" w:cs="Arial"/>
          <w:sz w:val="22"/>
          <w:szCs w:val="22"/>
        </w:rPr>
        <w:t xml:space="preserve"> of</w:t>
      </w:r>
      <w:r w:rsidR="00BB078C" w:rsidRPr="003B14B6">
        <w:rPr>
          <w:rFonts w:ascii="Arial" w:hAnsi="Arial" w:cs="Arial"/>
          <w:sz w:val="22"/>
          <w:szCs w:val="22"/>
        </w:rPr>
        <w:t xml:space="preserve"> healthy individuals </w:t>
      </w:r>
      <w:r w:rsidR="001828FC" w:rsidRPr="003B14B6">
        <w:rPr>
          <w:rFonts w:ascii="Arial" w:hAnsi="Arial" w:cs="Arial"/>
          <w:sz w:val="22"/>
          <w:szCs w:val="22"/>
        </w:rPr>
        <w:t xml:space="preserve">and those of </w:t>
      </w:r>
      <w:r w:rsidR="00687137" w:rsidRPr="003B14B6">
        <w:rPr>
          <w:rFonts w:ascii="Arial" w:hAnsi="Arial" w:cs="Arial"/>
          <w:sz w:val="22"/>
          <w:szCs w:val="22"/>
        </w:rPr>
        <w:t xml:space="preserve">patients with </w:t>
      </w:r>
      <w:r w:rsidR="00BB078C" w:rsidRPr="003B14B6">
        <w:rPr>
          <w:rFonts w:ascii="Arial" w:hAnsi="Arial" w:cs="Arial"/>
          <w:sz w:val="22"/>
          <w:szCs w:val="22"/>
        </w:rPr>
        <w:t>incident O</w:t>
      </w:r>
      <w:r w:rsidR="00DB08BB" w:rsidRPr="003B14B6">
        <w:rPr>
          <w:rFonts w:ascii="Arial" w:hAnsi="Arial" w:cs="Arial"/>
          <w:sz w:val="22"/>
          <w:szCs w:val="22"/>
        </w:rPr>
        <w:t>C</w:t>
      </w:r>
      <w:r w:rsidR="001828FC" w:rsidRPr="003B14B6">
        <w:rPr>
          <w:rFonts w:ascii="Arial" w:hAnsi="Arial" w:cs="Arial"/>
          <w:sz w:val="22"/>
          <w:szCs w:val="22"/>
        </w:rPr>
        <w:t>s</w:t>
      </w:r>
      <w:r w:rsidR="00BB078C" w:rsidRPr="003B14B6">
        <w:rPr>
          <w:rFonts w:ascii="Arial" w:hAnsi="Arial" w:cs="Arial"/>
          <w:sz w:val="22"/>
          <w:szCs w:val="22"/>
        </w:rPr>
        <w:t xml:space="preserve">. </w:t>
      </w:r>
    </w:p>
    <w:p w:rsidR="00DB08BB" w:rsidRPr="003B14B6" w:rsidRDefault="00DB08BB" w:rsidP="00B069FF">
      <w:pPr>
        <w:ind w:firstLine="720"/>
        <w:rPr>
          <w:rFonts w:ascii="Arial" w:hAnsi="Arial" w:cs="Arial"/>
          <w:sz w:val="22"/>
          <w:szCs w:val="22"/>
        </w:rPr>
      </w:pPr>
      <w:r w:rsidRPr="003B14B6">
        <w:rPr>
          <w:rFonts w:ascii="Arial" w:hAnsi="Arial" w:cs="Arial"/>
          <w:b/>
          <w:sz w:val="22"/>
          <w:szCs w:val="22"/>
        </w:rPr>
        <w:t xml:space="preserve">Specific Aim 2:  </w:t>
      </w:r>
      <w:r w:rsidRPr="003B14B6">
        <w:rPr>
          <w:rFonts w:ascii="Arial" w:hAnsi="Arial" w:cs="Arial"/>
          <w:sz w:val="22"/>
          <w:szCs w:val="22"/>
        </w:rPr>
        <w:t>Pilot array-based me</w:t>
      </w:r>
      <w:r w:rsidR="003D42DA" w:rsidRPr="003B14B6">
        <w:rPr>
          <w:rFonts w:ascii="Arial" w:hAnsi="Arial" w:cs="Arial"/>
          <w:sz w:val="22"/>
          <w:szCs w:val="22"/>
        </w:rPr>
        <w:t>DELFI</w:t>
      </w:r>
      <w:r w:rsidRPr="003B14B6">
        <w:rPr>
          <w:rFonts w:ascii="Arial" w:hAnsi="Arial" w:cs="Arial"/>
          <w:sz w:val="22"/>
          <w:szCs w:val="22"/>
        </w:rPr>
        <w:t xml:space="preserve"> analysis of cfDNA in </w:t>
      </w:r>
      <w:r w:rsidR="00B069FF" w:rsidRPr="003B14B6">
        <w:rPr>
          <w:rFonts w:ascii="Arial" w:hAnsi="Arial" w:cs="Arial"/>
          <w:sz w:val="22"/>
          <w:szCs w:val="22"/>
        </w:rPr>
        <w:t xml:space="preserve">prospectively </w:t>
      </w:r>
      <w:r w:rsidRPr="003B14B6">
        <w:rPr>
          <w:rFonts w:ascii="Arial" w:hAnsi="Arial" w:cs="Arial"/>
          <w:sz w:val="22"/>
          <w:szCs w:val="22"/>
        </w:rPr>
        <w:t xml:space="preserve">collected saliva of patients with </w:t>
      </w:r>
      <w:r w:rsidR="00687137" w:rsidRPr="003B14B6">
        <w:rPr>
          <w:rFonts w:ascii="Arial" w:hAnsi="Arial" w:cs="Arial"/>
          <w:sz w:val="22"/>
          <w:szCs w:val="22"/>
        </w:rPr>
        <w:t>O</w:t>
      </w:r>
      <w:r w:rsidRPr="003B14B6">
        <w:rPr>
          <w:rFonts w:ascii="Arial" w:hAnsi="Arial" w:cs="Arial"/>
          <w:sz w:val="22"/>
          <w:szCs w:val="22"/>
        </w:rPr>
        <w:t>C</w:t>
      </w:r>
      <w:r w:rsidR="001828FC" w:rsidRPr="003B14B6">
        <w:rPr>
          <w:rFonts w:ascii="Arial" w:hAnsi="Arial" w:cs="Arial"/>
          <w:sz w:val="22"/>
          <w:szCs w:val="22"/>
        </w:rPr>
        <w:t>s</w:t>
      </w:r>
      <w:r w:rsidRPr="003B14B6">
        <w:rPr>
          <w:rFonts w:ascii="Arial" w:hAnsi="Arial" w:cs="Arial"/>
          <w:sz w:val="22"/>
          <w:szCs w:val="22"/>
        </w:rPr>
        <w:t xml:space="preserve"> and </w:t>
      </w:r>
      <w:r w:rsidR="00687137" w:rsidRPr="003B14B6">
        <w:rPr>
          <w:rFonts w:ascii="Arial" w:hAnsi="Arial" w:cs="Arial"/>
          <w:sz w:val="22"/>
          <w:szCs w:val="22"/>
        </w:rPr>
        <w:t>healthy cancer-</w:t>
      </w:r>
      <w:r w:rsidRPr="003B14B6">
        <w:rPr>
          <w:rFonts w:ascii="Arial" w:hAnsi="Arial" w:cs="Arial"/>
          <w:sz w:val="22"/>
          <w:szCs w:val="22"/>
        </w:rPr>
        <w:t xml:space="preserve">free subjects </w:t>
      </w:r>
    </w:p>
    <w:p w:rsidR="00E07CF9" w:rsidRPr="003B14B6" w:rsidRDefault="00B069FF" w:rsidP="004E1C2B">
      <w:pPr>
        <w:ind w:firstLine="720"/>
        <w:rPr>
          <w:rFonts w:ascii="Arial" w:hAnsi="Arial" w:cs="Arial"/>
          <w:sz w:val="22"/>
          <w:szCs w:val="22"/>
        </w:rPr>
      </w:pPr>
      <w:r w:rsidRPr="003B14B6">
        <w:rPr>
          <w:rFonts w:ascii="Arial" w:hAnsi="Arial" w:cs="Arial"/>
          <w:b/>
          <w:sz w:val="22"/>
          <w:szCs w:val="22"/>
        </w:rPr>
        <w:t>Secondary Aim</w:t>
      </w:r>
      <w:r w:rsidR="00E07CF9" w:rsidRPr="003B14B6">
        <w:rPr>
          <w:rFonts w:ascii="Arial" w:hAnsi="Arial" w:cs="Arial"/>
          <w:b/>
          <w:sz w:val="22"/>
          <w:szCs w:val="22"/>
        </w:rPr>
        <w:t>:</w:t>
      </w:r>
      <w:r w:rsidR="00E07CF9" w:rsidRPr="003B14B6">
        <w:rPr>
          <w:rFonts w:ascii="Arial" w:hAnsi="Arial" w:cs="Arial"/>
          <w:sz w:val="22"/>
          <w:szCs w:val="22"/>
        </w:rPr>
        <w:t xml:space="preserve">  Create a biobank </w:t>
      </w:r>
      <w:r w:rsidR="00687137" w:rsidRPr="003B14B6">
        <w:rPr>
          <w:rFonts w:ascii="Arial" w:hAnsi="Arial" w:cs="Arial"/>
          <w:sz w:val="22"/>
          <w:szCs w:val="22"/>
        </w:rPr>
        <w:t>for</w:t>
      </w:r>
      <w:r w:rsidR="00E07CF9" w:rsidRPr="003B14B6">
        <w:rPr>
          <w:rFonts w:ascii="Arial" w:hAnsi="Arial" w:cs="Arial"/>
          <w:sz w:val="22"/>
          <w:szCs w:val="22"/>
        </w:rPr>
        <w:t xml:space="preserve"> </w:t>
      </w:r>
      <w:r w:rsidR="001828FC" w:rsidRPr="003B14B6">
        <w:rPr>
          <w:rFonts w:ascii="Arial" w:hAnsi="Arial" w:cs="Arial"/>
          <w:sz w:val="22"/>
          <w:szCs w:val="22"/>
        </w:rPr>
        <w:t>additional collection of blood and storage of residual saliva</w:t>
      </w:r>
      <w:r w:rsidR="00B87576" w:rsidRPr="003B14B6">
        <w:rPr>
          <w:rFonts w:ascii="Arial" w:hAnsi="Arial" w:cs="Arial"/>
          <w:sz w:val="22"/>
          <w:szCs w:val="22"/>
        </w:rPr>
        <w:t xml:space="preserve"> specimens</w:t>
      </w:r>
      <w:r w:rsidR="00687137" w:rsidRPr="003B14B6">
        <w:rPr>
          <w:rFonts w:ascii="Arial" w:hAnsi="Arial" w:cs="Arial"/>
          <w:sz w:val="22"/>
          <w:szCs w:val="22"/>
        </w:rPr>
        <w:t xml:space="preserve"> </w:t>
      </w:r>
      <w:r w:rsidRPr="003B14B6">
        <w:rPr>
          <w:rFonts w:ascii="Arial" w:hAnsi="Arial" w:cs="Arial"/>
          <w:sz w:val="22"/>
          <w:szCs w:val="22"/>
        </w:rPr>
        <w:t>from partici</w:t>
      </w:r>
      <w:r w:rsidR="001828FC" w:rsidRPr="003B14B6">
        <w:rPr>
          <w:rFonts w:ascii="Arial" w:hAnsi="Arial" w:cs="Arial"/>
          <w:sz w:val="22"/>
          <w:szCs w:val="22"/>
        </w:rPr>
        <w:t xml:space="preserve">pants enrolled for specific aim </w:t>
      </w:r>
      <w:r w:rsidRPr="003B14B6">
        <w:rPr>
          <w:rFonts w:ascii="Arial" w:hAnsi="Arial" w:cs="Arial"/>
          <w:sz w:val="22"/>
          <w:szCs w:val="22"/>
        </w:rPr>
        <w:t xml:space="preserve">1&amp;2 </w:t>
      </w:r>
      <w:r w:rsidR="001828FC" w:rsidRPr="003B14B6">
        <w:rPr>
          <w:rFonts w:ascii="Arial" w:hAnsi="Arial" w:cs="Arial"/>
          <w:sz w:val="22"/>
          <w:szCs w:val="22"/>
        </w:rPr>
        <w:t xml:space="preserve">for a future study to scale </w:t>
      </w:r>
      <w:r w:rsidRPr="003B14B6">
        <w:rPr>
          <w:rFonts w:ascii="Arial" w:hAnsi="Arial" w:cs="Arial"/>
          <w:sz w:val="22"/>
          <w:szCs w:val="22"/>
        </w:rPr>
        <w:t>cfDNA</w:t>
      </w:r>
      <w:r w:rsidR="00E07CF9" w:rsidRPr="003B14B6">
        <w:rPr>
          <w:rFonts w:ascii="Arial" w:hAnsi="Arial" w:cs="Arial"/>
          <w:sz w:val="22"/>
          <w:szCs w:val="22"/>
        </w:rPr>
        <w:t xml:space="preserve"> </w:t>
      </w:r>
      <w:r w:rsidR="001828FC" w:rsidRPr="003B14B6">
        <w:rPr>
          <w:rFonts w:ascii="Arial" w:hAnsi="Arial" w:cs="Arial"/>
          <w:sz w:val="22"/>
          <w:szCs w:val="22"/>
        </w:rPr>
        <w:t xml:space="preserve">profiling </w:t>
      </w:r>
      <w:r w:rsidRPr="003B14B6">
        <w:rPr>
          <w:rFonts w:ascii="Arial" w:hAnsi="Arial" w:cs="Arial"/>
          <w:sz w:val="22"/>
          <w:szCs w:val="22"/>
        </w:rPr>
        <w:t>in</w:t>
      </w:r>
      <w:r w:rsidR="00E07CF9" w:rsidRPr="003B14B6">
        <w:rPr>
          <w:rFonts w:ascii="Arial" w:hAnsi="Arial" w:cs="Arial"/>
          <w:sz w:val="22"/>
          <w:szCs w:val="22"/>
        </w:rPr>
        <w:t xml:space="preserve"> </w:t>
      </w:r>
      <w:r w:rsidR="00A0210B" w:rsidRPr="003B14B6">
        <w:rPr>
          <w:rFonts w:ascii="Arial" w:hAnsi="Arial" w:cs="Arial"/>
          <w:sz w:val="22"/>
          <w:szCs w:val="22"/>
        </w:rPr>
        <w:t>saliva</w:t>
      </w:r>
      <w:r w:rsidRPr="003B14B6">
        <w:rPr>
          <w:rFonts w:ascii="Arial" w:hAnsi="Arial" w:cs="Arial"/>
          <w:sz w:val="22"/>
          <w:szCs w:val="22"/>
        </w:rPr>
        <w:t xml:space="preserve"> </w:t>
      </w:r>
      <w:r w:rsidR="004E1C2B" w:rsidRPr="003B14B6">
        <w:rPr>
          <w:rFonts w:ascii="Arial" w:hAnsi="Arial" w:cs="Arial"/>
          <w:sz w:val="22"/>
          <w:szCs w:val="22"/>
        </w:rPr>
        <w:t xml:space="preserve">applying </w:t>
      </w:r>
      <w:r w:rsidR="003D42DA" w:rsidRPr="003B14B6">
        <w:rPr>
          <w:rFonts w:ascii="Arial" w:hAnsi="Arial" w:cs="Arial"/>
          <w:sz w:val="22"/>
          <w:szCs w:val="22"/>
        </w:rPr>
        <w:t xml:space="preserve">cfDNA fragmentation analysis, </w:t>
      </w:r>
      <w:r w:rsidR="004E1C2B" w:rsidRPr="003B14B6">
        <w:rPr>
          <w:rFonts w:ascii="Arial" w:hAnsi="Arial" w:cs="Arial"/>
          <w:sz w:val="22"/>
          <w:szCs w:val="22"/>
        </w:rPr>
        <w:t>DELFI</w:t>
      </w:r>
      <w:r w:rsidRPr="003B14B6">
        <w:rPr>
          <w:rFonts w:ascii="Arial" w:hAnsi="Arial" w:cs="Arial"/>
          <w:sz w:val="22"/>
          <w:szCs w:val="22"/>
        </w:rPr>
        <w:t>/</w:t>
      </w:r>
      <w:r w:rsidR="004E1C2B" w:rsidRPr="003B14B6">
        <w:rPr>
          <w:rFonts w:ascii="Arial" w:hAnsi="Arial" w:cs="Arial"/>
          <w:sz w:val="22"/>
          <w:szCs w:val="22"/>
        </w:rPr>
        <w:t>mutational analysis</w:t>
      </w:r>
      <w:r w:rsidRPr="003B14B6">
        <w:rPr>
          <w:rFonts w:ascii="Arial" w:hAnsi="Arial" w:cs="Arial"/>
          <w:sz w:val="22"/>
          <w:szCs w:val="22"/>
        </w:rPr>
        <w:t xml:space="preserve"> and </w:t>
      </w:r>
      <w:r w:rsidR="003D42DA" w:rsidRPr="003B14B6">
        <w:rPr>
          <w:rFonts w:ascii="Arial" w:hAnsi="Arial" w:cs="Arial"/>
          <w:sz w:val="22"/>
          <w:szCs w:val="22"/>
        </w:rPr>
        <w:t>meDELFI</w:t>
      </w:r>
      <w:r w:rsidR="001828FC" w:rsidRPr="003B14B6">
        <w:rPr>
          <w:rFonts w:ascii="Arial" w:hAnsi="Arial" w:cs="Arial"/>
          <w:sz w:val="22"/>
          <w:szCs w:val="22"/>
        </w:rPr>
        <w:t xml:space="preserve"> established in this pilot study to validate findings</w:t>
      </w:r>
      <w:r w:rsidR="00E07CF9" w:rsidRPr="003B14B6">
        <w:rPr>
          <w:rFonts w:ascii="Arial" w:hAnsi="Arial" w:cs="Arial"/>
          <w:sz w:val="22"/>
          <w:szCs w:val="22"/>
        </w:rPr>
        <w:t xml:space="preserve">. </w:t>
      </w:r>
    </w:p>
    <w:p w:rsidR="00AA1D6D" w:rsidRPr="009B3CB3" w:rsidRDefault="002405A4" w:rsidP="009B3CB3">
      <w:pPr>
        <w:spacing w:before="120"/>
        <w:rPr>
          <w:rFonts w:ascii="Arial" w:hAnsi="Arial" w:cs="Arial"/>
          <w:b/>
          <w:sz w:val="22"/>
          <w:szCs w:val="22"/>
        </w:rPr>
      </w:pPr>
      <w:r w:rsidRPr="003B14B6">
        <w:rPr>
          <w:rFonts w:ascii="Arial" w:hAnsi="Arial" w:cs="Arial"/>
          <w:b/>
          <w:sz w:val="22"/>
          <w:szCs w:val="22"/>
        </w:rPr>
        <w:t>Significance</w:t>
      </w:r>
      <w:r w:rsidR="009B3CB3">
        <w:rPr>
          <w:rFonts w:ascii="Arial" w:hAnsi="Arial" w:cs="Arial"/>
          <w:b/>
          <w:sz w:val="22"/>
          <w:szCs w:val="22"/>
        </w:rPr>
        <w:t xml:space="preserve">                                                                                                                                            </w:t>
      </w:r>
      <w:r w:rsidR="00A77686" w:rsidRPr="003B14B6">
        <w:rPr>
          <w:rFonts w:ascii="Arial" w:hAnsi="Arial" w:cs="Arial"/>
          <w:sz w:val="22"/>
          <w:szCs w:val="22"/>
        </w:rPr>
        <w:t xml:space="preserve">Currently, reliable biomarkers </w:t>
      </w:r>
      <w:r w:rsidR="00C112BF" w:rsidRPr="003B14B6">
        <w:rPr>
          <w:rFonts w:ascii="Arial" w:hAnsi="Arial" w:cs="Arial"/>
          <w:sz w:val="22"/>
          <w:szCs w:val="22"/>
        </w:rPr>
        <w:t>for</w:t>
      </w:r>
      <w:r w:rsidR="003E72AC" w:rsidRPr="003B14B6">
        <w:rPr>
          <w:rFonts w:ascii="Arial" w:hAnsi="Arial" w:cs="Arial"/>
          <w:sz w:val="22"/>
          <w:szCs w:val="22"/>
        </w:rPr>
        <w:t xml:space="preserve"> translat</w:t>
      </w:r>
      <w:r w:rsidR="00513845" w:rsidRPr="003B14B6">
        <w:rPr>
          <w:rFonts w:ascii="Arial" w:hAnsi="Arial" w:cs="Arial"/>
          <w:sz w:val="22"/>
          <w:szCs w:val="22"/>
        </w:rPr>
        <w:t>ion</w:t>
      </w:r>
      <w:r w:rsidR="003E72AC" w:rsidRPr="003B14B6">
        <w:rPr>
          <w:rFonts w:ascii="Arial" w:hAnsi="Arial" w:cs="Arial"/>
          <w:sz w:val="22"/>
          <w:szCs w:val="22"/>
        </w:rPr>
        <w:t xml:space="preserve"> into clinical </w:t>
      </w:r>
      <w:r w:rsidR="00520474" w:rsidRPr="003B14B6">
        <w:rPr>
          <w:rFonts w:ascii="Arial" w:hAnsi="Arial" w:cs="Arial"/>
          <w:sz w:val="22"/>
          <w:szCs w:val="22"/>
        </w:rPr>
        <w:t>practice</w:t>
      </w:r>
      <w:r w:rsidR="003E72AC" w:rsidRPr="003B14B6">
        <w:rPr>
          <w:rFonts w:ascii="Arial" w:hAnsi="Arial" w:cs="Arial"/>
          <w:sz w:val="22"/>
          <w:szCs w:val="22"/>
        </w:rPr>
        <w:t xml:space="preserve"> that could advance precision medicine </w:t>
      </w:r>
      <w:r w:rsidR="00151F76" w:rsidRPr="003B14B6">
        <w:rPr>
          <w:rFonts w:ascii="Arial" w:hAnsi="Arial" w:cs="Arial"/>
          <w:sz w:val="22"/>
          <w:szCs w:val="22"/>
        </w:rPr>
        <w:t xml:space="preserve">(PM) </w:t>
      </w:r>
      <w:r w:rsidR="003E72AC" w:rsidRPr="003B14B6">
        <w:rPr>
          <w:rFonts w:ascii="Arial" w:hAnsi="Arial" w:cs="Arial"/>
          <w:sz w:val="22"/>
          <w:szCs w:val="22"/>
        </w:rPr>
        <w:t xml:space="preserve">approaches for detecting </w:t>
      </w:r>
      <w:r w:rsidR="00C56F0B" w:rsidRPr="003B14B6">
        <w:rPr>
          <w:rFonts w:ascii="Arial" w:hAnsi="Arial" w:cs="Arial"/>
          <w:sz w:val="22"/>
          <w:szCs w:val="22"/>
        </w:rPr>
        <w:t>OC</w:t>
      </w:r>
      <w:r w:rsidR="00D90974" w:rsidRPr="003B14B6">
        <w:rPr>
          <w:rFonts w:ascii="Arial" w:hAnsi="Arial" w:cs="Arial"/>
          <w:sz w:val="22"/>
          <w:szCs w:val="22"/>
        </w:rPr>
        <w:t xml:space="preserve"> are </w:t>
      </w:r>
      <w:r w:rsidR="000810E5" w:rsidRPr="003B14B6">
        <w:rPr>
          <w:rFonts w:ascii="Arial" w:hAnsi="Arial" w:cs="Arial"/>
          <w:sz w:val="22"/>
          <w:szCs w:val="22"/>
        </w:rPr>
        <w:t>lacking despite advances in liquid biopsy surrounding OCs and other head and neck cancers</w:t>
      </w:r>
      <w:commentRangeStart w:id="6"/>
      <w:r w:rsidR="000810E5" w:rsidRPr="003B14B6">
        <w:rPr>
          <w:rFonts w:ascii="Arial" w:hAnsi="Arial" w:cs="Arial"/>
          <w:sz w:val="22"/>
          <w:szCs w:val="22"/>
          <w:vertAlign w:val="superscript"/>
        </w:rPr>
        <w:t>6</w:t>
      </w:r>
      <w:commentRangeEnd w:id="6"/>
      <w:r w:rsidR="000810E5" w:rsidRPr="003B14B6">
        <w:rPr>
          <w:rStyle w:val="CommentReference"/>
          <w:rFonts w:ascii="Arial" w:hAnsi="Arial" w:cs="Arial"/>
          <w:sz w:val="22"/>
          <w:szCs w:val="22"/>
        </w:rPr>
        <w:commentReference w:id="6"/>
      </w:r>
      <w:r w:rsidR="000810E5" w:rsidRPr="003B14B6">
        <w:rPr>
          <w:rFonts w:ascii="Arial" w:hAnsi="Arial" w:cs="Arial"/>
          <w:sz w:val="22"/>
          <w:szCs w:val="22"/>
        </w:rPr>
        <w:t>.</w:t>
      </w:r>
      <w:r w:rsidR="00D90974" w:rsidRPr="003B14B6">
        <w:rPr>
          <w:rFonts w:ascii="Arial" w:hAnsi="Arial" w:cs="Arial"/>
          <w:sz w:val="22"/>
          <w:szCs w:val="22"/>
        </w:rPr>
        <w:t xml:space="preserve"> I</w:t>
      </w:r>
      <w:r w:rsidR="00C56F0B" w:rsidRPr="003B14B6">
        <w:rPr>
          <w:rFonts w:ascii="Arial" w:hAnsi="Arial" w:cs="Arial"/>
          <w:sz w:val="22"/>
          <w:szCs w:val="22"/>
        </w:rPr>
        <w:t>deally</w:t>
      </w:r>
      <w:r w:rsidR="00151F76" w:rsidRPr="003B14B6">
        <w:rPr>
          <w:rFonts w:ascii="Arial" w:hAnsi="Arial" w:cs="Arial"/>
          <w:sz w:val="22"/>
          <w:szCs w:val="22"/>
        </w:rPr>
        <w:t>,</w:t>
      </w:r>
      <w:r w:rsidR="00C56F0B" w:rsidRPr="003B14B6">
        <w:rPr>
          <w:rFonts w:ascii="Arial" w:hAnsi="Arial" w:cs="Arial"/>
          <w:sz w:val="22"/>
          <w:szCs w:val="22"/>
        </w:rPr>
        <w:t xml:space="preserve"> </w:t>
      </w:r>
      <w:r w:rsidR="0063167D" w:rsidRPr="003B14B6">
        <w:rPr>
          <w:rFonts w:ascii="Arial" w:hAnsi="Arial" w:cs="Arial"/>
          <w:sz w:val="22"/>
          <w:szCs w:val="22"/>
        </w:rPr>
        <w:t>non-</w:t>
      </w:r>
      <w:r w:rsidR="0006229D" w:rsidRPr="003B14B6">
        <w:rPr>
          <w:rFonts w:ascii="Arial" w:hAnsi="Arial" w:cs="Arial"/>
          <w:sz w:val="22"/>
          <w:szCs w:val="22"/>
        </w:rPr>
        <w:t xml:space="preserve">invasive tests to evaluate cfDNA in high-risk individuals </w:t>
      </w:r>
      <w:r w:rsidR="00D90974" w:rsidRPr="003B14B6">
        <w:rPr>
          <w:rFonts w:ascii="Arial" w:hAnsi="Arial" w:cs="Arial"/>
          <w:sz w:val="22"/>
          <w:szCs w:val="22"/>
        </w:rPr>
        <w:t xml:space="preserve">for detection of </w:t>
      </w:r>
      <w:r w:rsidR="00C56F0B" w:rsidRPr="003B14B6">
        <w:rPr>
          <w:rFonts w:ascii="Arial" w:hAnsi="Arial" w:cs="Arial"/>
          <w:sz w:val="22"/>
          <w:szCs w:val="22"/>
        </w:rPr>
        <w:t>early-stage</w:t>
      </w:r>
      <w:r w:rsidR="003E72AC" w:rsidRPr="003B14B6">
        <w:rPr>
          <w:rFonts w:ascii="Arial" w:hAnsi="Arial" w:cs="Arial"/>
          <w:sz w:val="22"/>
          <w:szCs w:val="22"/>
        </w:rPr>
        <w:t xml:space="preserve"> disease</w:t>
      </w:r>
      <w:r w:rsidR="00D90974" w:rsidRPr="003B14B6">
        <w:rPr>
          <w:rFonts w:ascii="Arial" w:hAnsi="Arial" w:cs="Arial"/>
          <w:sz w:val="22"/>
          <w:szCs w:val="22"/>
        </w:rPr>
        <w:t xml:space="preserve"> </w:t>
      </w:r>
      <w:r w:rsidR="0006229D" w:rsidRPr="003B14B6">
        <w:rPr>
          <w:rFonts w:ascii="Arial" w:hAnsi="Arial" w:cs="Arial"/>
          <w:sz w:val="22"/>
          <w:szCs w:val="22"/>
        </w:rPr>
        <w:t>would enhance potential for optimal</w:t>
      </w:r>
      <w:r w:rsidR="00FB46A1" w:rsidRPr="003B14B6">
        <w:rPr>
          <w:rFonts w:ascii="Arial" w:hAnsi="Arial" w:cs="Arial"/>
          <w:sz w:val="22"/>
          <w:szCs w:val="22"/>
        </w:rPr>
        <w:t xml:space="preserve"> clinical </w:t>
      </w:r>
      <w:r w:rsidR="00694337" w:rsidRPr="003B14B6">
        <w:rPr>
          <w:rFonts w:ascii="Arial" w:hAnsi="Arial" w:cs="Arial"/>
          <w:sz w:val="22"/>
          <w:szCs w:val="22"/>
        </w:rPr>
        <w:t>outcomes</w:t>
      </w:r>
      <w:r w:rsidR="00151F76" w:rsidRPr="003B14B6">
        <w:rPr>
          <w:rFonts w:ascii="Arial" w:hAnsi="Arial" w:cs="Arial"/>
          <w:sz w:val="22"/>
          <w:szCs w:val="22"/>
        </w:rPr>
        <w:t xml:space="preserve">. </w:t>
      </w:r>
      <w:r w:rsidR="00D71A29" w:rsidRPr="003B14B6">
        <w:rPr>
          <w:rFonts w:ascii="Arial" w:hAnsi="Arial" w:cs="Arial"/>
          <w:sz w:val="22"/>
          <w:szCs w:val="22"/>
        </w:rPr>
        <w:t>M</w:t>
      </w:r>
      <w:r w:rsidR="003E72AC" w:rsidRPr="003B14B6">
        <w:rPr>
          <w:rFonts w:ascii="Arial" w:hAnsi="Arial" w:cs="Arial"/>
          <w:sz w:val="22"/>
          <w:szCs w:val="22"/>
        </w:rPr>
        <w:t xml:space="preserve">utational analysis </w:t>
      </w:r>
      <w:r w:rsidR="0063167D" w:rsidRPr="003B14B6">
        <w:rPr>
          <w:rFonts w:ascii="Arial" w:hAnsi="Arial" w:cs="Arial"/>
          <w:sz w:val="22"/>
          <w:szCs w:val="22"/>
        </w:rPr>
        <w:t xml:space="preserve">of these heterogeneous cancers </w:t>
      </w:r>
      <w:r w:rsidR="0006229D" w:rsidRPr="003B14B6">
        <w:rPr>
          <w:rFonts w:ascii="Arial" w:hAnsi="Arial" w:cs="Arial"/>
          <w:sz w:val="22"/>
          <w:szCs w:val="22"/>
        </w:rPr>
        <w:t xml:space="preserve">would </w:t>
      </w:r>
      <w:r w:rsidR="0063167D" w:rsidRPr="003B14B6">
        <w:rPr>
          <w:rFonts w:ascii="Arial" w:hAnsi="Arial" w:cs="Arial"/>
          <w:sz w:val="22"/>
          <w:szCs w:val="22"/>
        </w:rPr>
        <w:t xml:space="preserve">further </w:t>
      </w:r>
      <w:r w:rsidR="0006229D" w:rsidRPr="003B14B6">
        <w:rPr>
          <w:rFonts w:ascii="Arial" w:hAnsi="Arial" w:cs="Arial"/>
          <w:sz w:val="22"/>
          <w:szCs w:val="22"/>
        </w:rPr>
        <w:t>expand</w:t>
      </w:r>
      <w:r w:rsidR="008318F2" w:rsidRPr="003B14B6">
        <w:rPr>
          <w:rFonts w:ascii="Arial" w:hAnsi="Arial" w:cs="Arial"/>
          <w:sz w:val="22"/>
          <w:szCs w:val="22"/>
        </w:rPr>
        <w:t xml:space="preserve"> insight into </w:t>
      </w:r>
      <w:r w:rsidR="00F302CA" w:rsidRPr="003B14B6">
        <w:rPr>
          <w:rFonts w:ascii="Arial" w:hAnsi="Arial" w:cs="Arial"/>
          <w:sz w:val="22"/>
          <w:szCs w:val="22"/>
        </w:rPr>
        <w:t>genetic</w:t>
      </w:r>
      <w:r w:rsidR="00C56F0B" w:rsidRPr="003B14B6">
        <w:rPr>
          <w:rFonts w:ascii="Arial" w:hAnsi="Arial" w:cs="Arial"/>
          <w:sz w:val="22"/>
          <w:szCs w:val="22"/>
        </w:rPr>
        <w:t xml:space="preserve"> contribution to </w:t>
      </w:r>
      <w:r w:rsidR="0063167D" w:rsidRPr="003B14B6">
        <w:rPr>
          <w:rFonts w:ascii="Arial" w:hAnsi="Arial" w:cs="Arial"/>
          <w:sz w:val="22"/>
          <w:szCs w:val="22"/>
        </w:rPr>
        <w:t xml:space="preserve">OC </w:t>
      </w:r>
      <w:r w:rsidR="00F302CA" w:rsidRPr="003B14B6">
        <w:rPr>
          <w:rFonts w:ascii="Arial" w:hAnsi="Arial" w:cs="Arial"/>
          <w:sz w:val="22"/>
          <w:szCs w:val="22"/>
        </w:rPr>
        <w:t>etiology</w:t>
      </w:r>
      <w:r w:rsidR="00C56F0B" w:rsidRPr="003B14B6">
        <w:rPr>
          <w:rFonts w:ascii="Arial" w:hAnsi="Arial" w:cs="Arial"/>
          <w:sz w:val="22"/>
          <w:szCs w:val="22"/>
        </w:rPr>
        <w:t>,</w:t>
      </w:r>
      <w:r w:rsidR="00F302CA" w:rsidRPr="003B14B6">
        <w:rPr>
          <w:rFonts w:ascii="Arial" w:hAnsi="Arial" w:cs="Arial"/>
          <w:sz w:val="22"/>
          <w:szCs w:val="22"/>
        </w:rPr>
        <w:t xml:space="preserve"> </w:t>
      </w:r>
      <w:r w:rsidR="00D71A29" w:rsidRPr="003B14B6">
        <w:rPr>
          <w:rFonts w:ascii="Arial" w:hAnsi="Arial" w:cs="Arial"/>
          <w:sz w:val="22"/>
          <w:szCs w:val="22"/>
        </w:rPr>
        <w:t xml:space="preserve">including </w:t>
      </w:r>
      <w:r w:rsidR="00F302CA" w:rsidRPr="003B14B6">
        <w:rPr>
          <w:rFonts w:ascii="Arial" w:hAnsi="Arial" w:cs="Arial"/>
          <w:sz w:val="22"/>
          <w:szCs w:val="22"/>
        </w:rPr>
        <w:t>defini</w:t>
      </w:r>
      <w:r w:rsidR="0027500C" w:rsidRPr="003B14B6">
        <w:rPr>
          <w:rFonts w:ascii="Arial" w:hAnsi="Arial" w:cs="Arial"/>
          <w:sz w:val="22"/>
          <w:szCs w:val="22"/>
        </w:rPr>
        <w:t xml:space="preserve">tion of </w:t>
      </w:r>
      <w:r w:rsidR="008318F2" w:rsidRPr="003B14B6">
        <w:rPr>
          <w:rFonts w:ascii="Arial" w:hAnsi="Arial" w:cs="Arial"/>
          <w:sz w:val="22"/>
          <w:szCs w:val="22"/>
        </w:rPr>
        <w:t>genetic regions contributing to</w:t>
      </w:r>
      <w:r w:rsidR="00C56F0B" w:rsidRPr="003B14B6">
        <w:rPr>
          <w:rFonts w:ascii="Arial" w:hAnsi="Arial" w:cs="Arial"/>
          <w:sz w:val="22"/>
          <w:szCs w:val="22"/>
        </w:rPr>
        <w:t xml:space="preserve"> </w:t>
      </w:r>
      <w:r w:rsidR="00F302CA" w:rsidRPr="003B14B6">
        <w:rPr>
          <w:rFonts w:ascii="Arial" w:hAnsi="Arial" w:cs="Arial"/>
          <w:sz w:val="22"/>
          <w:szCs w:val="22"/>
        </w:rPr>
        <w:t>pathogenesis</w:t>
      </w:r>
      <w:r w:rsidR="000B6F92" w:rsidRPr="003B14B6">
        <w:rPr>
          <w:rFonts w:ascii="Arial" w:hAnsi="Arial" w:cs="Arial"/>
          <w:sz w:val="22"/>
          <w:szCs w:val="22"/>
        </w:rPr>
        <w:t>. Future studies may explore d</w:t>
      </w:r>
      <w:r w:rsidR="0027500C" w:rsidRPr="003B14B6">
        <w:rPr>
          <w:rFonts w:ascii="Arial" w:hAnsi="Arial" w:cs="Arial"/>
          <w:sz w:val="22"/>
          <w:szCs w:val="22"/>
        </w:rPr>
        <w:t xml:space="preserve">etailed mapping </w:t>
      </w:r>
      <w:r w:rsidR="00151F76" w:rsidRPr="003B14B6">
        <w:rPr>
          <w:rFonts w:ascii="Arial" w:hAnsi="Arial" w:cs="Arial"/>
          <w:sz w:val="22"/>
          <w:szCs w:val="22"/>
        </w:rPr>
        <w:t xml:space="preserve">to </w:t>
      </w:r>
      <w:r w:rsidR="00FB46A1" w:rsidRPr="003B14B6">
        <w:rPr>
          <w:rFonts w:ascii="Arial" w:hAnsi="Arial" w:cs="Arial"/>
          <w:sz w:val="22"/>
          <w:szCs w:val="22"/>
        </w:rPr>
        <w:t>define</w:t>
      </w:r>
      <w:r w:rsidR="00F302CA" w:rsidRPr="003B14B6">
        <w:rPr>
          <w:rFonts w:ascii="Arial" w:hAnsi="Arial" w:cs="Arial"/>
          <w:sz w:val="22"/>
          <w:szCs w:val="22"/>
        </w:rPr>
        <w:t xml:space="preserve"> </w:t>
      </w:r>
      <w:r w:rsidR="0027500C" w:rsidRPr="003B14B6">
        <w:rPr>
          <w:rFonts w:ascii="Arial" w:hAnsi="Arial" w:cs="Arial"/>
          <w:sz w:val="22"/>
          <w:szCs w:val="22"/>
        </w:rPr>
        <w:t xml:space="preserve">candidate loci </w:t>
      </w:r>
      <w:r w:rsidR="00FB46A1" w:rsidRPr="003B14B6">
        <w:rPr>
          <w:rFonts w:ascii="Arial" w:hAnsi="Arial" w:cs="Arial"/>
          <w:sz w:val="22"/>
          <w:szCs w:val="22"/>
        </w:rPr>
        <w:t>and</w:t>
      </w:r>
      <w:r w:rsidR="0027500C" w:rsidRPr="003B14B6">
        <w:rPr>
          <w:rFonts w:ascii="Arial" w:hAnsi="Arial" w:cs="Arial"/>
          <w:sz w:val="22"/>
          <w:szCs w:val="22"/>
        </w:rPr>
        <w:t xml:space="preserve"> </w:t>
      </w:r>
      <w:r w:rsidR="00F302CA" w:rsidRPr="003B14B6">
        <w:rPr>
          <w:rFonts w:ascii="Arial" w:hAnsi="Arial" w:cs="Arial"/>
          <w:sz w:val="22"/>
          <w:szCs w:val="22"/>
        </w:rPr>
        <w:t>potential molecular targets.</w:t>
      </w:r>
      <w:r w:rsidR="003E1479" w:rsidRPr="003B14B6">
        <w:rPr>
          <w:rFonts w:ascii="Arial" w:hAnsi="Arial" w:cs="Arial"/>
          <w:sz w:val="22"/>
          <w:szCs w:val="22"/>
        </w:rPr>
        <w:t xml:space="preserve"> </w:t>
      </w:r>
      <w:r w:rsidR="0063167D" w:rsidRPr="003B14B6">
        <w:rPr>
          <w:rFonts w:ascii="Arial" w:hAnsi="Arial" w:cs="Arial"/>
          <w:sz w:val="22"/>
          <w:szCs w:val="22"/>
        </w:rPr>
        <w:t>T</w:t>
      </w:r>
      <w:r w:rsidR="00151F76" w:rsidRPr="003B14B6">
        <w:rPr>
          <w:rFonts w:ascii="Arial" w:hAnsi="Arial" w:cs="Arial"/>
          <w:sz w:val="22"/>
          <w:szCs w:val="22"/>
        </w:rPr>
        <w:t>racking</w:t>
      </w:r>
      <w:r w:rsidR="001F5466" w:rsidRPr="003B14B6">
        <w:rPr>
          <w:rFonts w:ascii="Arial" w:hAnsi="Arial" w:cs="Arial"/>
          <w:sz w:val="22"/>
          <w:szCs w:val="22"/>
        </w:rPr>
        <w:t xml:space="preserve"> epigenetic changes </w:t>
      </w:r>
      <w:r w:rsidR="00513845" w:rsidRPr="003B14B6">
        <w:rPr>
          <w:rFonts w:ascii="Arial" w:hAnsi="Arial" w:cs="Arial"/>
          <w:sz w:val="22"/>
          <w:szCs w:val="22"/>
        </w:rPr>
        <w:t xml:space="preserve">by meDELFI </w:t>
      </w:r>
      <w:r w:rsidR="005106D4" w:rsidRPr="003B14B6">
        <w:rPr>
          <w:rFonts w:ascii="Arial" w:hAnsi="Arial" w:cs="Arial"/>
          <w:sz w:val="22"/>
          <w:szCs w:val="22"/>
        </w:rPr>
        <w:t xml:space="preserve">with </w:t>
      </w:r>
      <w:r w:rsidR="00151F76" w:rsidRPr="003B14B6">
        <w:rPr>
          <w:rFonts w:ascii="Arial" w:hAnsi="Arial" w:cs="Arial"/>
          <w:sz w:val="22"/>
          <w:szCs w:val="22"/>
        </w:rPr>
        <w:t>advancing</w:t>
      </w:r>
      <w:r w:rsidR="005106D4" w:rsidRPr="003B14B6">
        <w:rPr>
          <w:rFonts w:ascii="Arial" w:hAnsi="Arial" w:cs="Arial"/>
          <w:sz w:val="22"/>
          <w:szCs w:val="22"/>
        </w:rPr>
        <w:t xml:space="preserve"> tumor</w:t>
      </w:r>
      <w:r w:rsidR="00151F76" w:rsidRPr="003B14B6">
        <w:rPr>
          <w:rFonts w:ascii="Arial" w:hAnsi="Arial" w:cs="Arial"/>
          <w:sz w:val="22"/>
          <w:szCs w:val="22"/>
        </w:rPr>
        <w:t xml:space="preserve"> stage </w:t>
      </w:r>
      <w:proofErr w:type="gramStart"/>
      <w:r w:rsidR="00513845" w:rsidRPr="003B14B6">
        <w:rPr>
          <w:rFonts w:ascii="Arial" w:hAnsi="Arial" w:cs="Arial"/>
          <w:sz w:val="22"/>
          <w:szCs w:val="22"/>
        </w:rPr>
        <w:t>is expected</w:t>
      </w:r>
      <w:proofErr w:type="gramEnd"/>
      <w:r w:rsidR="00513845" w:rsidRPr="003B14B6">
        <w:rPr>
          <w:rFonts w:ascii="Arial" w:hAnsi="Arial" w:cs="Arial"/>
          <w:sz w:val="22"/>
          <w:szCs w:val="22"/>
        </w:rPr>
        <w:t xml:space="preserve"> to</w:t>
      </w:r>
      <w:r w:rsidR="001F5466" w:rsidRPr="003B14B6">
        <w:rPr>
          <w:rFonts w:ascii="Arial" w:hAnsi="Arial" w:cs="Arial"/>
          <w:sz w:val="22"/>
          <w:szCs w:val="22"/>
        </w:rPr>
        <w:t xml:space="preserve"> align with specific genetic </w:t>
      </w:r>
      <w:r w:rsidR="00151F76" w:rsidRPr="003B14B6">
        <w:rPr>
          <w:rFonts w:ascii="Arial" w:hAnsi="Arial" w:cs="Arial"/>
          <w:sz w:val="22"/>
          <w:szCs w:val="22"/>
        </w:rPr>
        <w:t>regions</w:t>
      </w:r>
      <w:r w:rsidR="001F5466" w:rsidRPr="003B14B6">
        <w:rPr>
          <w:rFonts w:ascii="Arial" w:hAnsi="Arial" w:cs="Arial"/>
          <w:sz w:val="22"/>
          <w:szCs w:val="22"/>
        </w:rPr>
        <w:t xml:space="preserve"> </w:t>
      </w:r>
      <w:r w:rsidR="0006229D" w:rsidRPr="003B14B6">
        <w:rPr>
          <w:rFonts w:ascii="Arial" w:hAnsi="Arial" w:cs="Arial"/>
          <w:sz w:val="22"/>
          <w:szCs w:val="22"/>
        </w:rPr>
        <w:t xml:space="preserve">potentially </w:t>
      </w:r>
      <w:r w:rsidR="00AB574F" w:rsidRPr="003B14B6">
        <w:rPr>
          <w:rFonts w:ascii="Arial" w:hAnsi="Arial" w:cs="Arial"/>
          <w:sz w:val="22"/>
          <w:szCs w:val="22"/>
        </w:rPr>
        <w:t>contributing to</w:t>
      </w:r>
      <w:r w:rsidR="001F5466" w:rsidRPr="003B14B6">
        <w:rPr>
          <w:rFonts w:ascii="Arial" w:hAnsi="Arial" w:cs="Arial"/>
          <w:sz w:val="22"/>
          <w:szCs w:val="22"/>
        </w:rPr>
        <w:t xml:space="preserve"> causation</w:t>
      </w:r>
      <w:r w:rsidR="00151F76" w:rsidRPr="003B14B6">
        <w:rPr>
          <w:rFonts w:ascii="Arial" w:hAnsi="Arial" w:cs="Arial"/>
          <w:sz w:val="22"/>
          <w:szCs w:val="22"/>
        </w:rPr>
        <w:t xml:space="preserve"> that may be more densely mapped in the future</w:t>
      </w:r>
      <w:r w:rsidR="001F5466" w:rsidRPr="003B14B6">
        <w:rPr>
          <w:rFonts w:ascii="Arial" w:hAnsi="Arial" w:cs="Arial"/>
          <w:sz w:val="22"/>
          <w:szCs w:val="22"/>
        </w:rPr>
        <w:t xml:space="preserve">. </w:t>
      </w:r>
    </w:p>
    <w:p w:rsidR="0019737F" w:rsidRPr="003B14B6" w:rsidRDefault="0019737F" w:rsidP="009B3CB3">
      <w:pPr>
        <w:spacing w:before="120"/>
        <w:rPr>
          <w:rFonts w:ascii="Arial" w:hAnsi="Arial" w:cs="Arial"/>
          <w:b/>
          <w:sz w:val="22"/>
          <w:szCs w:val="22"/>
        </w:rPr>
      </w:pPr>
      <w:r w:rsidRPr="003B14B6">
        <w:rPr>
          <w:rFonts w:ascii="Arial" w:hAnsi="Arial" w:cs="Arial"/>
          <w:b/>
          <w:sz w:val="22"/>
          <w:szCs w:val="22"/>
        </w:rPr>
        <w:t>Clinical Impact</w:t>
      </w:r>
    </w:p>
    <w:p w:rsidR="0019737F" w:rsidRPr="003B14B6" w:rsidRDefault="003F4757" w:rsidP="00BC6689">
      <w:pPr>
        <w:spacing w:after="120"/>
        <w:rPr>
          <w:rFonts w:ascii="Arial" w:hAnsi="Arial" w:cs="Arial"/>
          <w:sz w:val="22"/>
          <w:szCs w:val="22"/>
        </w:rPr>
      </w:pPr>
      <w:r w:rsidRPr="003B14B6">
        <w:rPr>
          <w:rFonts w:ascii="Arial" w:hAnsi="Arial" w:cs="Arial"/>
          <w:sz w:val="22"/>
          <w:szCs w:val="22"/>
        </w:rPr>
        <w:t>Aside from</w:t>
      </w:r>
      <w:r w:rsidR="0019737F" w:rsidRPr="003B14B6">
        <w:rPr>
          <w:rFonts w:ascii="Arial" w:hAnsi="Arial" w:cs="Arial"/>
          <w:sz w:val="22"/>
          <w:szCs w:val="22"/>
        </w:rPr>
        <w:t xml:space="preserve"> microscopic examination of biopsies</w:t>
      </w:r>
      <w:r w:rsidR="00CC52DB" w:rsidRPr="003B14B6">
        <w:rPr>
          <w:rFonts w:ascii="Arial" w:hAnsi="Arial" w:cs="Arial"/>
          <w:sz w:val="22"/>
          <w:szCs w:val="22"/>
        </w:rPr>
        <w:t xml:space="preserve"> </w:t>
      </w:r>
      <w:r w:rsidRPr="003B14B6">
        <w:rPr>
          <w:rFonts w:ascii="Arial" w:hAnsi="Arial" w:cs="Arial"/>
          <w:sz w:val="22"/>
          <w:szCs w:val="22"/>
        </w:rPr>
        <w:t xml:space="preserve">to determine diagnosis and staging, no </w:t>
      </w:r>
      <w:r w:rsidR="00CC52DB" w:rsidRPr="003B14B6">
        <w:rPr>
          <w:rFonts w:ascii="Arial" w:hAnsi="Arial" w:cs="Arial"/>
          <w:sz w:val="22"/>
          <w:szCs w:val="22"/>
        </w:rPr>
        <w:t xml:space="preserve">screening tests </w:t>
      </w:r>
      <w:r w:rsidR="00D84512" w:rsidRPr="003B14B6">
        <w:rPr>
          <w:rFonts w:ascii="Arial" w:hAnsi="Arial" w:cs="Arial"/>
          <w:sz w:val="22"/>
          <w:szCs w:val="22"/>
        </w:rPr>
        <w:t xml:space="preserve">are </w:t>
      </w:r>
      <w:r w:rsidR="00BC7982" w:rsidRPr="003B14B6">
        <w:rPr>
          <w:rFonts w:ascii="Arial" w:hAnsi="Arial" w:cs="Arial"/>
          <w:sz w:val="22"/>
          <w:szCs w:val="22"/>
        </w:rPr>
        <w:t xml:space="preserve">currently </w:t>
      </w:r>
      <w:r w:rsidR="00CC52DB" w:rsidRPr="003B14B6">
        <w:rPr>
          <w:rFonts w:ascii="Arial" w:hAnsi="Arial" w:cs="Arial"/>
          <w:sz w:val="22"/>
          <w:szCs w:val="22"/>
        </w:rPr>
        <w:t xml:space="preserve">available </w:t>
      </w:r>
      <w:r w:rsidR="00BC7982" w:rsidRPr="003B14B6">
        <w:rPr>
          <w:rFonts w:ascii="Arial" w:hAnsi="Arial" w:cs="Arial"/>
          <w:sz w:val="22"/>
          <w:szCs w:val="22"/>
        </w:rPr>
        <w:t xml:space="preserve">to identify risk </w:t>
      </w:r>
      <w:r w:rsidRPr="003B14B6">
        <w:rPr>
          <w:rFonts w:ascii="Arial" w:hAnsi="Arial" w:cs="Arial"/>
          <w:sz w:val="22"/>
          <w:szCs w:val="22"/>
        </w:rPr>
        <w:t>OC</w:t>
      </w:r>
      <w:r w:rsidR="00CC52DB" w:rsidRPr="003B14B6">
        <w:rPr>
          <w:rFonts w:ascii="Arial" w:hAnsi="Arial" w:cs="Arial"/>
          <w:sz w:val="22"/>
          <w:szCs w:val="22"/>
        </w:rPr>
        <w:t xml:space="preserve">.  Availability of </w:t>
      </w:r>
      <w:r w:rsidR="00D84512" w:rsidRPr="003B14B6">
        <w:rPr>
          <w:rFonts w:ascii="Arial" w:hAnsi="Arial" w:cs="Arial"/>
          <w:sz w:val="22"/>
          <w:szCs w:val="22"/>
        </w:rPr>
        <w:t xml:space="preserve">a </w:t>
      </w:r>
      <w:r w:rsidR="00CC52DB" w:rsidRPr="003B14B6">
        <w:rPr>
          <w:rFonts w:ascii="Arial" w:hAnsi="Arial" w:cs="Arial"/>
          <w:sz w:val="22"/>
          <w:szCs w:val="22"/>
        </w:rPr>
        <w:t>non-invasive screening</w:t>
      </w:r>
      <w:r w:rsidR="00BC6689" w:rsidRPr="003B14B6">
        <w:rPr>
          <w:rFonts w:ascii="Arial" w:hAnsi="Arial" w:cs="Arial"/>
          <w:sz w:val="22"/>
          <w:szCs w:val="22"/>
        </w:rPr>
        <w:t xml:space="preserve"> test</w:t>
      </w:r>
      <w:r w:rsidR="00CC52DB" w:rsidRPr="003B14B6">
        <w:rPr>
          <w:rFonts w:ascii="Arial" w:hAnsi="Arial" w:cs="Arial"/>
          <w:sz w:val="22"/>
          <w:szCs w:val="22"/>
        </w:rPr>
        <w:t xml:space="preserve"> with potential to monitor for malignant transformation </w:t>
      </w:r>
      <w:r w:rsidR="00BC7982" w:rsidRPr="003B14B6">
        <w:rPr>
          <w:rFonts w:ascii="Arial" w:hAnsi="Arial" w:cs="Arial"/>
          <w:sz w:val="22"/>
          <w:szCs w:val="22"/>
        </w:rPr>
        <w:t>or</w:t>
      </w:r>
      <w:r w:rsidR="00CC52DB" w:rsidRPr="003B14B6">
        <w:rPr>
          <w:rFonts w:ascii="Arial" w:hAnsi="Arial" w:cs="Arial"/>
          <w:sz w:val="22"/>
          <w:szCs w:val="22"/>
        </w:rPr>
        <w:t xml:space="preserve"> </w:t>
      </w:r>
      <w:r w:rsidR="00D84512" w:rsidRPr="003B14B6">
        <w:rPr>
          <w:rFonts w:ascii="Arial" w:hAnsi="Arial" w:cs="Arial"/>
          <w:sz w:val="22"/>
          <w:szCs w:val="22"/>
        </w:rPr>
        <w:t>define</w:t>
      </w:r>
      <w:r w:rsidR="00CC52DB" w:rsidRPr="003B14B6">
        <w:rPr>
          <w:rFonts w:ascii="Arial" w:hAnsi="Arial" w:cs="Arial"/>
          <w:sz w:val="22"/>
          <w:szCs w:val="22"/>
        </w:rPr>
        <w:t xml:space="preserve"> mutational profiles longitudinally </w:t>
      </w:r>
      <w:r w:rsidR="00FD7D8B" w:rsidRPr="003B14B6">
        <w:rPr>
          <w:rFonts w:ascii="Arial" w:hAnsi="Arial" w:cs="Arial"/>
          <w:sz w:val="22"/>
          <w:szCs w:val="22"/>
        </w:rPr>
        <w:t>across the temporal window of</w:t>
      </w:r>
      <w:r w:rsidR="00CC52DB" w:rsidRPr="003B14B6">
        <w:rPr>
          <w:rFonts w:ascii="Arial" w:hAnsi="Arial" w:cs="Arial"/>
          <w:sz w:val="22"/>
          <w:szCs w:val="22"/>
        </w:rPr>
        <w:t xml:space="preserve"> disease</w:t>
      </w:r>
      <w:r w:rsidR="00FD7D8B" w:rsidRPr="003B14B6">
        <w:rPr>
          <w:rFonts w:ascii="Arial" w:hAnsi="Arial" w:cs="Arial"/>
          <w:sz w:val="22"/>
          <w:szCs w:val="22"/>
        </w:rPr>
        <w:t xml:space="preserve"> progression</w:t>
      </w:r>
      <w:r w:rsidR="00CC52DB" w:rsidRPr="003B14B6">
        <w:rPr>
          <w:rFonts w:ascii="Arial" w:hAnsi="Arial" w:cs="Arial"/>
          <w:sz w:val="22"/>
          <w:szCs w:val="22"/>
        </w:rPr>
        <w:t xml:space="preserve"> offers potential for </w:t>
      </w:r>
      <w:r w:rsidR="00FD7D8B" w:rsidRPr="003B14B6">
        <w:rPr>
          <w:rFonts w:ascii="Arial" w:hAnsi="Arial" w:cs="Arial"/>
          <w:sz w:val="22"/>
          <w:szCs w:val="22"/>
        </w:rPr>
        <w:t>establishing patter</w:t>
      </w:r>
      <w:r w:rsidRPr="003B14B6">
        <w:rPr>
          <w:rFonts w:ascii="Arial" w:hAnsi="Arial" w:cs="Arial"/>
          <w:sz w:val="22"/>
          <w:szCs w:val="22"/>
        </w:rPr>
        <w:t xml:space="preserve">ns associated with cancer stage. Moreover, </w:t>
      </w:r>
      <w:r w:rsidR="00CC52DB" w:rsidRPr="003B14B6">
        <w:rPr>
          <w:rFonts w:ascii="Arial" w:hAnsi="Arial" w:cs="Arial"/>
          <w:sz w:val="22"/>
          <w:szCs w:val="22"/>
        </w:rPr>
        <w:t xml:space="preserve">screening and early detection of </w:t>
      </w:r>
      <w:r w:rsidR="00D84512" w:rsidRPr="003B14B6">
        <w:rPr>
          <w:rFonts w:ascii="Arial" w:hAnsi="Arial" w:cs="Arial"/>
          <w:sz w:val="22"/>
          <w:szCs w:val="22"/>
        </w:rPr>
        <w:t>these cancers</w:t>
      </w:r>
      <w:r w:rsidR="00CC52DB" w:rsidRPr="003B14B6">
        <w:rPr>
          <w:rFonts w:ascii="Arial" w:hAnsi="Arial" w:cs="Arial"/>
          <w:sz w:val="22"/>
          <w:szCs w:val="22"/>
        </w:rPr>
        <w:t xml:space="preserve"> </w:t>
      </w:r>
      <w:r w:rsidRPr="003B14B6">
        <w:rPr>
          <w:rFonts w:ascii="Arial" w:hAnsi="Arial" w:cs="Arial"/>
          <w:sz w:val="22"/>
          <w:szCs w:val="22"/>
        </w:rPr>
        <w:t xml:space="preserve">would </w:t>
      </w:r>
      <w:r w:rsidR="00CC52DB" w:rsidRPr="003B14B6">
        <w:rPr>
          <w:rFonts w:ascii="Arial" w:hAnsi="Arial" w:cs="Arial"/>
          <w:sz w:val="22"/>
          <w:szCs w:val="22"/>
        </w:rPr>
        <w:t xml:space="preserve">support more timely interventions </w:t>
      </w:r>
      <w:r w:rsidR="00FD7D8B" w:rsidRPr="003B14B6">
        <w:rPr>
          <w:rFonts w:ascii="Arial" w:hAnsi="Arial" w:cs="Arial"/>
          <w:sz w:val="22"/>
          <w:szCs w:val="22"/>
        </w:rPr>
        <w:t xml:space="preserve">at stages </w:t>
      </w:r>
      <w:r w:rsidR="00CC52DB" w:rsidRPr="003B14B6">
        <w:rPr>
          <w:rFonts w:ascii="Arial" w:hAnsi="Arial" w:cs="Arial"/>
          <w:sz w:val="22"/>
          <w:szCs w:val="22"/>
        </w:rPr>
        <w:t>whe</w:t>
      </w:r>
      <w:r w:rsidR="00BC6689" w:rsidRPr="003B14B6">
        <w:rPr>
          <w:rFonts w:ascii="Arial" w:hAnsi="Arial" w:cs="Arial"/>
          <w:sz w:val="22"/>
          <w:szCs w:val="22"/>
        </w:rPr>
        <w:t>n best</w:t>
      </w:r>
      <w:r w:rsidR="00CC52DB" w:rsidRPr="003B14B6">
        <w:rPr>
          <w:rFonts w:ascii="Arial" w:hAnsi="Arial" w:cs="Arial"/>
          <w:sz w:val="22"/>
          <w:szCs w:val="22"/>
        </w:rPr>
        <w:t xml:space="preserve"> </w:t>
      </w:r>
      <w:r w:rsidR="00BC6689" w:rsidRPr="003B14B6">
        <w:rPr>
          <w:rFonts w:ascii="Arial" w:hAnsi="Arial" w:cs="Arial"/>
          <w:sz w:val="22"/>
          <w:szCs w:val="22"/>
        </w:rPr>
        <w:t>survival rates and</w:t>
      </w:r>
      <w:r w:rsidR="00CC52DB" w:rsidRPr="003B14B6">
        <w:rPr>
          <w:rFonts w:ascii="Arial" w:hAnsi="Arial" w:cs="Arial"/>
          <w:sz w:val="22"/>
          <w:szCs w:val="22"/>
        </w:rPr>
        <w:t xml:space="preserve"> clinical outcomes </w:t>
      </w:r>
      <w:r w:rsidR="00BC6689" w:rsidRPr="003B14B6">
        <w:rPr>
          <w:rFonts w:ascii="Arial" w:hAnsi="Arial" w:cs="Arial"/>
          <w:sz w:val="22"/>
          <w:szCs w:val="22"/>
        </w:rPr>
        <w:t xml:space="preserve">are </w:t>
      </w:r>
      <w:r w:rsidRPr="003B14B6">
        <w:rPr>
          <w:rFonts w:ascii="Arial" w:hAnsi="Arial" w:cs="Arial"/>
          <w:sz w:val="22"/>
          <w:szCs w:val="22"/>
        </w:rPr>
        <w:t>achievable</w:t>
      </w:r>
      <w:r w:rsidR="00BC6689" w:rsidRPr="003B14B6">
        <w:rPr>
          <w:rFonts w:ascii="Arial" w:hAnsi="Arial" w:cs="Arial"/>
          <w:sz w:val="22"/>
          <w:szCs w:val="22"/>
        </w:rPr>
        <w:t xml:space="preserve">.  </w:t>
      </w:r>
      <w:r w:rsidR="00B643B3" w:rsidRPr="003B14B6">
        <w:rPr>
          <w:rFonts w:ascii="Arial" w:hAnsi="Arial" w:cs="Arial"/>
          <w:sz w:val="22"/>
          <w:szCs w:val="22"/>
        </w:rPr>
        <w:t>Further</w:t>
      </w:r>
      <w:r w:rsidR="00F9491E" w:rsidRPr="003B14B6">
        <w:rPr>
          <w:rFonts w:ascii="Arial" w:hAnsi="Arial" w:cs="Arial"/>
          <w:sz w:val="22"/>
          <w:szCs w:val="22"/>
        </w:rPr>
        <w:t xml:space="preserve"> </w:t>
      </w:r>
      <w:r w:rsidR="00B643B3" w:rsidRPr="003B14B6">
        <w:rPr>
          <w:rFonts w:ascii="Arial" w:hAnsi="Arial" w:cs="Arial"/>
          <w:sz w:val="22"/>
          <w:szCs w:val="22"/>
        </w:rPr>
        <w:t>m</w:t>
      </w:r>
      <w:r w:rsidR="00BC6689" w:rsidRPr="003B14B6">
        <w:rPr>
          <w:rFonts w:ascii="Arial" w:hAnsi="Arial" w:cs="Arial"/>
          <w:sz w:val="22"/>
          <w:szCs w:val="22"/>
        </w:rPr>
        <w:t xml:space="preserve">utational analysis </w:t>
      </w:r>
      <w:r w:rsidR="00B643B3" w:rsidRPr="003B14B6">
        <w:rPr>
          <w:rFonts w:ascii="Arial" w:hAnsi="Arial" w:cs="Arial"/>
          <w:sz w:val="22"/>
          <w:szCs w:val="22"/>
        </w:rPr>
        <w:t>of OCs</w:t>
      </w:r>
      <w:r w:rsidR="00F9491E" w:rsidRPr="003B14B6">
        <w:rPr>
          <w:rFonts w:ascii="Arial" w:hAnsi="Arial" w:cs="Arial"/>
          <w:sz w:val="22"/>
          <w:szCs w:val="22"/>
        </w:rPr>
        <w:t>, a heterogeneous group of cancers,</w:t>
      </w:r>
      <w:r w:rsidR="00B643B3" w:rsidRPr="003B14B6">
        <w:rPr>
          <w:rFonts w:ascii="Arial" w:hAnsi="Arial" w:cs="Arial"/>
          <w:sz w:val="22"/>
          <w:szCs w:val="22"/>
        </w:rPr>
        <w:t xml:space="preserve"> </w:t>
      </w:r>
      <w:r w:rsidR="00BC6689" w:rsidRPr="003B14B6">
        <w:rPr>
          <w:rFonts w:ascii="Arial" w:hAnsi="Arial" w:cs="Arial"/>
          <w:sz w:val="22"/>
          <w:szCs w:val="22"/>
        </w:rPr>
        <w:t xml:space="preserve">may benefit patients </w:t>
      </w:r>
      <w:r w:rsidR="00BC7982" w:rsidRPr="003B14B6">
        <w:rPr>
          <w:rFonts w:ascii="Arial" w:hAnsi="Arial" w:cs="Arial"/>
          <w:sz w:val="22"/>
          <w:szCs w:val="22"/>
        </w:rPr>
        <w:t xml:space="preserve">whose genetic profile includes </w:t>
      </w:r>
      <w:r w:rsidR="00BC6689" w:rsidRPr="003B14B6">
        <w:rPr>
          <w:rFonts w:ascii="Arial" w:hAnsi="Arial" w:cs="Arial"/>
          <w:sz w:val="22"/>
          <w:szCs w:val="22"/>
        </w:rPr>
        <w:t xml:space="preserve">molecular targets </w:t>
      </w:r>
      <w:r w:rsidR="00BC7982" w:rsidRPr="003B14B6">
        <w:rPr>
          <w:rFonts w:ascii="Arial" w:hAnsi="Arial" w:cs="Arial"/>
          <w:sz w:val="22"/>
          <w:szCs w:val="22"/>
        </w:rPr>
        <w:t xml:space="preserve">where therapeutic interventions </w:t>
      </w:r>
      <w:r w:rsidR="00012782" w:rsidRPr="003B14B6">
        <w:rPr>
          <w:rFonts w:ascii="Arial" w:hAnsi="Arial" w:cs="Arial"/>
          <w:sz w:val="22"/>
          <w:szCs w:val="22"/>
        </w:rPr>
        <w:t>are</w:t>
      </w:r>
      <w:r w:rsidR="00BC7982" w:rsidRPr="003B14B6">
        <w:rPr>
          <w:rFonts w:ascii="Arial" w:hAnsi="Arial" w:cs="Arial"/>
          <w:sz w:val="22"/>
          <w:szCs w:val="22"/>
        </w:rPr>
        <w:t xml:space="preserve"> currently</w:t>
      </w:r>
      <w:r w:rsidR="00BC6689" w:rsidRPr="003B14B6">
        <w:rPr>
          <w:rFonts w:ascii="Arial" w:hAnsi="Arial" w:cs="Arial"/>
          <w:sz w:val="22"/>
          <w:szCs w:val="22"/>
        </w:rPr>
        <w:t xml:space="preserve"> available </w:t>
      </w:r>
      <w:r w:rsidR="00BC7982" w:rsidRPr="003B14B6">
        <w:rPr>
          <w:rFonts w:ascii="Arial" w:hAnsi="Arial" w:cs="Arial"/>
          <w:sz w:val="22"/>
          <w:szCs w:val="22"/>
        </w:rPr>
        <w:t>or</w:t>
      </w:r>
      <w:r w:rsidR="00BC6689" w:rsidRPr="003B14B6">
        <w:rPr>
          <w:rFonts w:ascii="Arial" w:hAnsi="Arial" w:cs="Arial"/>
          <w:sz w:val="22"/>
          <w:szCs w:val="22"/>
        </w:rPr>
        <w:t xml:space="preserve"> may </w:t>
      </w:r>
      <w:r w:rsidR="00BC7982" w:rsidRPr="003B14B6">
        <w:rPr>
          <w:rFonts w:ascii="Arial" w:hAnsi="Arial" w:cs="Arial"/>
          <w:sz w:val="22"/>
          <w:szCs w:val="22"/>
        </w:rPr>
        <w:t>identify novel therapeutic targets</w:t>
      </w:r>
      <w:r w:rsidR="006B4F45" w:rsidRPr="003B14B6">
        <w:rPr>
          <w:rFonts w:ascii="Arial" w:hAnsi="Arial" w:cs="Arial"/>
          <w:sz w:val="22"/>
          <w:szCs w:val="22"/>
        </w:rPr>
        <w:t xml:space="preserve"> that inform development of new interventions</w:t>
      </w:r>
      <w:r w:rsidR="00B3264A" w:rsidRPr="003B14B6">
        <w:rPr>
          <w:rFonts w:ascii="Arial" w:hAnsi="Arial" w:cs="Arial"/>
          <w:sz w:val="22"/>
          <w:szCs w:val="22"/>
        </w:rPr>
        <w:t xml:space="preserve">. </w:t>
      </w:r>
      <w:r w:rsidR="006826E1" w:rsidRPr="003B14B6">
        <w:rPr>
          <w:rFonts w:ascii="Arial" w:hAnsi="Arial" w:cs="Arial"/>
          <w:sz w:val="22"/>
          <w:szCs w:val="22"/>
        </w:rPr>
        <w:t>For example Hu et al (2015) observ</w:t>
      </w:r>
      <w:r w:rsidR="00F9491E" w:rsidRPr="003B14B6">
        <w:rPr>
          <w:rFonts w:ascii="Arial" w:hAnsi="Arial" w:cs="Arial"/>
          <w:sz w:val="22"/>
          <w:szCs w:val="22"/>
        </w:rPr>
        <w:t>ed</w:t>
      </w:r>
      <w:r w:rsidR="006826E1" w:rsidRPr="003B14B6">
        <w:rPr>
          <w:rFonts w:ascii="Arial" w:hAnsi="Arial" w:cs="Arial"/>
          <w:sz w:val="22"/>
          <w:szCs w:val="22"/>
        </w:rPr>
        <w:t xml:space="preserve"> that HPV16 activates the epidermal growth factor receptor (EGFR) to regulate β catenin </w:t>
      </w:r>
      <w:proofErr w:type="gramStart"/>
      <w:r w:rsidR="006826E1" w:rsidRPr="003B14B6">
        <w:rPr>
          <w:rFonts w:ascii="Arial" w:hAnsi="Arial" w:cs="Arial"/>
          <w:sz w:val="22"/>
          <w:szCs w:val="22"/>
        </w:rPr>
        <w:t>translocation</w:t>
      </w:r>
      <w:commentRangeStart w:id="7"/>
      <w:r w:rsidR="002977BC" w:rsidRPr="003B14B6">
        <w:rPr>
          <w:rFonts w:ascii="Arial" w:hAnsi="Arial" w:cs="Arial"/>
          <w:sz w:val="22"/>
          <w:szCs w:val="22"/>
          <w:vertAlign w:val="superscript"/>
        </w:rPr>
        <w:t xml:space="preserve">7 </w:t>
      </w:r>
      <w:r w:rsidR="006826E1" w:rsidRPr="003B14B6">
        <w:rPr>
          <w:rFonts w:ascii="Arial" w:hAnsi="Arial" w:cs="Arial"/>
          <w:sz w:val="22"/>
          <w:szCs w:val="22"/>
        </w:rPr>
        <w:t xml:space="preserve"> </w:t>
      </w:r>
      <w:commentRangeEnd w:id="7"/>
      <w:proofErr w:type="gramEnd"/>
      <w:r w:rsidR="002977BC" w:rsidRPr="003B14B6">
        <w:rPr>
          <w:rStyle w:val="CommentReference"/>
          <w:rFonts w:ascii="Arial" w:hAnsi="Arial" w:cs="Arial"/>
          <w:sz w:val="22"/>
          <w:szCs w:val="22"/>
        </w:rPr>
        <w:commentReference w:id="7"/>
      </w:r>
      <w:r w:rsidR="00F9491E" w:rsidRPr="003B14B6">
        <w:rPr>
          <w:rFonts w:ascii="Arial" w:hAnsi="Arial" w:cs="Arial"/>
          <w:sz w:val="22"/>
          <w:szCs w:val="22"/>
        </w:rPr>
        <w:t xml:space="preserve">.  This observation </w:t>
      </w:r>
      <w:r w:rsidR="006826E1" w:rsidRPr="003B14B6">
        <w:rPr>
          <w:rFonts w:ascii="Arial" w:hAnsi="Arial" w:cs="Arial"/>
          <w:sz w:val="22"/>
          <w:szCs w:val="22"/>
        </w:rPr>
        <w:t>identified HPV 16+ OC</w:t>
      </w:r>
      <w:r w:rsidR="00F9491E" w:rsidRPr="003B14B6">
        <w:rPr>
          <w:rFonts w:ascii="Arial" w:hAnsi="Arial" w:cs="Arial"/>
          <w:sz w:val="22"/>
          <w:szCs w:val="22"/>
        </w:rPr>
        <w:t>s</w:t>
      </w:r>
      <w:r w:rsidR="006826E1" w:rsidRPr="003B14B6">
        <w:rPr>
          <w:rFonts w:ascii="Arial" w:hAnsi="Arial" w:cs="Arial"/>
          <w:sz w:val="22"/>
          <w:szCs w:val="22"/>
        </w:rPr>
        <w:t xml:space="preserve"> as candidates for </w:t>
      </w:r>
      <w:r w:rsidR="00F9491E" w:rsidRPr="003B14B6">
        <w:rPr>
          <w:rFonts w:ascii="Arial" w:hAnsi="Arial" w:cs="Arial"/>
          <w:sz w:val="22"/>
          <w:szCs w:val="22"/>
        </w:rPr>
        <w:t xml:space="preserve">therapy with </w:t>
      </w:r>
      <w:r w:rsidR="006826E1" w:rsidRPr="003B14B6">
        <w:rPr>
          <w:rFonts w:ascii="Arial" w:hAnsi="Arial" w:cs="Arial"/>
          <w:sz w:val="22"/>
          <w:szCs w:val="22"/>
        </w:rPr>
        <w:t xml:space="preserve">cetuximab, a monoclonal antibody which specificity for EGFR. Notably, in a clinical trial comparing outcomes of radiotherapy in patients randomized to treatment with and without cetuximab for patients with HPV16 positive cancers, </w:t>
      </w:r>
      <w:r w:rsidR="0063167D" w:rsidRPr="003B14B6">
        <w:rPr>
          <w:rFonts w:ascii="Arial" w:hAnsi="Arial" w:cs="Arial"/>
          <w:sz w:val="22"/>
          <w:szCs w:val="22"/>
        </w:rPr>
        <w:t>overall and five-</w:t>
      </w:r>
      <w:r w:rsidR="006826E1" w:rsidRPr="003B14B6">
        <w:rPr>
          <w:rFonts w:ascii="Arial" w:hAnsi="Arial" w:cs="Arial"/>
          <w:sz w:val="22"/>
          <w:szCs w:val="22"/>
        </w:rPr>
        <w:t xml:space="preserve">year survival nearly doubled for patients randomized to cetuximab compared to the </w:t>
      </w:r>
      <w:r w:rsidR="00F9491E" w:rsidRPr="003B14B6">
        <w:rPr>
          <w:rFonts w:ascii="Arial" w:hAnsi="Arial" w:cs="Arial"/>
          <w:sz w:val="22"/>
          <w:szCs w:val="22"/>
        </w:rPr>
        <w:t xml:space="preserve">arm receiving </w:t>
      </w:r>
      <w:r w:rsidR="006826E1" w:rsidRPr="003B14B6">
        <w:rPr>
          <w:rFonts w:ascii="Arial" w:hAnsi="Arial" w:cs="Arial"/>
          <w:sz w:val="22"/>
          <w:szCs w:val="22"/>
        </w:rPr>
        <w:t>radiotherapy</w:t>
      </w:r>
      <w:r w:rsidR="00F9491E" w:rsidRPr="003B14B6">
        <w:rPr>
          <w:rFonts w:ascii="Arial" w:hAnsi="Arial" w:cs="Arial"/>
          <w:sz w:val="22"/>
          <w:szCs w:val="22"/>
        </w:rPr>
        <w:t>-only</w:t>
      </w:r>
      <w:r w:rsidR="002977BC" w:rsidRPr="003B14B6">
        <w:rPr>
          <w:rFonts w:ascii="Arial" w:hAnsi="Arial" w:cs="Arial"/>
          <w:sz w:val="22"/>
          <w:szCs w:val="22"/>
          <w:vertAlign w:val="superscript"/>
        </w:rPr>
        <w:t xml:space="preserve"> </w:t>
      </w:r>
      <w:commentRangeStart w:id="8"/>
      <w:proofErr w:type="gramStart"/>
      <w:r w:rsidR="002977BC" w:rsidRPr="003B14B6">
        <w:rPr>
          <w:rFonts w:ascii="Arial" w:hAnsi="Arial" w:cs="Arial"/>
          <w:sz w:val="22"/>
          <w:szCs w:val="22"/>
          <w:vertAlign w:val="superscript"/>
        </w:rPr>
        <w:t>8</w:t>
      </w:r>
      <w:commentRangeEnd w:id="8"/>
      <w:proofErr w:type="gramEnd"/>
      <w:r w:rsidR="002977BC" w:rsidRPr="003B14B6">
        <w:rPr>
          <w:rStyle w:val="CommentReference"/>
          <w:rFonts w:ascii="Arial" w:hAnsi="Arial" w:cs="Arial"/>
          <w:sz w:val="22"/>
          <w:szCs w:val="22"/>
        </w:rPr>
        <w:commentReference w:id="8"/>
      </w:r>
      <w:r w:rsidR="00FE4345" w:rsidRPr="003B14B6">
        <w:rPr>
          <w:rFonts w:ascii="Arial" w:hAnsi="Arial" w:cs="Arial"/>
          <w:sz w:val="22"/>
          <w:szCs w:val="22"/>
        </w:rPr>
        <w:t xml:space="preserve">.  </w:t>
      </w:r>
      <w:r w:rsidR="006826E1" w:rsidRPr="003B14B6">
        <w:rPr>
          <w:rFonts w:ascii="Arial" w:hAnsi="Arial" w:cs="Arial"/>
          <w:sz w:val="22"/>
          <w:szCs w:val="22"/>
        </w:rPr>
        <w:t xml:space="preserve"> </w:t>
      </w:r>
    </w:p>
    <w:p w:rsidR="00BC6689" w:rsidRPr="003B14B6" w:rsidRDefault="002405A4">
      <w:pPr>
        <w:rPr>
          <w:rFonts w:ascii="Arial" w:hAnsi="Arial" w:cs="Arial"/>
          <w:b/>
          <w:sz w:val="22"/>
          <w:szCs w:val="22"/>
        </w:rPr>
      </w:pPr>
      <w:r w:rsidRPr="003B14B6">
        <w:rPr>
          <w:rFonts w:ascii="Arial" w:hAnsi="Arial" w:cs="Arial"/>
          <w:b/>
          <w:sz w:val="22"/>
          <w:szCs w:val="22"/>
        </w:rPr>
        <w:t>Innovation</w:t>
      </w:r>
    </w:p>
    <w:p w:rsidR="00874364" w:rsidRPr="003B14B6" w:rsidRDefault="00A40AE0" w:rsidP="00EC75DB">
      <w:pPr>
        <w:spacing w:after="120"/>
        <w:rPr>
          <w:rFonts w:ascii="Arial" w:hAnsi="Arial" w:cs="Arial"/>
          <w:sz w:val="22"/>
          <w:szCs w:val="22"/>
        </w:rPr>
      </w:pPr>
      <w:r w:rsidRPr="003B14B6">
        <w:rPr>
          <w:rFonts w:ascii="Arial" w:hAnsi="Arial" w:cs="Arial"/>
          <w:sz w:val="22"/>
          <w:szCs w:val="22"/>
        </w:rPr>
        <w:t>While potential value of the</w:t>
      </w:r>
      <w:r w:rsidR="00012782" w:rsidRPr="003B14B6">
        <w:rPr>
          <w:rFonts w:ascii="Arial" w:hAnsi="Arial" w:cs="Arial"/>
          <w:sz w:val="22"/>
          <w:szCs w:val="22"/>
        </w:rPr>
        <w:t xml:space="preserve"> approach in cancer screening was only recently described</w:t>
      </w:r>
      <w:r w:rsidRPr="003B14B6">
        <w:rPr>
          <w:rFonts w:ascii="Arial" w:hAnsi="Arial" w:cs="Arial"/>
          <w:sz w:val="22"/>
          <w:szCs w:val="22"/>
        </w:rPr>
        <w:t xml:space="preserve"> by </w:t>
      </w:r>
      <w:proofErr w:type="spellStart"/>
      <w:r w:rsidRPr="003B14B6">
        <w:rPr>
          <w:rFonts w:ascii="Arial" w:hAnsi="Arial" w:cs="Arial"/>
          <w:sz w:val="22"/>
          <w:szCs w:val="22"/>
        </w:rPr>
        <w:t>Christiano</w:t>
      </w:r>
      <w:proofErr w:type="spellEnd"/>
      <w:r w:rsidRPr="003B14B6">
        <w:rPr>
          <w:rFonts w:ascii="Arial" w:hAnsi="Arial" w:cs="Arial"/>
          <w:sz w:val="22"/>
          <w:szCs w:val="22"/>
        </w:rPr>
        <w:t xml:space="preserve"> et al,</w:t>
      </w:r>
      <w:r w:rsidR="00012782" w:rsidRPr="003B14B6">
        <w:rPr>
          <w:rFonts w:ascii="Arial" w:hAnsi="Arial" w:cs="Arial"/>
          <w:sz w:val="22"/>
          <w:szCs w:val="22"/>
        </w:rPr>
        <w:t xml:space="preserve"> (2019)</w:t>
      </w:r>
      <w:proofErr w:type="gramStart"/>
      <w:r w:rsidRPr="003B14B6">
        <w:rPr>
          <w:rFonts w:ascii="Arial" w:hAnsi="Arial" w:cs="Arial"/>
          <w:sz w:val="22"/>
          <w:szCs w:val="22"/>
          <w:vertAlign w:val="superscript"/>
        </w:rPr>
        <w:t>5</w:t>
      </w:r>
      <w:proofErr w:type="gramEnd"/>
      <w:r w:rsidR="00012782" w:rsidRPr="003B14B6">
        <w:rPr>
          <w:rFonts w:ascii="Arial" w:hAnsi="Arial" w:cs="Arial"/>
          <w:sz w:val="22"/>
          <w:szCs w:val="22"/>
        </w:rPr>
        <w:t>, application and performance of DELFI/mutational analysis and meDELFI of cfD</w:t>
      </w:r>
      <w:r w:rsidR="006B4F45" w:rsidRPr="003B14B6">
        <w:rPr>
          <w:rFonts w:ascii="Arial" w:hAnsi="Arial" w:cs="Arial"/>
          <w:sz w:val="22"/>
          <w:szCs w:val="22"/>
        </w:rPr>
        <w:t>NA in saliva of patients with O</w:t>
      </w:r>
      <w:r w:rsidR="00012782" w:rsidRPr="003B14B6">
        <w:rPr>
          <w:rFonts w:ascii="Arial" w:hAnsi="Arial" w:cs="Arial"/>
          <w:sz w:val="22"/>
          <w:szCs w:val="22"/>
        </w:rPr>
        <w:t xml:space="preserve">C remains to be explored.  </w:t>
      </w:r>
      <w:r w:rsidR="006B4F45" w:rsidRPr="003B14B6">
        <w:rPr>
          <w:rFonts w:ascii="Arial" w:hAnsi="Arial" w:cs="Arial"/>
          <w:sz w:val="22"/>
          <w:szCs w:val="22"/>
        </w:rPr>
        <w:t>W</w:t>
      </w:r>
      <w:r w:rsidR="00BC6689" w:rsidRPr="003B14B6">
        <w:rPr>
          <w:rFonts w:ascii="Arial" w:hAnsi="Arial" w:cs="Arial"/>
          <w:sz w:val="22"/>
          <w:szCs w:val="22"/>
        </w:rPr>
        <w:t>e posit that because these cancers occur in the oral cavity</w:t>
      </w:r>
      <w:r w:rsidR="000C79CA" w:rsidRPr="003B14B6">
        <w:rPr>
          <w:rFonts w:ascii="Arial" w:hAnsi="Arial" w:cs="Arial"/>
          <w:sz w:val="22"/>
          <w:szCs w:val="22"/>
        </w:rPr>
        <w:t>,</w:t>
      </w:r>
      <w:r w:rsidR="00BC6689" w:rsidRPr="003B14B6">
        <w:rPr>
          <w:rFonts w:ascii="Arial" w:hAnsi="Arial" w:cs="Arial"/>
          <w:sz w:val="22"/>
          <w:szCs w:val="22"/>
        </w:rPr>
        <w:t xml:space="preserve"> cfDNA </w:t>
      </w:r>
      <w:r w:rsidR="009F0F03" w:rsidRPr="003B14B6">
        <w:rPr>
          <w:rFonts w:ascii="Arial" w:hAnsi="Arial" w:cs="Arial"/>
          <w:sz w:val="22"/>
          <w:szCs w:val="22"/>
        </w:rPr>
        <w:t xml:space="preserve">concentrations in saliva </w:t>
      </w:r>
      <w:r w:rsidR="00BC6689" w:rsidRPr="003B14B6">
        <w:rPr>
          <w:rFonts w:ascii="Arial" w:hAnsi="Arial" w:cs="Arial"/>
          <w:sz w:val="22"/>
          <w:szCs w:val="22"/>
        </w:rPr>
        <w:t>may</w:t>
      </w:r>
      <w:r w:rsidR="009F0F03" w:rsidRPr="003B14B6">
        <w:rPr>
          <w:rFonts w:ascii="Arial" w:hAnsi="Arial" w:cs="Arial"/>
          <w:sz w:val="22"/>
          <w:szCs w:val="22"/>
        </w:rPr>
        <w:t xml:space="preserve"> be</w:t>
      </w:r>
      <w:r w:rsidR="00BC6689" w:rsidRPr="003B14B6">
        <w:rPr>
          <w:rFonts w:ascii="Arial" w:hAnsi="Arial" w:cs="Arial"/>
          <w:sz w:val="22"/>
          <w:szCs w:val="22"/>
        </w:rPr>
        <w:t xml:space="preserve"> </w:t>
      </w:r>
      <w:r w:rsidR="006B4F45" w:rsidRPr="003B14B6">
        <w:rPr>
          <w:rFonts w:ascii="Arial" w:hAnsi="Arial" w:cs="Arial"/>
          <w:sz w:val="22"/>
          <w:szCs w:val="22"/>
        </w:rPr>
        <w:t>more abundant</w:t>
      </w:r>
      <w:r w:rsidR="00366D07" w:rsidRPr="003B14B6">
        <w:rPr>
          <w:rFonts w:ascii="Arial" w:hAnsi="Arial" w:cs="Arial"/>
          <w:sz w:val="22"/>
          <w:szCs w:val="22"/>
        </w:rPr>
        <w:t xml:space="preserve"> than in circulation</w:t>
      </w:r>
      <w:r w:rsidR="009F0F03" w:rsidRPr="003B14B6">
        <w:rPr>
          <w:rFonts w:ascii="Arial" w:hAnsi="Arial" w:cs="Arial"/>
          <w:sz w:val="22"/>
          <w:szCs w:val="22"/>
        </w:rPr>
        <w:t>, especially during early-</w:t>
      </w:r>
      <w:r w:rsidR="00366D07" w:rsidRPr="003B14B6">
        <w:rPr>
          <w:rFonts w:ascii="Arial" w:hAnsi="Arial" w:cs="Arial"/>
          <w:sz w:val="22"/>
          <w:szCs w:val="22"/>
        </w:rPr>
        <w:t xml:space="preserve">stage of disease when cfDNA </w:t>
      </w:r>
      <w:proofErr w:type="gramStart"/>
      <w:r w:rsidR="004421B4" w:rsidRPr="003B14B6">
        <w:rPr>
          <w:rFonts w:ascii="Arial" w:hAnsi="Arial" w:cs="Arial"/>
          <w:sz w:val="22"/>
          <w:szCs w:val="22"/>
        </w:rPr>
        <w:t>is</w:t>
      </w:r>
      <w:r w:rsidR="000C79CA" w:rsidRPr="003B14B6">
        <w:rPr>
          <w:rFonts w:ascii="Arial" w:hAnsi="Arial" w:cs="Arial"/>
          <w:sz w:val="22"/>
          <w:szCs w:val="22"/>
        </w:rPr>
        <w:t xml:space="preserve"> </w:t>
      </w:r>
      <w:r w:rsidR="00366D07" w:rsidRPr="003B14B6">
        <w:rPr>
          <w:rFonts w:ascii="Arial" w:hAnsi="Arial" w:cs="Arial"/>
          <w:sz w:val="22"/>
          <w:szCs w:val="22"/>
        </w:rPr>
        <w:t>less easily detected</w:t>
      </w:r>
      <w:proofErr w:type="gramEnd"/>
      <w:r w:rsidR="009F0F03" w:rsidRPr="003B14B6">
        <w:rPr>
          <w:rFonts w:ascii="Arial" w:hAnsi="Arial" w:cs="Arial"/>
          <w:sz w:val="22"/>
          <w:szCs w:val="22"/>
        </w:rPr>
        <w:t xml:space="preserve">. </w:t>
      </w:r>
      <w:r w:rsidR="00A568C2" w:rsidRPr="003B14B6">
        <w:rPr>
          <w:rFonts w:ascii="Arial" w:hAnsi="Arial" w:cs="Arial"/>
          <w:sz w:val="22"/>
          <w:szCs w:val="22"/>
        </w:rPr>
        <w:t xml:space="preserve">This pilot study </w:t>
      </w:r>
      <w:r w:rsidR="006B4F45" w:rsidRPr="003B14B6">
        <w:rPr>
          <w:rFonts w:ascii="Arial" w:hAnsi="Arial" w:cs="Arial"/>
          <w:sz w:val="22"/>
          <w:szCs w:val="22"/>
        </w:rPr>
        <w:t xml:space="preserve">proposes to establish concurrent DELFI/mutational analysis and meDELFI testing thereby enhancing its utility in </w:t>
      </w:r>
      <w:r w:rsidR="00A568C2" w:rsidRPr="003B14B6">
        <w:rPr>
          <w:rFonts w:ascii="Arial" w:hAnsi="Arial" w:cs="Arial"/>
          <w:sz w:val="22"/>
          <w:szCs w:val="22"/>
        </w:rPr>
        <w:t>characterizing malignant tr</w:t>
      </w:r>
      <w:r w:rsidR="00A16458" w:rsidRPr="003B14B6">
        <w:rPr>
          <w:rFonts w:ascii="Arial" w:hAnsi="Arial" w:cs="Arial"/>
          <w:sz w:val="22"/>
          <w:szCs w:val="22"/>
        </w:rPr>
        <w:t>ansformation</w:t>
      </w:r>
      <w:r w:rsidR="004545C6" w:rsidRPr="003B14B6">
        <w:rPr>
          <w:rFonts w:ascii="Arial" w:hAnsi="Arial" w:cs="Arial"/>
          <w:sz w:val="22"/>
          <w:szCs w:val="22"/>
        </w:rPr>
        <w:t xml:space="preserve"> across the stages of OC.</w:t>
      </w:r>
      <w:r w:rsidR="00A16458" w:rsidRPr="003B14B6">
        <w:rPr>
          <w:rFonts w:ascii="Arial" w:hAnsi="Arial" w:cs="Arial"/>
          <w:sz w:val="22"/>
          <w:szCs w:val="22"/>
        </w:rPr>
        <w:t xml:space="preserve">  Moreover, because </w:t>
      </w:r>
      <w:proofErr w:type="gramStart"/>
      <w:r w:rsidR="00A16458" w:rsidRPr="003B14B6">
        <w:rPr>
          <w:rFonts w:ascii="Arial" w:hAnsi="Arial" w:cs="Arial"/>
          <w:sz w:val="22"/>
          <w:szCs w:val="22"/>
        </w:rPr>
        <w:t xml:space="preserve">good profile resolution was already observed at 1-2X genome coverage by </w:t>
      </w:r>
      <w:proofErr w:type="spellStart"/>
      <w:r w:rsidR="00A16458" w:rsidRPr="003B14B6">
        <w:rPr>
          <w:rFonts w:ascii="Arial" w:hAnsi="Arial" w:cs="Arial"/>
          <w:sz w:val="22"/>
          <w:szCs w:val="22"/>
        </w:rPr>
        <w:t>Christiano</w:t>
      </w:r>
      <w:proofErr w:type="spellEnd"/>
      <w:r w:rsidR="00A16458" w:rsidRPr="003B14B6">
        <w:rPr>
          <w:rFonts w:ascii="Arial" w:hAnsi="Arial" w:cs="Arial"/>
          <w:sz w:val="22"/>
          <w:szCs w:val="22"/>
        </w:rPr>
        <w:t xml:space="preserve"> et al</w:t>
      </w:r>
      <w:proofErr w:type="gramEnd"/>
      <w:r w:rsidR="004421B4" w:rsidRPr="003B14B6">
        <w:rPr>
          <w:rFonts w:ascii="Arial" w:hAnsi="Arial" w:cs="Arial"/>
          <w:sz w:val="22"/>
          <w:szCs w:val="22"/>
        </w:rPr>
        <w:t xml:space="preserve"> in </w:t>
      </w:r>
      <w:r w:rsidRPr="003B14B6">
        <w:rPr>
          <w:rFonts w:ascii="Arial" w:hAnsi="Arial" w:cs="Arial"/>
          <w:sz w:val="22"/>
          <w:szCs w:val="22"/>
        </w:rPr>
        <w:t xml:space="preserve">profiling </w:t>
      </w:r>
      <w:r w:rsidR="004421B4" w:rsidRPr="003B14B6">
        <w:rPr>
          <w:rFonts w:ascii="Arial" w:hAnsi="Arial" w:cs="Arial"/>
          <w:sz w:val="22"/>
          <w:szCs w:val="22"/>
        </w:rPr>
        <w:t>other cancers</w:t>
      </w:r>
      <w:r w:rsidRPr="003B14B6">
        <w:rPr>
          <w:rFonts w:ascii="Arial" w:hAnsi="Arial" w:cs="Arial"/>
          <w:sz w:val="22"/>
          <w:szCs w:val="22"/>
          <w:vertAlign w:val="superscript"/>
        </w:rPr>
        <w:t>5</w:t>
      </w:r>
      <w:r w:rsidR="00A16458" w:rsidRPr="003B14B6">
        <w:rPr>
          <w:rFonts w:ascii="Arial" w:hAnsi="Arial" w:cs="Arial"/>
          <w:sz w:val="22"/>
          <w:szCs w:val="22"/>
        </w:rPr>
        <w:t xml:space="preserve">, the need to only conduct a single WG analysis promotes </w:t>
      </w:r>
      <w:r w:rsidRPr="003B14B6">
        <w:rPr>
          <w:rFonts w:ascii="Arial" w:hAnsi="Arial" w:cs="Arial"/>
          <w:sz w:val="22"/>
          <w:szCs w:val="22"/>
        </w:rPr>
        <w:t xml:space="preserve">inherent </w:t>
      </w:r>
      <w:r w:rsidR="00A16458" w:rsidRPr="003B14B6">
        <w:rPr>
          <w:rFonts w:ascii="Arial" w:hAnsi="Arial" w:cs="Arial"/>
          <w:sz w:val="22"/>
          <w:szCs w:val="22"/>
        </w:rPr>
        <w:t>utility as a</w:t>
      </w:r>
      <w:r w:rsidR="004D53A4" w:rsidRPr="003B14B6">
        <w:rPr>
          <w:rFonts w:ascii="Arial" w:hAnsi="Arial" w:cs="Arial"/>
          <w:sz w:val="22"/>
          <w:szCs w:val="22"/>
        </w:rPr>
        <w:t xml:space="preserve"> cost-effective</w:t>
      </w:r>
      <w:r w:rsidR="00A16458" w:rsidRPr="003B14B6">
        <w:rPr>
          <w:rFonts w:ascii="Arial" w:hAnsi="Arial" w:cs="Arial"/>
          <w:sz w:val="22"/>
          <w:szCs w:val="22"/>
        </w:rPr>
        <w:t xml:space="preserve"> screening approach </w:t>
      </w:r>
      <w:r w:rsidRPr="003B14B6">
        <w:rPr>
          <w:rFonts w:ascii="Arial" w:hAnsi="Arial" w:cs="Arial"/>
          <w:sz w:val="22"/>
          <w:szCs w:val="22"/>
        </w:rPr>
        <w:t>with potential applicability in</w:t>
      </w:r>
      <w:r w:rsidR="00A16458" w:rsidRPr="003B14B6">
        <w:rPr>
          <w:rFonts w:ascii="Arial" w:hAnsi="Arial" w:cs="Arial"/>
          <w:sz w:val="22"/>
          <w:szCs w:val="22"/>
        </w:rPr>
        <w:t xml:space="preserve"> the clinical setting.   </w:t>
      </w:r>
      <w:r w:rsidR="004545C6" w:rsidRPr="003B14B6">
        <w:rPr>
          <w:rFonts w:ascii="Arial" w:hAnsi="Arial" w:cs="Arial"/>
          <w:sz w:val="22"/>
          <w:szCs w:val="22"/>
        </w:rPr>
        <w:t xml:space="preserve"> </w:t>
      </w:r>
    </w:p>
    <w:p w:rsidR="0063167D" w:rsidRPr="003B14B6" w:rsidRDefault="00874364" w:rsidP="0063167D">
      <w:pPr>
        <w:spacing w:after="120"/>
        <w:rPr>
          <w:rFonts w:ascii="Arial" w:hAnsi="Arial" w:cs="Arial"/>
          <w:b/>
          <w:sz w:val="22"/>
          <w:szCs w:val="22"/>
        </w:rPr>
      </w:pPr>
      <w:r w:rsidRPr="003B14B6">
        <w:rPr>
          <w:rFonts w:ascii="Arial" w:hAnsi="Arial" w:cs="Arial"/>
          <w:b/>
          <w:sz w:val="22"/>
          <w:szCs w:val="22"/>
        </w:rPr>
        <w:t>Approach:</w:t>
      </w:r>
      <w:r w:rsidR="00EC75DB" w:rsidRPr="003B14B6">
        <w:rPr>
          <w:rFonts w:ascii="Arial" w:hAnsi="Arial" w:cs="Arial"/>
          <w:b/>
          <w:sz w:val="22"/>
          <w:szCs w:val="22"/>
        </w:rPr>
        <w:t xml:space="preserve">                                                                                                                                          </w:t>
      </w:r>
      <w:r w:rsidR="002405A4" w:rsidRPr="003B14B6">
        <w:rPr>
          <w:rFonts w:ascii="Arial" w:hAnsi="Arial" w:cs="Arial"/>
          <w:b/>
          <w:sz w:val="22"/>
          <w:szCs w:val="22"/>
        </w:rPr>
        <w:t>Study Design</w:t>
      </w:r>
      <w:r w:rsidR="00CF7B34" w:rsidRPr="003B14B6">
        <w:rPr>
          <w:rFonts w:ascii="Arial" w:hAnsi="Arial" w:cs="Arial"/>
          <w:b/>
          <w:sz w:val="22"/>
          <w:szCs w:val="22"/>
        </w:rPr>
        <w:t xml:space="preserve">:  </w:t>
      </w:r>
      <w:r w:rsidR="00CF7B34" w:rsidRPr="003B14B6">
        <w:rPr>
          <w:rFonts w:ascii="Arial" w:hAnsi="Arial" w:cs="Arial"/>
          <w:sz w:val="22"/>
          <w:szCs w:val="22"/>
        </w:rPr>
        <w:t xml:space="preserve">A prospective design </w:t>
      </w:r>
      <w:proofErr w:type="gramStart"/>
      <w:r w:rsidR="00CF7B34" w:rsidRPr="003B14B6">
        <w:rPr>
          <w:rFonts w:ascii="Arial" w:hAnsi="Arial" w:cs="Arial"/>
          <w:sz w:val="22"/>
          <w:szCs w:val="22"/>
        </w:rPr>
        <w:t>will be applied</w:t>
      </w:r>
      <w:proofErr w:type="gramEnd"/>
      <w:r w:rsidR="00CF7B34" w:rsidRPr="003B14B6">
        <w:rPr>
          <w:rFonts w:ascii="Arial" w:hAnsi="Arial" w:cs="Arial"/>
          <w:sz w:val="22"/>
          <w:szCs w:val="22"/>
        </w:rPr>
        <w:t xml:space="preserve"> </w:t>
      </w:r>
      <w:r w:rsidR="00B352C2" w:rsidRPr="003B14B6">
        <w:rPr>
          <w:rFonts w:ascii="Arial" w:hAnsi="Arial" w:cs="Arial"/>
          <w:sz w:val="22"/>
          <w:szCs w:val="22"/>
        </w:rPr>
        <w:t xml:space="preserve">for the pilot study </w:t>
      </w:r>
      <w:r w:rsidR="00CF7B34" w:rsidRPr="003B14B6">
        <w:rPr>
          <w:rFonts w:ascii="Arial" w:hAnsi="Arial" w:cs="Arial"/>
          <w:sz w:val="22"/>
          <w:szCs w:val="22"/>
        </w:rPr>
        <w:t xml:space="preserve">to collect saliva and blood from subjects with </w:t>
      </w:r>
      <w:r w:rsidR="00B352C2" w:rsidRPr="003B14B6">
        <w:rPr>
          <w:rFonts w:ascii="Arial" w:hAnsi="Arial" w:cs="Arial"/>
          <w:sz w:val="22"/>
          <w:szCs w:val="22"/>
        </w:rPr>
        <w:t xml:space="preserve">newly diagnosed </w:t>
      </w:r>
      <w:r w:rsidR="00EC75DB" w:rsidRPr="003B14B6">
        <w:rPr>
          <w:rFonts w:ascii="Arial" w:hAnsi="Arial" w:cs="Arial"/>
          <w:sz w:val="22"/>
          <w:szCs w:val="22"/>
        </w:rPr>
        <w:t xml:space="preserve">OC </w:t>
      </w:r>
      <w:r w:rsidR="006A1627" w:rsidRPr="003B14B6">
        <w:rPr>
          <w:rFonts w:ascii="Arial" w:hAnsi="Arial" w:cs="Arial"/>
          <w:sz w:val="22"/>
          <w:szCs w:val="22"/>
        </w:rPr>
        <w:t xml:space="preserve">and normal individuals.  Patients </w:t>
      </w:r>
      <w:proofErr w:type="gramStart"/>
      <w:r w:rsidR="006A1627" w:rsidRPr="003B14B6">
        <w:rPr>
          <w:rFonts w:ascii="Arial" w:hAnsi="Arial" w:cs="Arial"/>
          <w:sz w:val="22"/>
          <w:szCs w:val="22"/>
        </w:rPr>
        <w:t>will be enrolled</w:t>
      </w:r>
      <w:proofErr w:type="gramEnd"/>
      <w:r w:rsidR="006A1627" w:rsidRPr="003B14B6">
        <w:rPr>
          <w:rFonts w:ascii="Arial" w:hAnsi="Arial" w:cs="Arial"/>
          <w:sz w:val="22"/>
          <w:szCs w:val="22"/>
        </w:rPr>
        <w:t xml:space="preserve"> at </w:t>
      </w:r>
      <w:r w:rsidR="00B352C2" w:rsidRPr="003B14B6">
        <w:rPr>
          <w:rFonts w:ascii="Arial" w:hAnsi="Arial" w:cs="Arial"/>
          <w:sz w:val="22"/>
          <w:szCs w:val="22"/>
        </w:rPr>
        <w:t xml:space="preserve">both </w:t>
      </w:r>
      <w:r w:rsidR="006A1627" w:rsidRPr="003B14B6">
        <w:rPr>
          <w:rFonts w:ascii="Arial" w:hAnsi="Arial" w:cs="Arial"/>
          <w:sz w:val="22"/>
          <w:szCs w:val="22"/>
        </w:rPr>
        <w:t>MCHS</w:t>
      </w:r>
      <w:r w:rsidR="00B352C2" w:rsidRPr="003B14B6">
        <w:rPr>
          <w:rFonts w:ascii="Arial" w:hAnsi="Arial" w:cs="Arial"/>
          <w:sz w:val="22"/>
          <w:szCs w:val="22"/>
        </w:rPr>
        <w:t xml:space="preserve"> and UW Madison. </w:t>
      </w:r>
      <w:r w:rsidR="00EC75DB" w:rsidRPr="003B14B6">
        <w:rPr>
          <w:rFonts w:ascii="Arial" w:hAnsi="Arial" w:cs="Arial"/>
          <w:sz w:val="22"/>
          <w:szCs w:val="22"/>
        </w:rPr>
        <w:t>The</w:t>
      </w:r>
      <w:r w:rsidR="00DB1DF8" w:rsidRPr="003B14B6">
        <w:rPr>
          <w:rFonts w:ascii="Arial" w:hAnsi="Arial" w:cs="Arial"/>
          <w:sz w:val="22"/>
          <w:szCs w:val="22"/>
        </w:rPr>
        <w:t xml:space="preserve"> flo</w:t>
      </w:r>
      <w:r w:rsidR="00B352C2" w:rsidRPr="003B14B6">
        <w:rPr>
          <w:rFonts w:ascii="Arial" w:hAnsi="Arial" w:cs="Arial"/>
          <w:sz w:val="22"/>
          <w:szCs w:val="22"/>
        </w:rPr>
        <w:t xml:space="preserve">w diagram </w:t>
      </w:r>
      <w:r w:rsidR="00EC75DB" w:rsidRPr="003B14B6">
        <w:rPr>
          <w:rFonts w:ascii="Arial" w:hAnsi="Arial" w:cs="Arial"/>
          <w:sz w:val="22"/>
          <w:szCs w:val="22"/>
        </w:rPr>
        <w:t xml:space="preserve">in </w:t>
      </w:r>
      <w:r w:rsidR="00647436" w:rsidRPr="003B14B6">
        <w:rPr>
          <w:rFonts w:ascii="Arial" w:hAnsi="Arial" w:cs="Arial"/>
          <w:sz w:val="22"/>
          <w:szCs w:val="22"/>
        </w:rPr>
        <w:t>below</w:t>
      </w:r>
      <w:r w:rsidR="00EC75DB" w:rsidRPr="003B14B6">
        <w:rPr>
          <w:rFonts w:ascii="Arial" w:hAnsi="Arial" w:cs="Arial"/>
          <w:sz w:val="22"/>
          <w:szCs w:val="22"/>
        </w:rPr>
        <w:t xml:space="preserve"> </w:t>
      </w:r>
      <w:r w:rsidR="00B352C2" w:rsidRPr="003B14B6">
        <w:rPr>
          <w:rFonts w:ascii="Arial" w:hAnsi="Arial" w:cs="Arial"/>
          <w:sz w:val="22"/>
          <w:szCs w:val="22"/>
        </w:rPr>
        <w:t>provides a high-</w:t>
      </w:r>
      <w:r w:rsidR="00DB1DF8" w:rsidRPr="003B14B6">
        <w:rPr>
          <w:rFonts w:ascii="Arial" w:hAnsi="Arial" w:cs="Arial"/>
          <w:sz w:val="22"/>
          <w:szCs w:val="22"/>
        </w:rPr>
        <w:t xml:space="preserve">level overview of the study design.  </w:t>
      </w:r>
      <w:r w:rsidR="00EC75DB" w:rsidRPr="003B14B6">
        <w:rPr>
          <w:rFonts w:ascii="Arial" w:hAnsi="Arial" w:cs="Arial"/>
          <w:noProof/>
          <w:sz w:val="22"/>
          <w:szCs w:val="22"/>
        </w:rPr>
        <w:drawing>
          <wp:inline distT="0" distB="0" distL="0" distR="0" wp14:anchorId="6AD07147" wp14:editId="40C0B9B9">
            <wp:extent cx="6267450" cy="1895475"/>
            <wp:effectExtent l="57150" t="38100" r="19050" b="857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74364" w:rsidRPr="003B14B6" w:rsidRDefault="00874364" w:rsidP="0063167D">
      <w:pPr>
        <w:spacing w:after="120"/>
        <w:rPr>
          <w:rFonts w:ascii="Arial" w:hAnsi="Arial" w:cs="Arial"/>
          <w:b/>
          <w:sz w:val="22"/>
          <w:szCs w:val="22"/>
        </w:rPr>
      </w:pPr>
      <w:r w:rsidRPr="003B14B6">
        <w:rPr>
          <w:rFonts w:ascii="Arial" w:hAnsi="Arial" w:cs="Arial"/>
          <w:b/>
          <w:sz w:val="22"/>
          <w:szCs w:val="22"/>
        </w:rPr>
        <w:t xml:space="preserve">Preliminary </w:t>
      </w:r>
      <w:r w:rsidR="00147B14">
        <w:rPr>
          <w:rFonts w:ascii="Arial" w:hAnsi="Arial" w:cs="Arial"/>
          <w:b/>
          <w:sz w:val="22"/>
          <w:szCs w:val="22"/>
        </w:rPr>
        <w:t>d</w:t>
      </w:r>
      <w:r w:rsidR="00DB248F" w:rsidRPr="003B14B6">
        <w:rPr>
          <w:rFonts w:ascii="Arial" w:hAnsi="Arial" w:cs="Arial"/>
          <w:b/>
          <w:sz w:val="22"/>
          <w:szCs w:val="22"/>
        </w:rPr>
        <w:t>ata</w:t>
      </w:r>
      <w:r w:rsidR="00147B14">
        <w:rPr>
          <w:rFonts w:ascii="Arial" w:hAnsi="Arial" w:cs="Arial"/>
          <w:b/>
          <w:sz w:val="22"/>
          <w:szCs w:val="22"/>
        </w:rPr>
        <w:t xml:space="preserve"> and sample size estimates:</w:t>
      </w:r>
    </w:p>
    <w:p w:rsidR="00874364" w:rsidRPr="003B14B6" w:rsidRDefault="00DB248F" w:rsidP="00674363">
      <w:pPr>
        <w:spacing w:after="120"/>
        <w:rPr>
          <w:rFonts w:ascii="Arial" w:hAnsi="Arial" w:cs="Arial"/>
          <w:sz w:val="22"/>
          <w:szCs w:val="22"/>
        </w:rPr>
      </w:pPr>
      <w:r w:rsidRPr="003B14B6">
        <w:rPr>
          <w:rFonts w:ascii="Arial" w:hAnsi="Arial" w:cs="Arial"/>
          <w:sz w:val="22"/>
          <w:szCs w:val="22"/>
        </w:rPr>
        <w:t xml:space="preserve">Preliminary data to support enrollment of a convenience sample:  </w:t>
      </w:r>
      <w:r w:rsidR="0063167D" w:rsidRPr="003B14B6">
        <w:rPr>
          <w:rFonts w:ascii="Arial" w:hAnsi="Arial" w:cs="Arial"/>
          <w:sz w:val="22"/>
          <w:szCs w:val="22"/>
        </w:rPr>
        <w:t xml:space="preserve">The present study proposes </w:t>
      </w:r>
      <w:r w:rsidR="005E606A" w:rsidRPr="003B14B6">
        <w:rPr>
          <w:rFonts w:ascii="Arial" w:hAnsi="Arial" w:cs="Arial"/>
          <w:sz w:val="22"/>
          <w:szCs w:val="22"/>
        </w:rPr>
        <w:t xml:space="preserve">to enroll up to 40 patients as a convenience sample to test feasibility of establishing the assay and obtain preliminary profiles of OCs originating at various sites within the greater oral cavity.  </w:t>
      </w:r>
      <w:r w:rsidR="00156B0C" w:rsidRPr="003B14B6">
        <w:rPr>
          <w:rFonts w:ascii="Arial" w:hAnsi="Arial" w:cs="Arial"/>
          <w:sz w:val="22"/>
          <w:szCs w:val="22"/>
        </w:rPr>
        <w:t xml:space="preserve">This sample size mirrors that of the </w:t>
      </w:r>
      <w:proofErr w:type="spellStart"/>
      <w:r w:rsidR="00156B0C" w:rsidRPr="003B14B6">
        <w:rPr>
          <w:rFonts w:ascii="Arial" w:hAnsi="Arial" w:cs="Arial"/>
          <w:sz w:val="22"/>
          <w:szCs w:val="22"/>
        </w:rPr>
        <w:t>Christiano</w:t>
      </w:r>
      <w:proofErr w:type="spellEnd"/>
      <w:r w:rsidR="00156B0C" w:rsidRPr="003B14B6">
        <w:rPr>
          <w:rFonts w:ascii="Arial" w:hAnsi="Arial" w:cs="Arial"/>
          <w:sz w:val="22"/>
          <w:szCs w:val="22"/>
        </w:rPr>
        <w:t xml:space="preserve"> et al </w:t>
      </w:r>
      <w:r w:rsidR="00A52BF9" w:rsidRPr="003B14B6">
        <w:rPr>
          <w:rFonts w:ascii="Arial" w:hAnsi="Arial" w:cs="Arial"/>
          <w:sz w:val="22"/>
          <w:szCs w:val="22"/>
        </w:rPr>
        <w:t xml:space="preserve">(n=38) </w:t>
      </w:r>
      <w:r w:rsidR="00156B0C" w:rsidRPr="003B14B6">
        <w:rPr>
          <w:rFonts w:ascii="Arial" w:hAnsi="Arial" w:cs="Arial"/>
          <w:sz w:val="22"/>
          <w:szCs w:val="22"/>
        </w:rPr>
        <w:t xml:space="preserve">first used in </w:t>
      </w:r>
      <w:r w:rsidR="00A52BF9" w:rsidRPr="003B14B6">
        <w:rPr>
          <w:rFonts w:ascii="Arial" w:hAnsi="Arial" w:cs="Arial"/>
          <w:sz w:val="22"/>
          <w:szCs w:val="22"/>
        </w:rPr>
        <w:t xml:space="preserve">establishing </w:t>
      </w:r>
      <w:r w:rsidR="00156B0C" w:rsidRPr="003B14B6">
        <w:rPr>
          <w:rFonts w:ascii="Arial" w:hAnsi="Arial" w:cs="Arial"/>
          <w:sz w:val="22"/>
          <w:szCs w:val="22"/>
        </w:rPr>
        <w:t>the a</w:t>
      </w:r>
      <w:r w:rsidR="00A52BF9" w:rsidRPr="003B14B6">
        <w:rPr>
          <w:rFonts w:ascii="Arial" w:hAnsi="Arial" w:cs="Arial"/>
          <w:sz w:val="22"/>
          <w:szCs w:val="22"/>
        </w:rPr>
        <w:t>ssay</w:t>
      </w:r>
      <w:r w:rsidR="00156B0C" w:rsidRPr="003B14B6">
        <w:rPr>
          <w:rFonts w:ascii="Arial" w:hAnsi="Arial" w:cs="Arial"/>
          <w:sz w:val="22"/>
          <w:szCs w:val="22"/>
        </w:rPr>
        <w:t xml:space="preserve">.  </w:t>
      </w:r>
      <w:r w:rsidR="005E606A" w:rsidRPr="003B14B6">
        <w:rPr>
          <w:rFonts w:ascii="Arial" w:hAnsi="Arial" w:cs="Arial"/>
          <w:sz w:val="22"/>
          <w:szCs w:val="22"/>
        </w:rPr>
        <w:t xml:space="preserve">Since the study proposes prospective enrollment, patients consenting to enroll who meet enrollment criteria </w:t>
      </w:r>
      <w:proofErr w:type="gramStart"/>
      <w:r w:rsidR="005E606A" w:rsidRPr="003B14B6">
        <w:rPr>
          <w:rFonts w:ascii="Arial" w:hAnsi="Arial" w:cs="Arial"/>
          <w:sz w:val="22"/>
          <w:szCs w:val="22"/>
        </w:rPr>
        <w:t>will be enrolled</w:t>
      </w:r>
      <w:proofErr w:type="gramEnd"/>
      <w:r w:rsidR="005E606A" w:rsidRPr="003B14B6">
        <w:rPr>
          <w:rFonts w:ascii="Arial" w:hAnsi="Arial" w:cs="Arial"/>
          <w:sz w:val="22"/>
          <w:szCs w:val="22"/>
        </w:rPr>
        <w:t xml:space="preserve"> sequentially at time of clinical diagnosis.  Table 1 summarizes the number of cases based on ICD10 </w:t>
      </w:r>
      <w:proofErr w:type="gramStart"/>
      <w:r w:rsidR="005E606A" w:rsidRPr="003B14B6">
        <w:rPr>
          <w:rFonts w:ascii="Arial" w:hAnsi="Arial" w:cs="Arial"/>
          <w:sz w:val="22"/>
          <w:szCs w:val="22"/>
        </w:rPr>
        <w:t>code (applying</w:t>
      </w:r>
      <w:proofErr w:type="gramEnd"/>
      <w:r w:rsidR="005E606A" w:rsidRPr="003B14B6">
        <w:rPr>
          <w:rFonts w:ascii="Arial" w:hAnsi="Arial" w:cs="Arial"/>
          <w:sz w:val="22"/>
          <w:szCs w:val="22"/>
        </w:rPr>
        <w:t xml:space="preserve"> rule of two diagnostic codes) </w:t>
      </w:r>
      <w:r w:rsidRPr="003B14B6">
        <w:rPr>
          <w:rFonts w:ascii="Arial" w:hAnsi="Arial" w:cs="Arial"/>
          <w:sz w:val="22"/>
          <w:szCs w:val="22"/>
        </w:rPr>
        <w:t xml:space="preserve">abstracted from the </w:t>
      </w:r>
      <w:r w:rsidR="006C1793" w:rsidRPr="003B14B6">
        <w:rPr>
          <w:rFonts w:ascii="Arial" w:hAnsi="Arial" w:cs="Arial"/>
          <w:sz w:val="22"/>
          <w:szCs w:val="22"/>
        </w:rPr>
        <w:t>Marshfield Clinic Health Systems</w:t>
      </w:r>
      <w:r w:rsidR="006C1793" w:rsidRPr="003B14B6">
        <w:rPr>
          <w:rFonts w:ascii="Arial" w:hAnsi="Arial" w:cs="Arial"/>
          <w:sz w:val="22"/>
          <w:szCs w:val="22"/>
        </w:rPr>
        <w:t xml:space="preserve"> (</w:t>
      </w:r>
      <w:r w:rsidRPr="003B14B6">
        <w:rPr>
          <w:rFonts w:ascii="Arial" w:hAnsi="Arial" w:cs="Arial"/>
          <w:sz w:val="22"/>
          <w:szCs w:val="22"/>
        </w:rPr>
        <w:t>MCHS</w:t>
      </w:r>
      <w:r w:rsidR="006C1793" w:rsidRPr="003B14B6">
        <w:rPr>
          <w:rFonts w:ascii="Arial" w:hAnsi="Arial" w:cs="Arial"/>
          <w:sz w:val="22"/>
          <w:szCs w:val="22"/>
        </w:rPr>
        <w:t>)</w:t>
      </w:r>
      <w:r w:rsidRPr="003B14B6">
        <w:rPr>
          <w:rFonts w:ascii="Arial" w:hAnsi="Arial" w:cs="Arial"/>
          <w:sz w:val="22"/>
          <w:szCs w:val="22"/>
        </w:rPr>
        <w:t xml:space="preserve"> data warehouse diagnosed</w:t>
      </w:r>
      <w:r w:rsidR="005E606A" w:rsidRPr="003B14B6">
        <w:rPr>
          <w:rFonts w:ascii="Arial" w:hAnsi="Arial" w:cs="Arial"/>
          <w:sz w:val="22"/>
          <w:szCs w:val="22"/>
        </w:rPr>
        <w:t xml:space="preserve"> annually at MCHS across the past 4 years.  Enrollment of </w:t>
      </w:r>
      <w:r w:rsidRPr="003B14B6">
        <w:rPr>
          <w:rFonts w:ascii="Arial" w:hAnsi="Arial" w:cs="Arial"/>
          <w:sz w:val="22"/>
          <w:szCs w:val="22"/>
        </w:rPr>
        <w:t xml:space="preserve">up to </w:t>
      </w:r>
      <w:r w:rsidR="009B3CB3">
        <w:rPr>
          <w:rFonts w:ascii="Arial" w:hAnsi="Arial" w:cs="Arial"/>
          <w:sz w:val="22"/>
          <w:szCs w:val="22"/>
        </w:rPr>
        <w:t>10 cases and</w:t>
      </w:r>
      <w:r w:rsidR="005E606A" w:rsidRPr="003B14B6">
        <w:rPr>
          <w:rFonts w:ascii="Arial" w:hAnsi="Arial" w:cs="Arial"/>
          <w:sz w:val="22"/>
          <w:szCs w:val="22"/>
        </w:rPr>
        <w:t xml:space="preserve"> </w:t>
      </w:r>
      <w:r w:rsidRPr="003B14B6">
        <w:rPr>
          <w:rFonts w:ascii="Arial" w:hAnsi="Arial" w:cs="Arial"/>
          <w:sz w:val="22"/>
          <w:szCs w:val="22"/>
        </w:rPr>
        <w:t xml:space="preserve">matched </w:t>
      </w:r>
      <w:r w:rsidR="005E606A" w:rsidRPr="003B14B6">
        <w:rPr>
          <w:rFonts w:ascii="Arial" w:hAnsi="Arial" w:cs="Arial"/>
          <w:sz w:val="22"/>
          <w:szCs w:val="22"/>
        </w:rPr>
        <w:t>contro</w:t>
      </w:r>
      <w:r w:rsidRPr="003B14B6">
        <w:rPr>
          <w:rFonts w:ascii="Arial" w:hAnsi="Arial" w:cs="Arial"/>
          <w:sz w:val="22"/>
          <w:szCs w:val="22"/>
        </w:rPr>
        <w:t>ls</w:t>
      </w:r>
      <w:r w:rsidR="001178C1">
        <w:rPr>
          <w:rFonts w:ascii="Arial" w:hAnsi="Arial" w:cs="Arial"/>
          <w:sz w:val="22"/>
          <w:szCs w:val="22"/>
        </w:rPr>
        <w:t xml:space="preserve"> each</w:t>
      </w:r>
      <w:r w:rsidRPr="003B14B6">
        <w:rPr>
          <w:rFonts w:ascii="Arial" w:hAnsi="Arial" w:cs="Arial"/>
          <w:sz w:val="22"/>
          <w:szCs w:val="22"/>
        </w:rPr>
        <w:t xml:space="preserve"> across site</w:t>
      </w:r>
      <w:r w:rsidR="009B3CB3">
        <w:rPr>
          <w:rFonts w:ascii="Arial" w:hAnsi="Arial" w:cs="Arial"/>
          <w:sz w:val="22"/>
          <w:szCs w:val="22"/>
        </w:rPr>
        <w:t>s</w:t>
      </w:r>
      <w:r w:rsidRPr="003B14B6">
        <w:rPr>
          <w:rFonts w:ascii="Arial" w:hAnsi="Arial" w:cs="Arial"/>
          <w:sz w:val="22"/>
          <w:szCs w:val="22"/>
        </w:rPr>
        <w:t xml:space="preserve"> is proposed. </w:t>
      </w:r>
      <w:r w:rsidR="009B3CB3">
        <w:rPr>
          <w:rFonts w:ascii="Arial" w:hAnsi="Arial" w:cs="Arial"/>
          <w:sz w:val="22"/>
          <w:szCs w:val="22"/>
        </w:rPr>
        <w:t>Incidence</w:t>
      </w:r>
      <w:r w:rsidR="001178C1">
        <w:rPr>
          <w:rFonts w:ascii="Arial" w:hAnsi="Arial" w:cs="Arial"/>
          <w:sz w:val="22"/>
          <w:szCs w:val="22"/>
        </w:rPr>
        <w:t xml:space="preserve"> rates</w:t>
      </w:r>
      <w:r w:rsidRPr="003B14B6">
        <w:rPr>
          <w:rFonts w:ascii="Arial" w:hAnsi="Arial" w:cs="Arial"/>
          <w:sz w:val="22"/>
          <w:szCs w:val="22"/>
        </w:rPr>
        <w:t xml:space="preserve"> support capacity to </w:t>
      </w:r>
      <w:r w:rsidR="009B3CB3">
        <w:rPr>
          <w:rFonts w:ascii="Arial" w:hAnsi="Arial" w:cs="Arial"/>
          <w:sz w:val="22"/>
          <w:szCs w:val="22"/>
        </w:rPr>
        <w:t>achieve the</w:t>
      </w:r>
      <w:r w:rsidRPr="003B14B6">
        <w:rPr>
          <w:rFonts w:ascii="Arial" w:hAnsi="Arial" w:cs="Arial"/>
          <w:sz w:val="22"/>
          <w:szCs w:val="22"/>
        </w:rPr>
        <w:t xml:space="preserve"> proposed sample size.  </w:t>
      </w:r>
      <w:r w:rsidR="001178C1">
        <w:rPr>
          <w:rFonts w:ascii="Arial" w:hAnsi="Arial" w:cs="Arial"/>
          <w:sz w:val="22"/>
          <w:szCs w:val="22"/>
        </w:rPr>
        <w:t>As a</w:t>
      </w:r>
      <w:r w:rsidRPr="003B14B6">
        <w:rPr>
          <w:rFonts w:ascii="Arial" w:hAnsi="Arial" w:cs="Arial"/>
          <w:sz w:val="22"/>
          <w:szCs w:val="22"/>
        </w:rPr>
        <w:t xml:space="preserve"> </w:t>
      </w:r>
      <w:r w:rsidR="001178C1">
        <w:rPr>
          <w:rFonts w:ascii="Arial" w:hAnsi="Arial" w:cs="Arial"/>
          <w:sz w:val="22"/>
          <w:szCs w:val="22"/>
        </w:rPr>
        <w:t xml:space="preserve">pilot study </w:t>
      </w:r>
      <w:r w:rsidR="00C45FA8">
        <w:rPr>
          <w:rFonts w:ascii="Arial" w:hAnsi="Arial" w:cs="Arial"/>
          <w:sz w:val="22"/>
          <w:szCs w:val="22"/>
        </w:rPr>
        <w:t xml:space="preserve">whose main objective </w:t>
      </w:r>
      <w:r w:rsidR="001178C1">
        <w:rPr>
          <w:rFonts w:ascii="Arial" w:hAnsi="Arial" w:cs="Arial"/>
          <w:sz w:val="22"/>
          <w:szCs w:val="22"/>
        </w:rPr>
        <w:t>propos</w:t>
      </w:r>
      <w:r w:rsidR="00C45FA8">
        <w:rPr>
          <w:rFonts w:ascii="Arial" w:hAnsi="Arial" w:cs="Arial"/>
          <w:sz w:val="22"/>
          <w:szCs w:val="22"/>
        </w:rPr>
        <w:t>es</w:t>
      </w:r>
      <w:r w:rsidRPr="003B14B6">
        <w:rPr>
          <w:rFonts w:ascii="Arial" w:hAnsi="Arial" w:cs="Arial"/>
          <w:sz w:val="22"/>
          <w:szCs w:val="22"/>
        </w:rPr>
        <w:t xml:space="preserve"> </w:t>
      </w:r>
      <w:r w:rsidR="001178C1">
        <w:rPr>
          <w:rFonts w:ascii="Arial" w:hAnsi="Arial" w:cs="Arial"/>
          <w:sz w:val="22"/>
          <w:szCs w:val="22"/>
        </w:rPr>
        <w:t xml:space="preserve">assay development and </w:t>
      </w:r>
      <w:r w:rsidRPr="003B14B6">
        <w:rPr>
          <w:rFonts w:ascii="Arial" w:hAnsi="Arial" w:cs="Arial"/>
          <w:sz w:val="22"/>
          <w:szCs w:val="22"/>
        </w:rPr>
        <w:t>descriptive</w:t>
      </w:r>
      <w:r w:rsidR="001178C1">
        <w:rPr>
          <w:rFonts w:ascii="Arial" w:hAnsi="Arial" w:cs="Arial"/>
          <w:sz w:val="22"/>
          <w:szCs w:val="22"/>
        </w:rPr>
        <w:t xml:space="preserve"> analyses</w:t>
      </w:r>
      <w:r w:rsidR="00C45FA8">
        <w:rPr>
          <w:rFonts w:ascii="Arial" w:hAnsi="Arial" w:cs="Arial"/>
          <w:sz w:val="22"/>
          <w:szCs w:val="22"/>
        </w:rPr>
        <w:t xml:space="preserve"> of findings</w:t>
      </w:r>
      <w:r w:rsidRPr="003B14B6">
        <w:rPr>
          <w:rFonts w:ascii="Arial" w:hAnsi="Arial" w:cs="Arial"/>
          <w:sz w:val="22"/>
          <w:szCs w:val="22"/>
        </w:rPr>
        <w:t xml:space="preserve">, </w:t>
      </w:r>
      <w:r w:rsidR="001178C1">
        <w:rPr>
          <w:rFonts w:ascii="Arial" w:hAnsi="Arial" w:cs="Arial"/>
          <w:sz w:val="22"/>
          <w:szCs w:val="22"/>
        </w:rPr>
        <w:t>sample size estimates supporting detection of</w:t>
      </w:r>
      <w:r w:rsidRPr="003B14B6">
        <w:rPr>
          <w:rFonts w:ascii="Arial" w:hAnsi="Arial" w:cs="Arial"/>
          <w:sz w:val="22"/>
          <w:szCs w:val="22"/>
        </w:rPr>
        <w:t xml:space="preserve"> statistically significant differences between cases and controls </w:t>
      </w:r>
      <w:r w:rsidR="001178C1">
        <w:rPr>
          <w:rFonts w:ascii="Arial" w:hAnsi="Arial" w:cs="Arial"/>
          <w:sz w:val="22"/>
          <w:szCs w:val="22"/>
        </w:rPr>
        <w:t xml:space="preserve">are not projected.  </w:t>
      </w:r>
    </w:p>
    <w:tbl>
      <w:tblPr>
        <w:tblW w:w="11771" w:type="dxa"/>
        <w:tblLook w:val="04A0" w:firstRow="1" w:lastRow="0" w:firstColumn="1" w:lastColumn="0" w:noHBand="0" w:noVBand="1"/>
      </w:tblPr>
      <w:tblGrid>
        <w:gridCol w:w="5058"/>
        <w:gridCol w:w="799"/>
        <w:gridCol w:w="803"/>
        <w:gridCol w:w="799"/>
        <w:gridCol w:w="799"/>
        <w:gridCol w:w="562"/>
        <w:gridCol w:w="1258"/>
        <w:gridCol w:w="236"/>
        <w:gridCol w:w="236"/>
        <w:gridCol w:w="999"/>
        <w:gridCol w:w="222"/>
      </w:tblGrid>
      <w:tr w:rsidR="001A3E7D" w:rsidRPr="003B14B6" w:rsidTr="00134693">
        <w:trPr>
          <w:trHeight w:val="80"/>
        </w:trPr>
        <w:tc>
          <w:tcPr>
            <w:tcW w:w="5058" w:type="dxa"/>
            <w:tcBorders>
              <w:top w:val="nil"/>
              <w:left w:val="nil"/>
              <w:bottom w:val="nil"/>
              <w:right w:val="nil"/>
            </w:tcBorders>
            <w:shd w:val="clear" w:color="000000" w:fill="FFFFFF"/>
            <w:vAlign w:val="center"/>
          </w:tcPr>
          <w:p w:rsidR="00E23B1B" w:rsidRPr="003B14B6" w:rsidRDefault="00E23B1B" w:rsidP="000810E5">
            <w:pPr>
              <w:rPr>
                <w:rFonts w:ascii="Arial" w:hAnsi="Arial" w:cs="Arial"/>
                <w:b/>
                <w:bCs/>
                <w:color w:val="112277"/>
                <w:sz w:val="22"/>
                <w:szCs w:val="22"/>
              </w:rPr>
            </w:pPr>
            <w:commentRangeStart w:id="9"/>
            <w:r w:rsidRPr="003B14B6">
              <w:rPr>
                <w:rFonts w:ascii="Arial" w:hAnsi="Arial" w:cs="Arial"/>
                <w:b/>
                <w:bCs/>
                <w:color w:val="112277"/>
                <w:sz w:val="22"/>
                <w:szCs w:val="22"/>
              </w:rPr>
              <w:t>Oral Cavity or Head/Neck Ca</w:t>
            </w:r>
            <w:r w:rsidR="001A3E7D">
              <w:rPr>
                <w:rFonts w:ascii="Arial" w:hAnsi="Arial" w:cs="Arial"/>
                <w:b/>
                <w:bCs/>
                <w:color w:val="112277"/>
                <w:sz w:val="22"/>
                <w:szCs w:val="22"/>
              </w:rPr>
              <w:t>ncer Case Counts</w:t>
            </w:r>
            <w:r w:rsidRPr="003B14B6">
              <w:rPr>
                <w:rFonts w:ascii="Arial" w:hAnsi="Arial" w:cs="Arial"/>
                <w:b/>
                <w:bCs/>
                <w:color w:val="112277"/>
                <w:sz w:val="22"/>
                <w:szCs w:val="22"/>
              </w:rPr>
              <w:t xml:space="preserve"> </w:t>
            </w:r>
            <w:commentRangeEnd w:id="9"/>
            <w:r w:rsidR="00674363">
              <w:rPr>
                <w:rStyle w:val="CommentReference"/>
              </w:rPr>
              <w:commentReference w:id="9"/>
            </w:r>
            <w:r w:rsidRPr="003B14B6">
              <w:rPr>
                <w:rFonts w:ascii="Arial" w:hAnsi="Arial" w:cs="Arial"/>
                <w:b/>
                <w:bCs/>
                <w:color w:val="112277"/>
                <w:sz w:val="22"/>
                <w:szCs w:val="22"/>
              </w:rPr>
              <w:t>01/01/2016-11/12/2019</w:t>
            </w:r>
          </w:p>
        </w:tc>
        <w:tc>
          <w:tcPr>
            <w:tcW w:w="5020" w:type="dxa"/>
            <w:gridSpan w:val="6"/>
            <w:tcBorders>
              <w:top w:val="nil"/>
              <w:left w:val="nil"/>
              <w:bottom w:val="nil"/>
              <w:right w:val="nil"/>
            </w:tcBorders>
            <w:shd w:val="clear" w:color="000000" w:fill="FFFFFF"/>
            <w:vAlign w:val="center"/>
          </w:tcPr>
          <w:p w:rsidR="00E23B1B" w:rsidRPr="003B14B6" w:rsidRDefault="00E23B1B" w:rsidP="000810E5">
            <w:pPr>
              <w:jc w:val="center"/>
              <w:rPr>
                <w:rFonts w:ascii="Arial" w:hAnsi="Arial" w:cs="Arial"/>
                <w:b/>
                <w:bCs/>
                <w:color w:val="112277"/>
                <w:sz w:val="22"/>
                <w:szCs w:val="22"/>
              </w:rPr>
            </w:pPr>
          </w:p>
        </w:tc>
        <w:tc>
          <w:tcPr>
            <w:tcW w:w="236" w:type="dxa"/>
            <w:tcBorders>
              <w:top w:val="nil"/>
              <w:left w:val="nil"/>
              <w:bottom w:val="nil"/>
              <w:right w:val="nil"/>
            </w:tcBorders>
            <w:shd w:val="clear" w:color="000000" w:fill="FFFFFF"/>
            <w:vAlign w:val="center"/>
          </w:tcPr>
          <w:p w:rsidR="00E23B1B" w:rsidRPr="003B14B6" w:rsidRDefault="00E23B1B" w:rsidP="000810E5">
            <w:pPr>
              <w:jc w:val="center"/>
              <w:rPr>
                <w:rFonts w:ascii="Arial" w:hAnsi="Arial" w:cs="Arial"/>
                <w:b/>
                <w:bCs/>
                <w:color w:val="112277"/>
                <w:sz w:val="22"/>
                <w:szCs w:val="22"/>
              </w:rPr>
            </w:pPr>
          </w:p>
        </w:tc>
        <w:tc>
          <w:tcPr>
            <w:tcW w:w="236" w:type="dxa"/>
            <w:tcBorders>
              <w:top w:val="nil"/>
              <w:left w:val="nil"/>
              <w:bottom w:val="nil"/>
              <w:right w:val="nil"/>
            </w:tcBorders>
            <w:shd w:val="clear" w:color="000000" w:fill="FFFFFF"/>
            <w:vAlign w:val="center"/>
          </w:tcPr>
          <w:p w:rsidR="00E23B1B" w:rsidRPr="003B14B6" w:rsidRDefault="00E23B1B" w:rsidP="000810E5">
            <w:pPr>
              <w:jc w:val="center"/>
              <w:rPr>
                <w:rFonts w:ascii="Arial" w:hAnsi="Arial" w:cs="Arial"/>
                <w:b/>
                <w:bCs/>
                <w:color w:val="112277"/>
                <w:sz w:val="22"/>
                <w:szCs w:val="22"/>
              </w:rPr>
            </w:pPr>
          </w:p>
        </w:tc>
        <w:tc>
          <w:tcPr>
            <w:tcW w:w="999" w:type="dxa"/>
            <w:tcBorders>
              <w:top w:val="nil"/>
              <w:left w:val="nil"/>
              <w:bottom w:val="nil"/>
              <w:right w:val="nil"/>
            </w:tcBorders>
            <w:shd w:val="clear" w:color="000000" w:fill="FFFFFF"/>
            <w:vAlign w:val="center"/>
          </w:tcPr>
          <w:p w:rsidR="00E23B1B" w:rsidRPr="003B14B6" w:rsidRDefault="00E23B1B" w:rsidP="000810E5">
            <w:pPr>
              <w:jc w:val="center"/>
              <w:rPr>
                <w:rFonts w:ascii="Arial" w:hAnsi="Arial" w:cs="Arial"/>
                <w:b/>
                <w:bCs/>
                <w:color w:val="112277"/>
                <w:sz w:val="22"/>
                <w:szCs w:val="22"/>
              </w:rPr>
            </w:pPr>
          </w:p>
        </w:tc>
        <w:tc>
          <w:tcPr>
            <w:tcW w:w="222" w:type="dxa"/>
            <w:tcBorders>
              <w:top w:val="nil"/>
              <w:left w:val="nil"/>
              <w:bottom w:val="nil"/>
              <w:right w:val="nil"/>
            </w:tcBorders>
            <w:shd w:val="clear" w:color="000000" w:fill="FFFFFF"/>
            <w:vAlign w:val="center"/>
          </w:tcPr>
          <w:p w:rsidR="00E23B1B" w:rsidRPr="003B14B6" w:rsidRDefault="00E23B1B" w:rsidP="000810E5">
            <w:pPr>
              <w:jc w:val="center"/>
              <w:rPr>
                <w:rFonts w:ascii="Arial" w:hAnsi="Arial" w:cs="Arial"/>
                <w:b/>
                <w:bCs/>
                <w:color w:val="112277"/>
                <w:sz w:val="22"/>
                <w:szCs w:val="22"/>
              </w:rPr>
            </w:pPr>
          </w:p>
        </w:tc>
      </w:tr>
      <w:tr w:rsidR="001A3E7D" w:rsidRPr="003B14B6" w:rsidTr="00134693">
        <w:trPr>
          <w:gridAfter w:val="5"/>
          <w:wAfter w:w="2951" w:type="dxa"/>
          <w:trHeight w:val="367"/>
        </w:trPr>
        <w:tc>
          <w:tcPr>
            <w:tcW w:w="5058" w:type="dxa"/>
            <w:tcBorders>
              <w:top w:val="single" w:sz="8" w:space="0" w:color="C1C1C1"/>
              <w:left w:val="single" w:sz="8" w:space="0" w:color="C1C1C1"/>
              <w:bottom w:val="single" w:sz="4" w:space="0" w:color="C1C1C1"/>
              <w:right w:val="single" w:sz="4" w:space="0" w:color="C1C1C1"/>
            </w:tcBorders>
            <w:shd w:val="clear" w:color="auto" w:fill="auto"/>
            <w:noWrap/>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 </w:t>
            </w:r>
            <w:r w:rsidR="005E606A" w:rsidRPr="001A3E7D">
              <w:rPr>
                <w:rFonts w:ascii="Arial Narrow" w:hAnsi="Arial Narrow" w:cs="Arial"/>
                <w:bCs/>
                <w:color w:val="112277"/>
                <w:sz w:val="20"/>
                <w:szCs w:val="20"/>
              </w:rPr>
              <w:t>Table 1</w:t>
            </w:r>
          </w:p>
        </w:tc>
        <w:tc>
          <w:tcPr>
            <w:tcW w:w="799" w:type="dxa"/>
            <w:tcBorders>
              <w:top w:val="single" w:sz="8" w:space="0" w:color="C1C1C1"/>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2016</w:t>
            </w:r>
          </w:p>
        </w:tc>
        <w:tc>
          <w:tcPr>
            <w:tcW w:w="803" w:type="dxa"/>
            <w:tcBorders>
              <w:top w:val="single" w:sz="8" w:space="0" w:color="C1C1C1"/>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2017</w:t>
            </w:r>
          </w:p>
        </w:tc>
        <w:tc>
          <w:tcPr>
            <w:tcW w:w="799" w:type="dxa"/>
            <w:tcBorders>
              <w:top w:val="single" w:sz="8" w:space="0" w:color="C1C1C1"/>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2018</w:t>
            </w:r>
          </w:p>
        </w:tc>
        <w:tc>
          <w:tcPr>
            <w:tcW w:w="799" w:type="dxa"/>
            <w:tcBorders>
              <w:top w:val="single" w:sz="8" w:space="0" w:color="C1C1C1"/>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2019</w:t>
            </w:r>
          </w:p>
        </w:tc>
        <w:tc>
          <w:tcPr>
            <w:tcW w:w="562" w:type="dxa"/>
            <w:tcBorders>
              <w:top w:val="single" w:sz="8" w:space="0" w:color="C1C1C1"/>
              <w:left w:val="nil"/>
              <w:bottom w:val="single" w:sz="4" w:space="0" w:color="C1C1C1"/>
              <w:right w:val="single" w:sz="8"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 </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134693">
            <w:pPr>
              <w:rPr>
                <w:rFonts w:ascii="Arial Narrow" w:hAnsi="Arial Narrow" w:cs="Arial"/>
                <w:bCs/>
                <w:color w:val="112277"/>
                <w:sz w:val="20"/>
                <w:szCs w:val="20"/>
              </w:rPr>
            </w:pPr>
            <w:r w:rsidRPr="001A3E7D">
              <w:rPr>
                <w:rFonts w:ascii="Arial Narrow" w:hAnsi="Arial Narrow" w:cs="Arial"/>
                <w:bCs/>
                <w:color w:val="112277"/>
                <w:sz w:val="20"/>
                <w:szCs w:val="20"/>
              </w:rPr>
              <w:t>DX_CATEGORY</w:t>
            </w:r>
            <w:r w:rsidR="002C2E90">
              <w:rPr>
                <w:rFonts w:ascii="Arial Narrow" w:hAnsi="Arial Narrow" w:cs="Arial"/>
                <w:bCs/>
                <w:color w:val="112277"/>
                <w:sz w:val="20"/>
                <w:szCs w:val="20"/>
              </w:rPr>
              <w:t>:  malignant neoplasms of</w:t>
            </w:r>
          </w:p>
        </w:tc>
        <w:tc>
          <w:tcPr>
            <w:tcW w:w="799" w:type="dxa"/>
            <w:tcBorders>
              <w:top w:val="nil"/>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COUNT</w:t>
            </w:r>
          </w:p>
        </w:tc>
        <w:tc>
          <w:tcPr>
            <w:tcW w:w="803" w:type="dxa"/>
            <w:tcBorders>
              <w:top w:val="nil"/>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COUNT</w:t>
            </w:r>
          </w:p>
        </w:tc>
        <w:tc>
          <w:tcPr>
            <w:tcW w:w="799" w:type="dxa"/>
            <w:tcBorders>
              <w:top w:val="nil"/>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COUNT</w:t>
            </w:r>
          </w:p>
        </w:tc>
        <w:tc>
          <w:tcPr>
            <w:tcW w:w="799" w:type="dxa"/>
            <w:tcBorders>
              <w:top w:val="nil"/>
              <w:left w:val="nil"/>
              <w:bottom w:val="single" w:sz="4" w:space="0" w:color="C1C1C1"/>
              <w:right w:val="single" w:sz="4"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COUNT</w:t>
            </w:r>
          </w:p>
        </w:tc>
        <w:tc>
          <w:tcPr>
            <w:tcW w:w="562" w:type="dxa"/>
            <w:tcBorders>
              <w:top w:val="nil"/>
              <w:left w:val="nil"/>
              <w:bottom w:val="single" w:sz="4" w:space="0" w:color="C1C1C1"/>
              <w:right w:val="single" w:sz="8" w:space="0" w:color="C1C1C1"/>
            </w:tcBorders>
            <w:shd w:val="clear" w:color="000000" w:fill="EDF2F9"/>
            <w:noWrap/>
            <w:vAlign w:val="center"/>
            <w:hideMark/>
          </w:tcPr>
          <w:p w:rsidR="00E23B1B" w:rsidRPr="001A3E7D" w:rsidRDefault="00E23B1B" w:rsidP="000810E5">
            <w:pPr>
              <w:jc w:val="center"/>
              <w:rPr>
                <w:rFonts w:ascii="Arial Narrow" w:hAnsi="Arial Narrow" w:cs="Arial"/>
                <w:bCs/>
                <w:color w:val="112277"/>
                <w:sz w:val="20"/>
                <w:szCs w:val="20"/>
              </w:rPr>
            </w:pPr>
            <w:r w:rsidRPr="001A3E7D">
              <w:rPr>
                <w:rFonts w:ascii="Arial Narrow" w:hAnsi="Arial Narrow" w:cs="Arial"/>
                <w:bCs/>
                <w:color w:val="112277"/>
                <w:sz w:val="20"/>
                <w:szCs w:val="20"/>
              </w:rPr>
              <w:t>ALL</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floor of mouth</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11</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19</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gum</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9</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15</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hypopharynx</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11</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16</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lip</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 xml:space="preserve">                                                                                                                                                                                                                                                                                                                                                                                                                                                                                                                                                                                                                                                                                                                                                                                                                                                                                                                                                                                                                                                                                                                                                                                                                                                                                                                                                                                                                                                                                                                                                              </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5</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5</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12</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nasopharynx</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15</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21</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oropharynx</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27</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7</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7</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45</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other and ill-defined sites in the lip, oral cavity and pharynx</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0</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7</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other and unspecified major salivary glands</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10</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19</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134693" w:rsidP="000810E5">
            <w:pPr>
              <w:rPr>
                <w:rFonts w:ascii="Arial Narrow" w:hAnsi="Arial Narrow" w:cs="Arial"/>
                <w:bCs/>
                <w:color w:val="112277"/>
                <w:sz w:val="20"/>
                <w:szCs w:val="20"/>
              </w:rPr>
            </w:pPr>
            <w:r>
              <w:rPr>
                <w:rFonts w:ascii="Arial Narrow" w:hAnsi="Arial Narrow" w:cs="Arial"/>
                <w:bCs/>
                <w:color w:val="112277"/>
                <w:sz w:val="20"/>
                <w:szCs w:val="20"/>
              </w:rPr>
              <w:t xml:space="preserve">other </w:t>
            </w:r>
            <w:r w:rsidR="00E23B1B" w:rsidRPr="001A3E7D">
              <w:rPr>
                <w:rFonts w:ascii="Arial Narrow" w:hAnsi="Arial Narrow" w:cs="Arial"/>
                <w:bCs/>
                <w:color w:val="112277"/>
                <w:sz w:val="20"/>
                <w:szCs w:val="20"/>
              </w:rPr>
              <w:t>and unspecified parts of mouth</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39</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9</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12</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6</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66</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other and unspecified parts of tongue</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71</w:t>
            </w:r>
          </w:p>
        </w:tc>
        <w:tc>
          <w:tcPr>
            <w:tcW w:w="803"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9</w:t>
            </w:r>
          </w:p>
        </w:tc>
        <w:tc>
          <w:tcPr>
            <w:tcW w:w="799" w:type="dxa"/>
            <w:tcBorders>
              <w:top w:val="nil"/>
              <w:left w:val="nil"/>
              <w:bottom w:val="single" w:sz="4"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18</w:t>
            </w:r>
          </w:p>
        </w:tc>
        <w:tc>
          <w:tcPr>
            <w:tcW w:w="799" w:type="dxa"/>
            <w:tcBorders>
              <w:top w:val="nil"/>
              <w:left w:val="nil"/>
              <w:bottom w:val="single" w:sz="4"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14</w:t>
            </w:r>
          </w:p>
        </w:tc>
        <w:tc>
          <w:tcPr>
            <w:tcW w:w="562" w:type="dxa"/>
            <w:tcBorders>
              <w:top w:val="nil"/>
              <w:left w:val="double" w:sz="6" w:space="0" w:color="C1C1C1"/>
              <w:bottom w:val="single" w:sz="4"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112</w:t>
            </w:r>
          </w:p>
        </w:tc>
      </w:tr>
      <w:tr w:rsidR="001A3E7D" w:rsidRPr="003B14B6" w:rsidTr="00134693">
        <w:trPr>
          <w:gridAfter w:val="5"/>
          <w:wAfter w:w="2951" w:type="dxa"/>
          <w:trHeight w:val="315"/>
        </w:trPr>
        <w:tc>
          <w:tcPr>
            <w:tcW w:w="5058" w:type="dxa"/>
            <w:tcBorders>
              <w:top w:val="nil"/>
              <w:left w:val="single" w:sz="8" w:space="0" w:color="C1C1C1"/>
              <w:bottom w:val="single" w:sz="4"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palate</w:t>
            </w:r>
          </w:p>
        </w:tc>
        <w:tc>
          <w:tcPr>
            <w:tcW w:w="799" w:type="dxa"/>
            <w:tcBorders>
              <w:top w:val="nil"/>
              <w:left w:val="nil"/>
              <w:bottom w:val="nil"/>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9</w:t>
            </w:r>
          </w:p>
        </w:tc>
        <w:tc>
          <w:tcPr>
            <w:tcW w:w="803" w:type="dxa"/>
            <w:tcBorders>
              <w:top w:val="nil"/>
              <w:left w:val="nil"/>
              <w:bottom w:val="nil"/>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3</w:t>
            </w:r>
          </w:p>
        </w:tc>
        <w:tc>
          <w:tcPr>
            <w:tcW w:w="799" w:type="dxa"/>
            <w:tcBorders>
              <w:top w:val="nil"/>
              <w:left w:val="nil"/>
              <w:bottom w:val="nil"/>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w:t>
            </w:r>
          </w:p>
        </w:tc>
        <w:tc>
          <w:tcPr>
            <w:tcW w:w="799" w:type="dxa"/>
            <w:tcBorders>
              <w:top w:val="nil"/>
              <w:left w:val="nil"/>
              <w:bottom w:val="nil"/>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w:t>
            </w:r>
          </w:p>
        </w:tc>
        <w:tc>
          <w:tcPr>
            <w:tcW w:w="562" w:type="dxa"/>
            <w:tcBorders>
              <w:top w:val="nil"/>
              <w:left w:val="double" w:sz="6" w:space="0" w:color="C1C1C1"/>
              <w:bottom w:val="nil"/>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17</w:t>
            </w:r>
          </w:p>
        </w:tc>
      </w:tr>
      <w:tr w:rsidR="001A3E7D" w:rsidRPr="003B14B6" w:rsidTr="00134693">
        <w:trPr>
          <w:gridAfter w:val="5"/>
          <w:wAfter w:w="2951" w:type="dxa"/>
          <w:trHeight w:val="330"/>
        </w:trPr>
        <w:tc>
          <w:tcPr>
            <w:tcW w:w="5058" w:type="dxa"/>
            <w:tcBorders>
              <w:top w:val="nil"/>
              <w:left w:val="single" w:sz="8" w:space="0" w:color="C1C1C1"/>
              <w:bottom w:val="single" w:sz="8" w:space="0" w:color="C1C1C1"/>
              <w:right w:val="single" w:sz="4" w:space="0" w:color="C1C1C1"/>
            </w:tcBorders>
            <w:shd w:val="clear" w:color="auto" w:fill="auto"/>
            <w:noWrap/>
            <w:vAlign w:val="center"/>
            <w:hideMark/>
          </w:tcPr>
          <w:p w:rsidR="00E23B1B" w:rsidRPr="001A3E7D" w:rsidRDefault="00E23B1B" w:rsidP="000810E5">
            <w:pPr>
              <w:rPr>
                <w:rFonts w:ascii="Arial Narrow" w:hAnsi="Arial Narrow" w:cs="Arial"/>
                <w:bCs/>
                <w:color w:val="112277"/>
                <w:sz w:val="20"/>
                <w:szCs w:val="20"/>
              </w:rPr>
            </w:pPr>
            <w:r w:rsidRPr="001A3E7D">
              <w:rPr>
                <w:rFonts w:ascii="Arial Narrow" w:hAnsi="Arial Narrow" w:cs="Arial"/>
                <w:bCs/>
                <w:color w:val="112277"/>
                <w:sz w:val="20"/>
                <w:szCs w:val="20"/>
              </w:rPr>
              <w:t>tonsil</w:t>
            </w:r>
          </w:p>
        </w:tc>
        <w:tc>
          <w:tcPr>
            <w:tcW w:w="799" w:type="dxa"/>
            <w:tcBorders>
              <w:top w:val="single" w:sz="4" w:space="0" w:color="C1C1C1"/>
              <w:left w:val="nil"/>
              <w:bottom w:val="double" w:sz="6"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72</w:t>
            </w:r>
          </w:p>
        </w:tc>
        <w:tc>
          <w:tcPr>
            <w:tcW w:w="803" w:type="dxa"/>
            <w:tcBorders>
              <w:top w:val="single" w:sz="4" w:space="0" w:color="C1C1C1"/>
              <w:left w:val="nil"/>
              <w:bottom w:val="double" w:sz="6"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13</w:t>
            </w:r>
          </w:p>
        </w:tc>
        <w:tc>
          <w:tcPr>
            <w:tcW w:w="799" w:type="dxa"/>
            <w:tcBorders>
              <w:top w:val="single" w:sz="4" w:space="0" w:color="C1C1C1"/>
              <w:left w:val="nil"/>
              <w:bottom w:val="double" w:sz="6"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10</w:t>
            </w:r>
          </w:p>
        </w:tc>
        <w:tc>
          <w:tcPr>
            <w:tcW w:w="799" w:type="dxa"/>
            <w:tcBorders>
              <w:top w:val="single" w:sz="4" w:space="0" w:color="C1C1C1"/>
              <w:left w:val="nil"/>
              <w:bottom w:val="double" w:sz="6" w:space="0" w:color="C1C1C1"/>
              <w:right w:val="nil"/>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10</w:t>
            </w:r>
          </w:p>
        </w:tc>
        <w:tc>
          <w:tcPr>
            <w:tcW w:w="562" w:type="dxa"/>
            <w:tcBorders>
              <w:top w:val="single" w:sz="4" w:space="0" w:color="C1C1C1"/>
              <w:left w:val="double" w:sz="6" w:space="0" w:color="C1C1C1"/>
              <w:bottom w:val="double" w:sz="6"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105</w:t>
            </w:r>
          </w:p>
        </w:tc>
      </w:tr>
      <w:tr w:rsidR="001A3E7D" w:rsidRPr="003B14B6" w:rsidTr="00134693">
        <w:trPr>
          <w:gridAfter w:val="5"/>
          <w:wAfter w:w="2951" w:type="dxa"/>
          <w:trHeight w:val="35"/>
        </w:trPr>
        <w:tc>
          <w:tcPr>
            <w:tcW w:w="5058" w:type="dxa"/>
            <w:tcBorders>
              <w:top w:val="single" w:sz="4" w:space="0" w:color="C1C1C1"/>
              <w:left w:val="single" w:sz="8" w:space="0" w:color="C1C1C1"/>
              <w:bottom w:val="single" w:sz="8" w:space="0" w:color="C1C1C1"/>
              <w:right w:val="single" w:sz="4" w:space="0" w:color="C1C1C1"/>
            </w:tcBorders>
            <w:shd w:val="clear" w:color="auto" w:fill="auto"/>
            <w:noWrap/>
            <w:vAlign w:val="center"/>
            <w:hideMark/>
          </w:tcPr>
          <w:p w:rsidR="00E23B1B" w:rsidRPr="001A3E7D" w:rsidRDefault="00E23B1B" w:rsidP="000810E5">
            <w:pPr>
              <w:jc w:val="right"/>
              <w:rPr>
                <w:rFonts w:ascii="Arial Narrow" w:hAnsi="Arial Narrow" w:cs="Arial"/>
                <w:bCs/>
                <w:color w:val="112277"/>
                <w:sz w:val="20"/>
                <w:szCs w:val="20"/>
              </w:rPr>
            </w:pPr>
            <w:r w:rsidRPr="001A3E7D">
              <w:rPr>
                <w:rFonts w:ascii="Arial Narrow" w:hAnsi="Arial Narrow" w:cs="Arial"/>
                <w:bCs/>
                <w:color w:val="112277"/>
                <w:sz w:val="20"/>
                <w:szCs w:val="20"/>
              </w:rPr>
              <w:t>ALL</w:t>
            </w:r>
          </w:p>
        </w:tc>
        <w:tc>
          <w:tcPr>
            <w:tcW w:w="799" w:type="dxa"/>
            <w:tcBorders>
              <w:top w:val="nil"/>
              <w:left w:val="nil"/>
              <w:bottom w:val="single" w:sz="8"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277</w:t>
            </w:r>
          </w:p>
        </w:tc>
        <w:tc>
          <w:tcPr>
            <w:tcW w:w="803" w:type="dxa"/>
            <w:tcBorders>
              <w:top w:val="nil"/>
              <w:left w:val="nil"/>
              <w:bottom w:val="single" w:sz="8"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63</w:t>
            </w:r>
          </w:p>
        </w:tc>
        <w:tc>
          <w:tcPr>
            <w:tcW w:w="799" w:type="dxa"/>
            <w:tcBorders>
              <w:top w:val="nil"/>
              <w:left w:val="nil"/>
              <w:bottom w:val="single" w:sz="8"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57</w:t>
            </w:r>
          </w:p>
        </w:tc>
        <w:tc>
          <w:tcPr>
            <w:tcW w:w="799" w:type="dxa"/>
            <w:tcBorders>
              <w:top w:val="nil"/>
              <w:left w:val="nil"/>
              <w:bottom w:val="single" w:sz="8" w:space="0" w:color="C1C1C1"/>
              <w:right w:val="single" w:sz="4"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57</w:t>
            </w:r>
          </w:p>
        </w:tc>
        <w:tc>
          <w:tcPr>
            <w:tcW w:w="562" w:type="dxa"/>
            <w:tcBorders>
              <w:top w:val="nil"/>
              <w:left w:val="double" w:sz="6" w:space="0" w:color="C1C1C1"/>
              <w:bottom w:val="single" w:sz="8" w:space="0" w:color="C1C1C1"/>
              <w:right w:val="single" w:sz="8" w:space="0" w:color="C1C1C1"/>
            </w:tcBorders>
            <w:shd w:val="clear" w:color="000000" w:fill="FFFFFF"/>
            <w:noWrap/>
            <w:vAlign w:val="center"/>
            <w:hideMark/>
          </w:tcPr>
          <w:p w:rsidR="00E23B1B" w:rsidRPr="001A3E7D" w:rsidRDefault="00E23B1B" w:rsidP="000810E5">
            <w:pPr>
              <w:jc w:val="center"/>
              <w:rPr>
                <w:rFonts w:ascii="Arial Narrow" w:hAnsi="Arial Narrow" w:cs="Arial"/>
                <w:color w:val="000000"/>
                <w:sz w:val="20"/>
                <w:szCs w:val="20"/>
              </w:rPr>
            </w:pPr>
            <w:r w:rsidRPr="001A3E7D">
              <w:rPr>
                <w:rFonts w:ascii="Arial Narrow" w:hAnsi="Arial Narrow" w:cs="Arial"/>
                <w:color w:val="000000"/>
                <w:sz w:val="20"/>
                <w:szCs w:val="20"/>
              </w:rPr>
              <w:t>454</w:t>
            </w:r>
          </w:p>
        </w:tc>
      </w:tr>
    </w:tbl>
    <w:p w:rsidR="003B14B6" w:rsidRDefault="003B14B6">
      <w:pPr>
        <w:rPr>
          <w:rFonts w:ascii="Arial" w:hAnsi="Arial" w:cs="Arial"/>
          <w:sz w:val="22"/>
          <w:szCs w:val="22"/>
        </w:rPr>
      </w:pPr>
    </w:p>
    <w:p w:rsidR="00874364" w:rsidRPr="003B14B6" w:rsidRDefault="00874364">
      <w:pPr>
        <w:rPr>
          <w:rFonts w:ascii="Arial" w:hAnsi="Arial" w:cs="Arial"/>
          <w:b/>
          <w:sz w:val="22"/>
          <w:szCs w:val="22"/>
        </w:rPr>
      </w:pPr>
      <w:r w:rsidRPr="003B14B6">
        <w:rPr>
          <w:rFonts w:ascii="Arial" w:hAnsi="Arial" w:cs="Arial"/>
          <w:b/>
          <w:sz w:val="22"/>
          <w:szCs w:val="22"/>
        </w:rPr>
        <w:t>Methods</w:t>
      </w:r>
      <w:r w:rsidR="002405A4" w:rsidRPr="003B14B6">
        <w:rPr>
          <w:rFonts w:ascii="Arial" w:hAnsi="Arial" w:cs="Arial"/>
          <w:b/>
          <w:sz w:val="22"/>
          <w:szCs w:val="22"/>
        </w:rPr>
        <w:t xml:space="preserve"> </w:t>
      </w:r>
    </w:p>
    <w:p w:rsidR="008D3293" w:rsidRPr="003B14B6" w:rsidRDefault="00DB1DF8">
      <w:pPr>
        <w:rPr>
          <w:rFonts w:ascii="Arial" w:hAnsi="Arial" w:cs="Arial"/>
          <w:b/>
          <w:sz w:val="22"/>
          <w:szCs w:val="22"/>
        </w:rPr>
      </w:pPr>
      <w:r w:rsidRPr="003B14B6">
        <w:rPr>
          <w:rFonts w:ascii="Arial" w:hAnsi="Arial" w:cs="Arial"/>
          <w:b/>
          <w:sz w:val="22"/>
          <w:szCs w:val="22"/>
        </w:rPr>
        <w:t>Patient identif</w:t>
      </w:r>
      <w:r w:rsidR="008D3293" w:rsidRPr="003B14B6">
        <w:rPr>
          <w:rFonts w:ascii="Arial" w:hAnsi="Arial" w:cs="Arial"/>
          <w:b/>
          <w:sz w:val="22"/>
          <w:szCs w:val="22"/>
        </w:rPr>
        <w:t>ication and enrollment process:</w:t>
      </w:r>
    </w:p>
    <w:p w:rsidR="008D3293" w:rsidRPr="003B14B6" w:rsidRDefault="002977BC">
      <w:pPr>
        <w:rPr>
          <w:rFonts w:ascii="Arial" w:hAnsi="Arial" w:cs="Arial"/>
          <w:sz w:val="22"/>
          <w:szCs w:val="22"/>
        </w:rPr>
      </w:pPr>
      <w:r w:rsidRPr="003B14B6">
        <w:rPr>
          <w:rFonts w:ascii="Arial" w:hAnsi="Arial" w:cs="Arial"/>
          <w:b/>
          <w:i/>
          <w:sz w:val="22"/>
          <w:szCs w:val="22"/>
        </w:rPr>
        <w:t>Cases</w:t>
      </w:r>
      <w:r w:rsidR="00674363">
        <w:rPr>
          <w:rFonts w:ascii="Arial" w:hAnsi="Arial" w:cs="Arial"/>
          <w:b/>
          <w:i/>
          <w:sz w:val="22"/>
          <w:szCs w:val="22"/>
        </w:rPr>
        <w:t xml:space="preserve"> (</w:t>
      </w:r>
      <w:r w:rsidR="00147B14">
        <w:rPr>
          <w:rFonts w:ascii="Arial" w:hAnsi="Arial" w:cs="Arial"/>
          <w:b/>
          <w:i/>
          <w:sz w:val="22"/>
          <w:szCs w:val="22"/>
        </w:rPr>
        <w:t>n=</w:t>
      </w:r>
      <w:r w:rsidR="00674363">
        <w:rPr>
          <w:rFonts w:ascii="Arial" w:hAnsi="Arial" w:cs="Arial"/>
          <w:b/>
          <w:i/>
          <w:sz w:val="22"/>
          <w:szCs w:val="22"/>
        </w:rPr>
        <w:t>10/institution)</w:t>
      </w:r>
      <w:r w:rsidRPr="003B14B6">
        <w:rPr>
          <w:rFonts w:ascii="Arial" w:hAnsi="Arial" w:cs="Arial"/>
          <w:sz w:val="22"/>
          <w:szCs w:val="22"/>
        </w:rPr>
        <w:t xml:space="preserve">:  </w:t>
      </w:r>
      <w:r w:rsidR="006C1793" w:rsidRPr="003B14B6">
        <w:rPr>
          <w:rFonts w:ascii="Arial" w:hAnsi="Arial" w:cs="Arial"/>
          <w:sz w:val="22"/>
          <w:szCs w:val="22"/>
        </w:rPr>
        <w:t xml:space="preserve">The study will undergo central IRB review with MCHS as the IRB of record.  </w:t>
      </w:r>
      <w:r w:rsidR="00674363">
        <w:rPr>
          <w:rFonts w:ascii="Arial" w:hAnsi="Arial" w:cs="Arial"/>
          <w:sz w:val="22"/>
          <w:szCs w:val="22"/>
        </w:rPr>
        <w:t>After approval, MCHS</w:t>
      </w:r>
      <w:r w:rsidR="005E606A" w:rsidRPr="003B14B6">
        <w:rPr>
          <w:rFonts w:ascii="Arial" w:hAnsi="Arial" w:cs="Arial"/>
          <w:sz w:val="22"/>
          <w:szCs w:val="22"/>
        </w:rPr>
        <w:t xml:space="preserve"> and UW Carbone Cancer Center </w:t>
      </w:r>
      <w:r w:rsidR="00674363">
        <w:rPr>
          <w:rFonts w:ascii="Arial" w:hAnsi="Arial" w:cs="Arial"/>
          <w:sz w:val="22"/>
          <w:szCs w:val="22"/>
        </w:rPr>
        <w:t xml:space="preserve">patients </w:t>
      </w:r>
      <w:r w:rsidR="008D3293" w:rsidRPr="003B14B6">
        <w:rPr>
          <w:rFonts w:ascii="Arial" w:hAnsi="Arial" w:cs="Arial"/>
          <w:sz w:val="22"/>
          <w:szCs w:val="22"/>
        </w:rPr>
        <w:t xml:space="preserve">receiving a new diagnosis of </w:t>
      </w:r>
      <w:r w:rsidRPr="003B14B6">
        <w:rPr>
          <w:rFonts w:ascii="Arial" w:hAnsi="Arial" w:cs="Arial"/>
          <w:sz w:val="22"/>
          <w:szCs w:val="22"/>
        </w:rPr>
        <w:t>OC</w:t>
      </w:r>
      <w:r w:rsidR="008D3293" w:rsidRPr="003B14B6">
        <w:rPr>
          <w:rFonts w:ascii="Arial" w:hAnsi="Arial" w:cs="Arial"/>
          <w:sz w:val="22"/>
          <w:szCs w:val="22"/>
        </w:rPr>
        <w:t xml:space="preserve"> </w:t>
      </w:r>
      <w:proofErr w:type="gramStart"/>
      <w:r w:rsidR="00147B14">
        <w:rPr>
          <w:rFonts w:ascii="Arial" w:hAnsi="Arial" w:cs="Arial"/>
          <w:sz w:val="22"/>
          <w:szCs w:val="22"/>
        </w:rPr>
        <w:t xml:space="preserve">will </w:t>
      </w:r>
      <w:r w:rsidR="008D3293" w:rsidRPr="003B14B6">
        <w:rPr>
          <w:rFonts w:ascii="Arial" w:hAnsi="Arial" w:cs="Arial"/>
          <w:sz w:val="22"/>
          <w:szCs w:val="22"/>
        </w:rPr>
        <w:t>be approached</w:t>
      </w:r>
      <w:proofErr w:type="gramEnd"/>
      <w:r w:rsidR="008D3293" w:rsidRPr="003B14B6">
        <w:rPr>
          <w:rFonts w:ascii="Arial" w:hAnsi="Arial" w:cs="Arial"/>
          <w:sz w:val="22"/>
          <w:szCs w:val="22"/>
        </w:rPr>
        <w:t xml:space="preserve"> for interest in study enrollment if they meet the following eligibility criteria:</w:t>
      </w:r>
    </w:p>
    <w:p w:rsidR="008D3293" w:rsidRPr="003B14B6" w:rsidRDefault="008D3293" w:rsidP="008D3293">
      <w:pPr>
        <w:pStyle w:val="ListParagraph"/>
        <w:numPr>
          <w:ilvl w:val="0"/>
          <w:numId w:val="6"/>
        </w:numPr>
        <w:rPr>
          <w:rFonts w:ascii="Arial" w:hAnsi="Arial" w:cs="Arial"/>
          <w:sz w:val="22"/>
          <w:szCs w:val="22"/>
        </w:rPr>
      </w:pPr>
      <w:r w:rsidRPr="003B14B6">
        <w:rPr>
          <w:rFonts w:ascii="Arial" w:hAnsi="Arial" w:cs="Arial"/>
          <w:sz w:val="22"/>
          <w:szCs w:val="22"/>
        </w:rPr>
        <w:t>no prior history of cancer</w:t>
      </w:r>
    </w:p>
    <w:p w:rsidR="00436AA9" w:rsidRPr="003B14B6" w:rsidRDefault="00436AA9" w:rsidP="00436AA9">
      <w:pPr>
        <w:pStyle w:val="ListParagraph"/>
        <w:numPr>
          <w:ilvl w:val="0"/>
          <w:numId w:val="6"/>
        </w:numPr>
        <w:rPr>
          <w:rFonts w:ascii="Arial" w:hAnsi="Arial" w:cs="Arial"/>
          <w:sz w:val="22"/>
          <w:szCs w:val="22"/>
        </w:rPr>
      </w:pPr>
      <w:r w:rsidRPr="003B14B6">
        <w:rPr>
          <w:rFonts w:ascii="Arial" w:hAnsi="Arial" w:cs="Arial"/>
          <w:sz w:val="22"/>
          <w:szCs w:val="22"/>
        </w:rPr>
        <w:t>no prior or current exposure to radi</w:t>
      </w:r>
      <w:r w:rsidR="002977BC" w:rsidRPr="003B14B6">
        <w:rPr>
          <w:rFonts w:ascii="Arial" w:hAnsi="Arial" w:cs="Arial"/>
          <w:sz w:val="22"/>
          <w:szCs w:val="22"/>
        </w:rPr>
        <w:t>otherapy</w:t>
      </w:r>
      <w:r w:rsidRPr="003B14B6">
        <w:rPr>
          <w:rFonts w:ascii="Arial" w:hAnsi="Arial" w:cs="Arial"/>
          <w:sz w:val="22"/>
          <w:szCs w:val="22"/>
        </w:rPr>
        <w:t>, chemotherapeutic approaches, or cancer therapy that could impact on quality of the DNA or epigenetic profiles</w:t>
      </w:r>
    </w:p>
    <w:p w:rsidR="00436AA9" w:rsidRPr="003B14B6" w:rsidRDefault="002977BC" w:rsidP="00436AA9">
      <w:pPr>
        <w:pStyle w:val="ListParagraph"/>
        <w:numPr>
          <w:ilvl w:val="0"/>
          <w:numId w:val="6"/>
        </w:numPr>
        <w:rPr>
          <w:rFonts w:ascii="Arial" w:hAnsi="Arial" w:cs="Arial"/>
          <w:sz w:val="22"/>
          <w:szCs w:val="22"/>
        </w:rPr>
      </w:pPr>
      <w:r w:rsidRPr="003B14B6">
        <w:rPr>
          <w:rFonts w:ascii="Arial" w:hAnsi="Arial" w:cs="Arial"/>
          <w:sz w:val="22"/>
          <w:szCs w:val="22"/>
        </w:rPr>
        <w:t>greater than 21 years of age</w:t>
      </w:r>
    </w:p>
    <w:p w:rsidR="00183D76" w:rsidRPr="003B14B6" w:rsidRDefault="005E606A" w:rsidP="002977BC">
      <w:pPr>
        <w:rPr>
          <w:rFonts w:ascii="Arial" w:hAnsi="Arial" w:cs="Arial"/>
          <w:sz w:val="22"/>
          <w:szCs w:val="22"/>
        </w:rPr>
      </w:pPr>
      <w:proofErr w:type="gramStart"/>
      <w:r w:rsidRPr="003B14B6">
        <w:rPr>
          <w:rFonts w:ascii="Arial" w:hAnsi="Arial" w:cs="Arial"/>
          <w:sz w:val="22"/>
          <w:szCs w:val="22"/>
        </w:rPr>
        <w:t>Potentially-</w:t>
      </w:r>
      <w:r w:rsidR="002977BC" w:rsidRPr="003B14B6">
        <w:rPr>
          <w:rFonts w:ascii="Arial" w:hAnsi="Arial" w:cs="Arial"/>
          <w:sz w:val="22"/>
          <w:szCs w:val="22"/>
        </w:rPr>
        <w:t>eligible</w:t>
      </w:r>
      <w:proofErr w:type="gramEnd"/>
      <w:r w:rsidR="002977BC" w:rsidRPr="003B14B6">
        <w:rPr>
          <w:rFonts w:ascii="Arial" w:hAnsi="Arial" w:cs="Arial"/>
          <w:sz w:val="22"/>
          <w:szCs w:val="22"/>
        </w:rPr>
        <w:t xml:space="preserve"> cases will be identified by oncologist co-investigators </w:t>
      </w:r>
      <w:r w:rsidRPr="003B14B6">
        <w:rPr>
          <w:rFonts w:ascii="Arial" w:hAnsi="Arial" w:cs="Arial"/>
          <w:sz w:val="22"/>
          <w:szCs w:val="22"/>
        </w:rPr>
        <w:t xml:space="preserve">at either site </w:t>
      </w:r>
      <w:r w:rsidR="00CA7FED" w:rsidRPr="003B14B6">
        <w:rPr>
          <w:rFonts w:ascii="Arial" w:hAnsi="Arial" w:cs="Arial"/>
          <w:sz w:val="22"/>
          <w:szCs w:val="22"/>
        </w:rPr>
        <w:t xml:space="preserve">in the course of </w:t>
      </w:r>
      <w:r w:rsidR="002977BC" w:rsidRPr="003B14B6">
        <w:rPr>
          <w:rFonts w:ascii="Arial" w:hAnsi="Arial" w:cs="Arial"/>
          <w:sz w:val="22"/>
          <w:szCs w:val="22"/>
        </w:rPr>
        <w:t xml:space="preserve">clinical practice.  </w:t>
      </w:r>
      <w:r w:rsidR="00D80ED0" w:rsidRPr="003B14B6">
        <w:rPr>
          <w:rFonts w:ascii="Arial" w:hAnsi="Arial" w:cs="Arial"/>
          <w:sz w:val="22"/>
          <w:szCs w:val="22"/>
        </w:rPr>
        <w:t xml:space="preserve">Research coordinators </w:t>
      </w:r>
      <w:proofErr w:type="gramStart"/>
      <w:r w:rsidR="00D80ED0" w:rsidRPr="003B14B6">
        <w:rPr>
          <w:rFonts w:ascii="Arial" w:hAnsi="Arial" w:cs="Arial"/>
          <w:sz w:val="22"/>
          <w:szCs w:val="22"/>
        </w:rPr>
        <w:t>will be alerted</w:t>
      </w:r>
      <w:proofErr w:type="gramEnd"/>
      <w:r w:rsidR="00D80ED0" w:rsidRPr="003B14B6">
        <w:rPr>
          <w:rFonts w:ascii="Arial" w:hAnsi="Arial" w:cs="Arial"/>
          <w:sz w:val="22"/>
          <w:szCs w:val="22"/>
        </w:rPr>
        <w:t xml:space="preserve"> to approach the patient for obtainment of informed consent and enrollment.  </w:t>
      </w:r>
    </w:p>
    <w:p w:rsidR="001459AC" w:rsidRPr="00674363" w:rsidRDefault="00CE7ED9" w:rsidP="00674363">
      <w:pPr>
        <w:spacing w:before="120"/>
        <w:rPr>
          <w:rFonts w:ascii="Arial" w:hAnsi="Arial" w:cs="Arial"/>
          <w:b/>
          <w:i/>
          <w:sz w:val="22"/>
          <w:szCs w:val="22"/>
        </w:rPr>
      </w:pPr>
      <w:r w:rsidRPr="003B14B6">
        <w:rPr>
          <w:rFonts w:ascii="Arial" w:hAnsi="Arial" w:cs="Arial"/>
          <w:b/>
          <w:i/>
          <w:sz w:val="22"/>
          <w:szCs w:val="22"/>
        </w:rPr>
        <w:t>Controls</w:t>
      </w:r>
      <w:r w:rsidR="00147B14">
        <w:rPr>
          <w:rFonts w:ascii="Arial" w:hAnsi="Arial" w:cs="Arial"/>
          <w:b/>
          <w:i/>
          <w:sz w:val="22"/>
          <w:szCs w:val="22"/>
        </w:rPr>
        <w:t xml:space="preserve"> (n=10/institution)</w:t>
      </w:r>
      <w:r w:rsidR="00674363">
        <w:rPr>
          <w:rFonts w:ascii="Arial" w:hAnsi="Arial" w:cs="Arial"/>
          <w:b/>
          <w:i/>
          <w:sz w:val="22"/>
          <w:szCs w:val="22"/>
        </w:rPr>
        <w:t xml:space="preserve">:  </w:t>
      </w:r>
      <w:r w:rsidRPr="003B14B6">
        <w:rPr>
          <w:rFonts w:ascii="Arial" w:hAnsi="Arial" w:cs="Arial"/>
          <w:sz w:val="22"/>
          <w:szCs w:val="22"/>
        </w:rPr>
        <w:t xml:space="preserve">At MCHS, potential controls </w:t>
      </w:r>
      <w:proofErr w:type="gramStart"/>
      <w:r w:rsidRPr="003B14B6">
        <w:rPr>
          <w:rFonts w:ascii="Arial" w:hAnsi="Arial" w:cs="Arial"/>
          <w:sz w:val="22"/>
          <w:szCs w:val="22"/>
        </w:rPr>
        <w:t>will be identified</w:t>
      </w:r>
      <w:proofErr w:type="gramEnd"/>
      <w:r w:rsidRPr="003B14B6">
        <w:rPr>
          <w:rFonts w:ascii="Arial" w:hAnsi="Arial" w:cs="Arial"/>
          <w:sz w:val="22"/>
          <w:szCs w:val="22"/>
        </w:rPr>
        <w:t xml:space="preserve"> in the primary care setting. Daily appointment rosters of patients scheduled for well checks </w:t>
      </w:r>
      <w:proofErr w:type="gramStart"/>
      <w:r w:rsidRPr="003B14B6">
        <w:rPr>
          <w:rFonts w:ascii="Arial" w:hAnsi="Arial" w:cs="Arial"/>
          <w:sz w:val="22"/>
          <w:szCs w:val="22"/>
        </w:rPr>
        <w:t>will be scanned</w:t>
      </w:r>
      <w:proofErr w:type="gramEnd"/>
      <w:r w:rsidRPr="003B14B6">
        <w:rPr>
          <w:rFonts w:ascii="Arial" w:hAnsi="Arial" w:cs="Arial"/>
          <w:sz w:val="22"/>
          <w:szCs w:val="22"/>
        </w:rPr>
        <w:t xml:space="preserve"> and patients who represent potential matches for enrolled cases based on</w:t>
      </w:r>
      <w:r w:rsidR="001459AC" w:rsidRPr="003B14B6">
        <w:rPr>
          <w:rFonts w:ascii="Arial" w:hAnsi="Arial" w:cs="Arial"/>
          <w:sz w:val="22"/>
          <w:szCs w:val="22"/>
        </w:rPr>
        <w:t>:</w:t>
      </w:r>
      <w:r w:rsidRPr="003B14B6">
        <w:rPr>
          <w:rFonts w:ascii="Arial" w:hAnsi="Arial" w:cs="Arial"/>
          <w:sz w:val="22"/>
          <w:szCs w:val="22"/>
        </w:rPr>
        <w:t xml:space="preserve"> </w:t>
      </w:r>
      <w:r w:rsidR="001459AC" w:rsidRPr="003B14B6">
        <w:rPr>
          <w:rFonts w:ascii="Arial" w:hAnsi="Arial" w:cs="Arial"/>
          <w:sz w:val="22"/>
          <w:szCs w:val="22"/>
        </w:rPr>
        <w:t xml:space="preserve">no current or past history of cancer diagnoses, </w:t>
      </w:r>
      <w:r w:rsidRPr="003B14B6">
        <w:rPr>
          <w:rFonts w:ascii="Arial" w:hAnsi="Arial" w:cs="Arial"/>
          <w:sz w:val="22"/>
          <w:szCs w:val="22"/>
        </w:rPr>
        <w:t>sex, age range (+/</w:t>
      </w:r>
      <w:r w:rsidR="001459AC" w:rsidRPr="003B14B6">
        <w:rPr>
          <w:rFonts w:ascii="Arial" w:hAnsi="Arial" w:cs="Arial"/>
          <w:sz w:val="22"/>
          <w:szCs w:val="22"/>
        </w:rPr>
        <w:t>- 5 years) and smoking status</w:t>
      </w:r>
      <w:r w:rsidR="00F031E3" w:rsidRPr="003B14B6">
        <w:rPr>
          <w:rFonts w:ascii="Arial" w:hAnsi="Arial" w:cs="Arial"/>
          <w:sz w:val="22"/>
          <w:szCs w:val="22"/>
        </w:rPr>
        <w:t xml:space="preserve"> (as defined for cases)</w:t>
      </w:r>
      <w:r w:rsidR="001459AC" w:rsidRPr="003B14B6">
        <w:rPr>
          <w:rFonts w:ascii="Arial" w:hAnsi="Arial" w:cs="Arial"/>
          <w:sz w:val="22"/>
          <w:szCs w:val="22"/>
        </w:rPr>
        <w:t xml:space="preserve">.  Research coordinators will approach the patients for interest in study enrollment.  Informed consent </w:t>
      </w:r>
      <w:proofErr w:type="gramStart"/>
      <w:r w:rsidR="001459AC" w:rsidRPr="003B14B6">
        <w:rPr>
          <w:rFonts w:ascii="Arial" w:hAnsi="Arial" w:cs="Arial"/>
          <w:sz w:val="22"/>
          <w:szCs w:val="22"/>
        </w:rPr>
        <w:t>will be obtained</w:t>
      </w:r>
      <w:proofErr w:type="gramEnd"/>
      <w:r w:rsidR="001459AC" w:rsidRPr="003B14B6">
        <w:rPr>
          <w:rFonts w:ascii="Arial" w:hAnsi="Arial" w:cs="Arial"/>
          <w:sz w:val="22"/>
          <w:szCs w:val="22"/>
        </w:rPr>
        <w:t xml:space="preserve"> from patients indicating interest in participation following verification that the potential subject has no prior history of cancer or cancer treatment. </w:t>
      </w:r>
      <w:r w:rsidR="00F031E3" w:rsidRPr="003B14B6">
        <w:rPr>
          <w:rFonts w:ascii="Arial" w:hAnsi="Arial" w:cs="Arial"/>
          <w:sz w:val="22"/>
          <w:szCs w:val="22"/>
        </w:rPr>
        <w:t xml:space="preserve">Alcohol exposure history (frequency and rate of consumption) </w:t>
      </w:r>
      <w:proofErr w:type="gramStart"/>
      <w:r w:rsidR="00F031E3" w:rsidRPr="003B14B6">
        <w:rPr>
          <w:rFonts w:ascii="Arial" w:hAnsi="Arial" w:cs="Arial"/>
          <w:sz w:val="22"/>
          <w:szCs w:val="22"/>
        </w:rPr>
        <w:t>will also be documented</w:t>
      </w:r>
      <w:proofErr w:type="gramEnd"/>
      <w:r w:rsidR="00F031E3" w:rsidRPr="003B14B6">
        <w:rPr>
          <w:rFonts w:ascii="Arial" w:hAnsi="Arial" w:cs="Arial"/>
          <w:sz w:val="22"/>
          <w:szCs w:val="22"/>
        </w:rPr>
        <w:t xml:space="preserve"> for controls</w:t>
      </w:r>
      <w:r w:rsidR="003B14B6">
        <w:rPr>
          <w:rFonts w:ascii="Arial" w:hAnsi="Arial" w:cs="Arial"/>
          <w:sz w:val="22"/>
          <w:szCs w:val="22"/>
        </w:rPr>
        <w:t xml:space="preserve">.  Controls enrolled at UW Madison </w:t>
      </w:r>
      <w:proofErr w:type="gramStart"/>
      <w:r w:rsidR="003B14B6">
        <w:rPr>
          <w:rFonts w:ascii="Arial" w:hAnsi="Arial" w:cs="Arial"/>
          <w:sz w:val="22"/>
          <w:szCs w:val="22"/>
        </w:rPr>
        <w:t>will be sought</w:t>
      </w:r>
      <w:proofErr w:type="gramEnd"/>
      <w:r w:rsidR="003B14B6">
        <w:rPr>
          <w:rFonts w:ascii="Arial" w:hAnsi="Arial" w:cs="Arial"/>
          <w:sz w:val="22"/>
          <w:szCs w:val="22"/>
        </w:rPr>
        <w:t xml:space="preserve"> among family members or friends of the index case</w:t>
      </w:r>
      <w:r w:rsidR="009B3CB3">
        <w:rPr>
          <w:rFonts w:ascii="Arial" w:hAnsi="Arial" w:cs="Arial"/>
          <w:sz w:val="22"/>
          <w:szCs w:val="22"/>
        </w:rPr>
        <w:t xml:space="preserve"> with matching criteria and data collection applied as described for MCHS subjects</w:t>
      </w:r>
      <w:r w:rsidR="003B14B6">
        <w:rPr>
          <w:rFonts w:ascii="Arial" w:hAnsi="Arial" w:cs="Arial"/>
          <w:sz w:val="22"/>
          <w:szCs w:val="22"/>
        </w:rPr>
        <w:t xml:space="preserve">.    </w:t>
      </w:r>
      <w:r w:rsidR="001459AC" w:rsidRPr="003B14B6">
        <w:rPr>
          <w:rFonts w:ascii="Arial" w:hAnsi="Arial" w:cs="Arial"/>
          <w:sz w:val="22"/>
          <w:szCs w:val="22"/>
        </w:rPr>
        <w:t xml:space="preserve"> </w:t>
      </w:r>
    </w:p>
    <w:p w:rsidR="001D19A1" w:rsidRPr="003B14B6" w:rsidRDefault="001D19A1" w:rsidP="001D19A1">
      <w:pPr>
        <w:spacing w:before="120"/>
        <w:rPr>
          <w:rFonts w:ascii="Arial" w:hAnsi="Arial" w:cs="Arial"/>
          <w:i/>
          <w:sz w:val="22"/>
          <w:szCs w:val="22"/>
        </w:rPr>
      </w:pPr>
      <w:r w:rsidRPr="001D19A1">
        <w:rPr>
          <w:rFonts w:ascii="Arial" w:hAnsi="Arial" w:cs="Arial"/>
          <w:b/>
          <w:i/>
          <w:sz w:val="22"/>
          <w:szCs w:val="22"/>
        </w:rPr>
        <w:t xml:space="preserve">Data </w:t>
      </w:r>
      <w:r>
        <w:rPr>
          <w:rFonts w:ascii="Arial" w:hAnsi="Arial" w:cs="Arial"/>
          <w:b/>
          <w:i/>
          <w:sz w:val="22"/>
          <w:szCs w:val="22"/>
        </w:rPr>
        <w:t>(cases and controls)</w:t>
      </w:r>
      <w:r w:rsidRPr="003B14B6">
        <w:rPr>
          <w:rFonts w:ascii="Arial" w:hAnsi="Arial" w:cs="Arial"/>
          <w:i/>
          <w:sz w:val="22"/>
          <w:szCs w:val="22"/>
        </w:rPr>
        <w:t xml:space="preserve">:  </w:t>
      </w:r>
      <w:r>
        <w:rPr>
          <w:rFonts w:ascii="Arial" w:hAnsi="Arial" w:cs="Arial"/>
          <w:sz w:val="22"/>
          <w:szCs w:val="22"/>
        </w:rPr>
        <w:t>S</w:t>
      </w:r>
      <w:r w:rsidRPr="003B14B6">
        <w:rPr>
          <w:rFonts w:ascii="Arial" w:hAnsi="Arial" w:cs="Arial"/>
          <w:sz w:val="22"/>
          <w:szCs w:val="22"/>
        </w:rPr>
        <w:t xml:space="preserve">moking status (current, former, </w:t>
      </w:r>
      <w:proofErr w:type="spellStart"/>
      <w:r w:rsidRPr="003B14B6">
        <w:rPr>
          <w:rFonts w:ascii="Arial" w:hAnsi="Arial" w:cs="Arial"/>
          <w:sz w:val="22"/>
          <w:szCs w:val="22"/>
        </w:rPr>
        <w:t>non smoker</w:t>
      </w:r>
      <w:proofErr w:type="spellEnd"/>
      <w:r w:rsidRPr="003B14B6">
        <w:rPr>
          <w:rFonts w:ascii="Arial" w:hAnsi="Arial" w:cs="Arial"/>
          <w:sz w:val="22"/>
          <w:szCs w:val="22"/>
        </w:rPr>
        <w:t xml:space="preserve">), alcohol use: </w:t>
      </w:r>
      <w:r>
        <w:rPr>
          <w:rFonts w:ascii="Arial" w:hAnsi="Arial" w:cs="Arial"/>
          <w:sz w:val="22"/>
          <w:szCs w:val="22"/>
        </w:rPr>
        <w:t>(</w:t>
      </w:r>
      <w:r w:rsidRPr="003B14B6">
        <w:rPr>
          <w:rFonts w:ascii="Arial" w:hAnsi="Arial" w:cs="Arial"/>
          <w:sz w:val="22"/>
          <w:szCs w:val="22"/>
        </w:rPr>
        <w:t xml:space="preserve">frequency </w:t>
      </w:r>
      <w:r>
        <w:rPr>
          <w:rFonts w:ascii="Arial" w:hAnsi="Arial" w:cs="Arial"/>
          <w:sz w:val="22"/>
          <w:szCs w:val="22"/>
        </w:rPr>
        <w:t xml:space="preserve">(daily/occasional) </w:t>
      </w:r>
      <w:r w:rsidRPr="003B14B6">
        <w:rPr>
          <w:rFonts w:ascii="Arial" w:hAnsi="Arial" w:cs="Arial"/>
          <w:sz w:val="22"/>
          <w:szCs w:val="22"/>
        </w:rPr>
        <w:t xml:space="preserve">and </w:t>
      </w:r>
      <w:r>
        <w:rPr>
          <w:rFonts w:ascii="Arial" w:hAnsi="Arial" w:cs="Arial"/>
          <w:sz w:val="22"/>
          <w:szCs w:val="22"/>
        </w:rPr>
        <w:t>quantity/exposure)</w:t>
      </w:r>
      <w:r w:rsidRPr="003B14B6">
        <w:rPr>
          <w:rFonts w:ascii="Arial" w:hAnsi="Arial" w:cs="Arial"/>
          <w:sz w:val="22"/>
          <w:szCs w:val="22"/>
        </w:rPr>
        <w:t xml:space="preserve">, HPV immunization status, age, </w:t>
      </w:r>
      <w:r>
        <w:rPr>
          <w:rFonts w:ascii="Arial" w:hAnsi="Arial" w:cs="Arial"/>
          <w:sz w:val="22"/>
          <w:szCs w:val="22"/>
        </w:rPr>
        <w:t>sex</w:t>
      </w:r>
      <w:r w:rsidRPr="003B14B6">
        <w:rPr>
          <w:rFonts w:ascii="Arial" w:hAnsi="Arial" w:cs="Arial"/>
          <w:sz w:val="22"/>
          <w:szCs w:val="22"/>
        </w:rPr>
        <w:t>, diagnos</w:t>
      </w:r>
      <w:r>
        <w:rPr>
          <w:rFonts w:ascii="Arial" w:hAnsi="Arial" w:cs="Arial"/>
          <w:sz w:val="22"/>
          <w:szCs w:val="22"/>
        </w:rPr>
        <w:t>tic code,</w:t>
      </w:r>
      <w:r w:rsidRPr="003B14B6">
        <w:rPr>
          <w:rFonts w:ascii="Arial" w:hAnsi="Arial" w:cs="Arial"/>
          <w:sz w:val="22"/>
          <w:szCs w:val="22"/>
        </w:rPr>
        <w:t xml:space="preserve"> stage, tumor site, tumor characteristics </w:t>
      </w:r>
      <w:r>
        <w:rPr>
          <w:rFonts w:ascii="Arial" w:hAnsi="Arial" w:cs="Arial"/>
          <w:sz w:val="22"/>
          <w:szCs w:val="22"/>
        </w:rPr>
        <w:t xml:space="preserve">documented by a </w:t>
      </w:r>
      <w:r w:rsidRPr="003B14B6">
        <w:rPr>
          <w:rFonts w:ascii="Arial" w:hAnsi="Arial" w:cs="Arial"/>
          <w:sz w:val="22"/>
          <w:szCs w:val="22"/>
        </w:rPr>
        <w:t>pathologist</w:t>
      </w:r>
      <w:r>
        <w:rPr>
          <w:rFonts w:ascii="Arial" w:hAnsi="Arial" w:cs="Arial"/>
          <w:sz w:val="22"/>
          <w:szCs w:val="22"/>
        </w:rPr>
        <w:t>,</w:t>
      </w:r>
      <w:r w:rsidRPr="003B14B6">
        <w:rPr>
          <w:rFonts w:ascii="Arial" w:hAnsi="Arial" w:cs="Arial"/>
          <w:sz w:val="22"/>
          <w:szCs w:val="22"/>
        </w:rPr>
        <w:t xml:space="preserve"> and </w:t>
      </w:r>
      <w:r>
        <w:rPr>
          <w:rFonts w:ascii="Arial" w:hAnsi="Arial" w:cs="Arial"/>
          <w:sz w:val="22"/>
          <w:szCs w:val="22"/>
        </w:rPr>
        <w:t xml:space="preserve">confirmation of </w:t>
      </w:r>
      <w:r w:rsidRPr="003B14B6">
        <w:rPr>
          <w:rFonts w:ascii="Arial" w:hAnsi="Arial" w:cs="Arial"/>
          <w:sz w:val="22"/>
          <w:szCs w:val="22"/>
        </w:rPr>
        <w:t xml:space="preserve">no prior history of cancer or treatment in association with newly diagnosed cancer.  </w:t>
      </w:r>
    </w:p>
    <w:p w:rsidR="00183D76" w:rsidRPr="003B14B6" w:rsidRDefault="00183D76" w:rsidP="009B3CB3">
      <w:pPr>
        <w:spacing w:before="120"/>
        <w:rPr>
          <w:rFonts w:ascii="Arial" w:hAnsi="Arial" w:cs="Arial"/>
          <w:sz w:val="22"/>
          <w:szCs w:val="22"/>
        </w:rPr>
      </w:pPr>
      <w:r w:rsidRPr="002675C2">
        <w:rPr>
          <w:rFonts w:ascii="Arial" w:hAnsi="Arial" w:cs="Arial"/>
          <w:b/>
          <w:i/>
          <w:sz w:val="22"/>
          <w:szCs w:val="22"/>
        </w:rPr>
        <w:t>Specimen collection</w:t>
      </w:r>
      <w:r w:rsidR="00F031E3" w:rsidRPr="002675C2">
        <w:rPr>
          <w:rFonts w:ascii="Arial" w:hAnsi="Arial" w:cs="Arial"/>
          <w:b/>
          <w:i/>
          <w:sz w:val="22"/>
          <w:szCs w:val="22"/>
        </w:rPr>
        <w:t xml:space="preserve"> for case and controls</w:t>
      </w:r>
      <w:r w:rsidRPr="002675C2">
        <w:rPr>
          <w:rFonts w:ascii="Arial" w:hAnsi="Arial" w:cs="Arial"/>
          <w:i/>
          <w:sz w:val="22"/>
          <w:szCs w:val="22"/>
        </w:rPr>
        <w:t xml:space="preserve">: </w:t>
      </w:r>
      <w:r w:rsidRPr="003B14B6">
        <w:rPr>
          <w:rFonts w:ascii="Arial" w:hAnsi="Arial" w:cs="Arial"/>
          <w:sz w:val="22"/>
          <w:szCs w:val="22"/>
        </w:rPr>
        <w:t xml:space="preserve"> </w:t>
      </w:r>
      <w:r w:rsidR="00CE7ED9" w:rsidRPr="003B14B6">
        <w:rPr>
          <w:rFonts w:ascii="Arial" w:hAnsi="Arial" w:cs="Arial"/>
          <w:sz w:val="22"/>
          <w:szCs w:val="22"/>
        </w:rPr>
        <w:t>Cases and controls</w:t>
      </w:r>
      <w:r w:rsidR="00CA7FED" w:rsidRPr="003B14B6">
        <w:rPr>
          <w:rFonts w:ascii="Arial" w:hAnsi="Arial" w:cs="Arial"/>
          <w:sz w:val="22"/>
          <w:szCs w:val="22"/>
        </w:rPr>
        <w:t xml:space="preserve"> will be requested to donate 2 ml of saliva collected using </w:t>
      </w:r>
      <w:r w:rsidRPr="003B14B6">
        <w:rPr>
          <w:rFonts w:ascii="Arial" w:hAnsi="Arial" w:cs="Arial"/>
          <w:sz w:val="22"/>
          <w:szCs w:val="22"/>
        </w:rPr>
        <w:t xml:space="preserve">Pure-Sal Saliva Purification Kit for Liquid Biopsy collection (Oasis Diagnostics) compatible with collection of salivary specimens for cfDNA analysis.  </w:t>
      </w:r>
      <w:r w:rsidR="00D27BC2" w:rsidRPr="003B14B6">
        <w:rPr>
          <w:rFonts w:ascii="Arial" w:hAnsi="Arial" w:cs="Arial"/>
          <w:sz w:val="22"/>
          <w:szCs w:val="22"/>
        </w:rPr>
        <w:t xml:space="preserve">Saliva </w:t>
      </w:r>
      <w:proofErr w:type="gramStart"/>
      <w:r w:rsidR="00D27BC2" w:rsidRPr="003B14B6">
        <w:rPr>
          <w:rFonts w:ascii="Arial" w:hAnsi="Arial" w:cs="Arial"/>
          <w:sz w:val="22"/>
          <w:szCs w:val="22"/>
        </w:rPr>
        <w:t xml:space="preserve">is collected as per manufacturer instructions and </w:t>
      </w:r>
      <w:r w:rsidR="002675C2">
        <w:rPr>
          <w:rFonts w:ascii="Arial" w:hAnsi="Arial" w:cs="Arial"/>
          <w:sz w:val="22"/>
          <w:szCs w:val="22"/>
        </w:rPr>
        <w:t>passed</w:t>
      </w:r>
      <w:r w:rsidR="00D27BC2" w:rsidRPr="003B14B6">
        <w:rPr>
          <w:rFonts w:ascii="Arial" w:hAnsi="Arial" w:cs="Arial"/>
          <w:sz w:val="22"/>
          <w:szCs w:val="22"/>
        </w:rPr>
        <w:t xml:space="preserve"> through a built in filter in the collection cartridge for capture in Eppendorf tubes prior to storage at -80˚C</w:t>
      </w:r>
      <w:proofErr w:type="gramEnd"/>
      <w:r w:rsidR="00D27BC2" w:rsidRPr="003B14B6">
        <w:rPr>
          <w:rFonts w:ascii="Arial" w:hAnsi="Arial" w:cs="Arial"/>
          <w:sz w:val="22"/>
          <w:szCs w:val="22"/>
        </w:rPr>
        <w:t xml:space="preserve">.  Specimens </w:t>
      </w:r>
      <w:proofErr w:type="gramStart"/>
      <w:r w:rsidR="00D27BC2" w:rsidRPr="003B14B6">
        <w:rPr>
          <w:rFonts w:ascii="Arial" w:hAnsi="Arial" w:cs="Arial"/>
          <w:sz w:val="22"/>
          <w:szCs w:val="22"/>
        </w:rPr>
        <w:t>will be batched</w:t>
      </w:r>
      <w:proofErr w:type="gramEnd"/>
      <w:r w:rsidR="00D27BC2" w:rsidRPr="003B14B6">
        <w:rPr>
          <w:rFonts w:ascii="Arial" w:hAnsi="Arial" w:cs="Arial"/>
          <w:sz w:val="22"/>
          <w:szCs w:val="22"/>
        </w:rPr>
        <w:t xml:space="preserve"> for testing in month 4 and 8. </w:t>
      </w:r>
      <w:r w:rsidR="008C0A37" w:rsidRPr="003B14B6">
        <w:rPr>
          <w:rFonts w:ascii="Arial" w:hAnsi="Arial" w:cs="Arial"/>
          <w:sz w:val="22"/>
          <w:szCs w:val="22"/>
        </w:rPr>
        <w:t xml:space="preserve"> </w:t>
      </w:r>
      <w:r w:rsidR="008C0A37" w:rsidRPr="003B14B6">
        <w:rPr>
          <w:rFonts w:ascii="Arial" w:hAnsi="Arial" w:cs="Arial"/>
          <w:sz w:val="22"/>
          <w:szCs w:val="22"/>
        </w:rPr>
        <w:t xml:space="preserve">Patients </w:t>
      </w:r>
      <w:proofErr w:type="gramStart"/>
      <w:r w:rsidR="008C0A37" w:rsidRPr="003B14B6">
        <w:rPr>
          <w:rFonts w:ascii="Arial" w:hAnsi="Arial" w:cs="Arial"/>
          <w:sz w:val="22"/>
          <w:szCs w:val="22"/>
        </w:rPr>
        <w:t>will be requested</w:t>
      </w:r>
      <w:proofErr w:type="gramEnd"/>
      <w:r w:rsidR="008C0A37" w:rsidRPr="003B14B6">
        <w:rPr>
          <w:rFonts w:ascii="Arial" w:hAnsi="Arial" w:cs="Arial"/>
          <w:sz w:val="22"/>
          <w:szCs w:val="22"/>
        </w:rPr>
        <w:t xml:space="preserve"> to donate 2ml of blood collected into EDTA</w:t>
      </w:r>
      <w:r w:rsidR="008C0A37" w:rsidRPr="003B14B6">
        <w:rPr>
          <w:rFonts w:ascii="Arial" w:hAnsi="Arial" w:cs="Arial"/>
          <w:sz w:val="22"/>
          <w:szCs w:val="22"/>
        </w:rPr>
        <w:t xml:space="preserve">. </w:t>
      </w:r>
      <w:r w:rsidR="008C0A37" w:rsidRPr="003B14B6">
        <w:rPr>
          <w:rFonts w:ascii="Arial" w:hAnsi="Arial" w:cs="Arial"/>
          <w:sz w:val="22"/>
          <w:szCs w:val="22"/>
        </w:rPr>
        <w:t>Briefly, blood is stored at 4˚C and processed within two hours by centrifugation at 800xg for 10 minutes at 4˚</w:t>
      </w:r>
      <w:r w:rsidR="0082493D" w:rsidRPr="003B14B6">
        <w:rPr>
          <w:rFonts w:ascii="Arial" w:hAnsi="Arial" w:cs="Arial"/>
          <w:sz w:val="22"/>
          <w:szCs w:val="22"/>
        </w:rPr>
        <w:t>C. P</w:t>
      </w:r>
      <w:r w:rsidR="008C0A37" w:rsidRPr="003B14B6">
        <w:rPr>
          <w:rFonts w:ascii="Arial" w:hAnsi="Arial" w:cs="Arial"/>
          <w:sz w:val="22"/>
          <w:szCs w:val="22"/>
        </w:rPr>
        <w:t xml:space="preserve">lasma is separated and re-centrifuged at </w:t>
      </w:r>
      <w:proofErr w:type="gramStart"/>
      <w:r w:rsidR="008C0A37" w:rsidRPr="003B14B6">
        <w:rPr>
          <w:rFonts w:ascii="Arial" w:hAnsi="Arial" w:cs="Arial"/>
          <w:sz w:val="22"/>
          <w:szCs w:val="22"/>
        </w:rPr>
        <w:t>18,000</w:t>
      </w:r>
      <w:r w:rsidR="00660640">
        <w:rPr>
          <w:rFonts w:ascii="Arial" w:hAnsi="Arial" w:cs="Arial"/>
          <w:sz w:val="22"/>
          <w:szCs w:val="22"/>
        </w:rPr>
        <w:t xml:space="preserve"> </w:t>
      </w:r>
      <w:r w:rsidR="008C0A37" w:rsidRPr="003B14B6">
        <w:rPr>
          <w:rFonts w:ascii="Arial" w:hAnsi="Arial" w:cs="Arial"/>
          <w:sz w:val="22"/>
          <w:szCs w:val="22"/>
        </w:rPr>
        <w:t>x</w:t>
      </w:r>
      <w:proofErr w:type="gramEnd"/>
      <w:r w:rsidR="00660640">
        <w:rPr>
          <w:rFonts w:ascii="Arial" w:hAnsi="Arial" w:cs="Arial"/>
          <w:sz w:val="22"/>
          <w:szCs w:val="22"/>
        </w:rPr>
        <w:t xml:space="preserve"> </w:t>
      </w:r>
      <w:r w:rsidR="008C0A37" w:rsidRPr="003B14B6">
        <w:rPr>
          <w:rFonts w:ascii="Arial" w:hAnsi="Arial" w:cs="Arial"/>
          <w:sz w:val="22"/>
          <w:szCs w:val="22"/>
        </w:rPr>
        <w:t xml:space="preserve">g at </w:t>
      </w:r>
      <w:r w:rsidR="0082493D" w:rsidRPr="003B14B6">
        <w:rPr>
          <w:rFonts w:ascii="Arial" w:hAnsi="Arial" w:cs="Arial"/>
          <w:sz w:val="22"/>
          <w:szCs w:val="22"/>
        </w:rPr>
        <w:t>4˚C</w:t>
      </w:r>
      <w:r w:rsidR="008C0A37" w:rsidRPr="003B14B6">
        <w:rPr>
          <w:rFonts w:ascii="Arial" w:hAnsi="Arial" w:cs="Arial"/>
          <w:sz w:val="22"/>
          <w:szCs w:val="22"/>
        </w:rPr>
        <w:t xml:space="preserve"> for an additional 1</w:t>
      </w:r>
      <w:r w:rsidR="00103843" w:rsidRPr="003B14B6">
        <w:rPr>
          <w:rFonts w:ascii="Arial" w:hAnsi="Arial" w:cs="Arial"/>
          <w:sz w:val="22"/>
          <w:szCs w:val="22"/>
        </w:rPr>
        <w:t>5</w:t>
      </w:r>
      <w:r w:rsidR="008C0A37" w:rsidRPr="003B14B6">
        <w:rPr>
          <w:rFonts w:ascii="Arial" w:hAnsi="Arial" w:cs="Arial"/>
          <w:sz w:val="22"/>
          <w:szCs w:val="22"/>
        </w:rPr>
        <w:t xml:space="preserve"> minutes</w:t>
      </w:r>
      <w:r w:rsidR="008C0A37" w:rsidRPr="003B14B6">
        <w:rPr>
          <w:rFonts w:ascii="Arial" w:hAnsi="Arial" w:cs="Arial"/>
          <w:sz w:val="22"/>
          <w:szCs w:val="22"/>
        </w:rPr>
        <w:t xml:space="preserve"> prior to storage at -80˚C</w:t>
      </w:r>
      <w:r w:rsidR="00103843" w:rsidRPr="003B14B6">
        <w:rPr>
          <w:rFonts w:ascii="Arial" w:hAnsi="Arial" w:cs="Arial"/>
          <w:sz w:val="22"/>
          <w:szCs w:val="22"/>
        </w:rPr>
        <w:t xml:space="preserve"> to ensure </w:t>
      </w:r>
      <w:r w:rsidR="00660640">
        <w:rPr>
          <w:rFonts w:ascii="Arial" w:hAnsi="Arial" w:cs="Arial"/>
          <w:sz w:val="22"/>
          <w:szCs w:val="22"/>
        </w:rPr>
        <w:t>clearance of</w:t>
      </w:r>
      <w:r w:rsidR="00103843" w:rsidRPr="003B14B6">
        <w:rPr>
          <w:rFonts w:ascii="Arial" w:hAnsi="Arial" w:cs="Arial"/>
          <w:sz w:val="22"/>
          <w:szCs w:val="22"/>
        </w:rPr>
        <w:t xml:space="preserve"> cellular debris</w:t>
      </w:r>
      <w:r w:rsidR="008C0A37" w:rsidRPr="003B14B6">
        <w:rPr>
          <w:rFonts w:ascii="Arial" w:hAnsi="Arial" w:cs="Arial"/>
          <w:sz w:val="22"/>
          <w:szCs w:val="22"/>
        </w:rPr>
        <w:t>.</w:t>
      </w:r>
      <w:r w:rsidR="008C0A37" w:rsidRPr="003B14B6">
        <w:rPr>
          <w:rFonts w:ascii="Arial" w:hAnsi="Arial" w:cs="Arial"/>
          <w:sz w:val="22"/>
          <w:szCs w:val="22"/>
        </w:rPr>
        <w:t xml:space="preserve">  Approximately 10 cases and controls will have both saliva and blood tested in month 8 to </w:t>
      </w:r>
      <w:r w:rsidR="00660640">
        <w:rPr>
          <w:rFonts w:ascii="Arial" w:hAnsi="Arial" w:cs="Arial"/>
          <w:sz w:val="22"/>
          <w:szCs w:val="22"/>
        </w:rPr>
        <w:t>compare</w:t>
      </w:r>
      <w:r w:rsidR="008C0A37" w:rsidRPr="003B14B6">
        <w:rPr>
          <w:rFonts w:ascii="Arial" w:hAnsi="Arial" w:cs="Arial"/>
          <w:sz w:val="22"/>
          <w:szCs w:val="22"/>
        </w:rPr>
        <w:t xml:space="preserve"> whether cfDNA is detectable in both specimens at early and late stage of OC. </w:t>
      </w:r>
      <w:r w:rsidR="006C1793" w:rsidRPr="003B14B6">
        <w:rPr>
          <w:rFonts w:ascii="Arial" w:hAnsi="Arial" w:cs="Arial"/>
          <w:sz w:val="22"/>
          <w:szCs w:val="22"/>
        </w:rPr>
        <w:t xml:space="preserve">Patients </w:t>
      </w:r>
      <w:proofErr w:type="gramStart"/>
      <w:r w:rsidR="006C1793" w:rsidRPr="003B14B6">
        <w:rPr>
          <w:rFonts w:ascii="Arial" w:hAnsi="Arial" w:cs="Arial"/>
          <w:sz w:val="22"/>
          <w:szCs w:val="22"/>
        </w:rPr>
        <w:t>will be offered</w:t>
      </w:r>
      <w:proofErr w:type="gramEnd"/>
      <w:r w:rsidR="006C1793" w:rsidRPr="003B14B6">
        <w:rPr>
          <w:rFonts w:ascii="Arial" w:hAnsi="Arial" w:cs="Arial"/>
          <w:sz w:val="22"/>
          <w:szCs w:val="22"/>
        </w:rPr>
        <w:t xml:space="preserve"> $25 incentive to compensate them for their time.  </w:t>
      </w:r>
      <w:r w:rsidR="007E2735" w:rsidRPr="003B14B6">
        <w:rPr>
          <w:rFonts w:ascii="Arial" w:hAnsi="Arial" w:cs="Arial"/>
          <w:sz w:val="22"/>
          <w:szCs w:val="22"/>
        </w:rPr>
        <w:t>Residual saliva</w:t>
      </w:r>
      <w:r w:rsidR="004D320C" w:rsidRPr="003B14B6">
        <w:rPr>
          <w:rFonts w:ascii="Arial" w:hAnsi="Arial" w:cs="Arial"/>
          <w:sz w:val="22"/>
          <w:szCs w:val="22"/>
        </w:rPr>
        <w:t xml:space="preserve">ry </w:t>
      </w:r>
      <w:r w:rsidR="006C1793" w:rsidRPr="003B14B6">
        <w:rPr>
          <w:rFonts w:ascii="Arial" w:hAnsi="Arial" w:cs="Arial"/>
          <w:sz w:val="22"/>
          <w:szCs w:val="22"/>
        </w:rPr>
        <w:t xml:space="preserve">and plasma </w:t>
      </w:r>
      <w:r w:rsidR="004D320C" w:rsidRPr="003B14B6">
        <w:rPr>
          <w:rFonts w:ascii="Arial" w:hAnsi="Arial" w:cs="Arial"/>
          <w:sz w:val="22"/>
          <w:szCs w:val="22"/>
        </w:rPr>
        <w:t>specimens</w:t>
      </w:r>
      <w:r w:rsidR="007E2735" w:rsidRPr="003B14B6">
        <w:rPr>
          <w:rFonts w:ascii="Arial" w:hAnsi="Arial" w:cs="Arial"/>
          <w:sz w:val="22"/>
          <w:szCs w:val="22"/>
        </w:rPr>
        <w:t xml:space="preserve"> </w:t>
      </w:r>
      <w:r w:rsidR="004D320C" w:rsidRPr="003B14B6">
        <w:rPr>
          <w:rFonts w:ascii="Arial" w:hAnsi="Arial" w:cs="Arial"/>
          <w:sz w:val="22"/>
          <w:szCs w:val="22"/>
        </w:rPr>
        <w:t xml:space="preserve">not tested during the study </w:t>
      </w:r>
      <w:proofErr w:type="gramStart"/>
      <w:r w:rsidR="007E2735" w:rsidRPr="003B14B6">
        <w:rPr>
          <w:rFonts w:ascii="Arial" w:hAnsi="Arial" w:cs="Arial"/>
          <w:sz w:val="22"/>
          <w:szCs w:val="22"/>
        </w:rPr>
        <w:t>will be</w:t>
      </w:r>
      <w:r w:rsidR="007E2735" w:rsidRPr="003B14B6">
        <w:rPr>
          <w:rFonts w:ascii="Arial" w:hAnsi="Arial" w:cs="Arial"/>
          <w:sz w:val="22"/>
          <w:szCs w:val="22"/>
        </w:rPr>
        <w:t xml:space="preserve"> banked</w:t>
      </w:r>
      <w:proofErr w:type="gramEnd"/>
      <w:r w:rsidR="007E2735" w:rsidRPr="003B14B6">
        <w:rPr>
          <w:rFonts w:ascii="Arial" w:hAnsi="Arial" w:cs="Arial"/>
          <w:sz w:val="22"/>
          <w:szCs w:val="22"/>
        </w:rPr>
        <w:t xml:space="preserve"> for future studies</w:t>
      </w:r>
      <w:r w:rsidR="006C1793" w:rsidRPr="003B14B6">
        <w:rPr>
          <w:rFonts w:ascii="Arial" w:hAnsi="Arial" w:cs="Arial"/>
          <w:sz w:val="22"/>
          <w:szCs w:val="22"/>
        </w:rPr>
        <w:t xml:space="preserve"> at MCHS</w:t>
      </w:r>
      <w:r w:rsidR="007E2735" w:rsidRPr="003B14B6">
        <w:rPr>
          <w:rFonts w:ascii="Arial" w:hAnsi="Arial" w:cs="Arial"/>
          <w:sz w:val="22"/>
          <w:szCs w:val="22"/>
        </w:rPr>
        <w:t xml:space="preserve">. </w:t>
      </w:r>
    </w:p>
    <w:p w:rsidR="003C524E" w:rsidRPr="003B14B6" w:rsidRDefault="00890B84" w:rsidP="009B3CB3">
      <w:pPr>
        <w:spacing w:before="120"/>
        <w:rPr>
          <w:rFonts w:ascii="Arial" w:hAnsi="Arial" w:cs="Arial"/>
          <w:b/>
          <w:sz w:val="22"/>
          <w:szCs w:val="22"/>
        </w:rPr>
      </w:pPr>
      <w:r w:rsidRPr="003B14B6">
        <w:rPr>
          <w:rFonts w:ascii="Arial" w:hAnsi="Arial" w:cs="Arial"/>
          <w:b/>
          <w:sz w:val="22"/>
          <w:szCs w:val="22"/>
        </w:rPr>
        <w:t>Laboratory-based a</w:t>
      </w:r>
      <w:r w:rsidR="00CE7ED9" w:rsidRPr="003B14B6">
        <w:rPr>
          <w:rFonts w:ascii="Arial" w:hAnsi="Arial" w:cs="Arial"/>
          <w:b/>
          <w:sz w:val="22"/>
          <w:szCs w:val="22"/>
        </w:rPr>
        <w:t>nalysis of saliva</w:t>
      </w:r>
      <w:r w:rsidR="003C524E" w:rsidRPr="003B14B6">
        <w:rPr>
          <w:rFonts w:ascii="Arial" w:hAnsi="Arial" w:cs="Arial"/>
          <w:b/>
          <w:sz w:val="22"/>
          <w:szCs w:val="22"/>
        </w:rPr>
        <w:t>:  assay overview</w:t>
      </w:r>
    </w:p>
    <w:p w:rsidR="003C524E" w:rsidRPr="003B14B6" w:rsidRDefault="003C524E" w:rsidP="003C524E">
      <w:pPr>
        <w:ind w:firstLine="720"/>
        <w:rPr>
          <w:rFonts w:ascii="Arial" w:hAnsi="Arial" w:cs="Arial"/>
          <w:sz w:val="22"/>
          <w:szCs w:val="22"/>
        </w:rPr>
      </w:pPr>
      <w:r w:rsidRPr="003B14B6">
        <w:rPr>
          <w:rFonts w:ascii="Arial" w:hAnsi="Arial" w:cs="Arial"/>
          <w:sz w:val="22"/>
          <w:szCs w:val="22"/>
        </w:rPr>
        <w:t>Briefly,</w:t>
      </w:r>
      <w:r w:rsidR="0071785D" w:rsidRPr="003B14B6">
        <w:rPr>
          <w:rFonts w:ascii="Arial" w:hAnsi="Arial" w:cs="Arial"/>
          <w:sz w:val="22"/>
          <w:szCs w:val="22"/>
        </w:rPr>
        <w:t xml:space="preserve"> the rationale supporting this assay assumes that detection of </w:t>
      </w:r>
      <w:r w:rsidR="002C2E90">
        <w:rPr>
          <w:rFonts w:ascii="Arial" w:hAnsi="Arial" w:cs="Arial"/>
          <w:sz w:val="22"/>
          <w:szCs w:val="22"/>
        </w:rPr>
        <w:t>GW</w:t>
      </w:r>
      <w:r w:rsidR="0071785D" w:rsidRPr="003B14B6">
        <w:rPr>
          <w:rFonts w:ascii="Arial" w:hAnsi="Arial" w:cs="Arial"/>
          <w:sz w:val="22"/>
          <w:szCs w:val="22"/>
        </w:rPr>
        <w:t xml:space="preserve"> alterations in association with tumor DNA has greater sensitivity for predicting presence of cancer than detection of a single alteration. </w:t>
      </w:r>
      <w:r w:rsidR="00532F51">
        <w:rPr>
          <w:rFonts w:ascii="Arial" w:hAnsi="Arial" w:cs="Arial"/>
          <w:sz w:val="22"/>
          <w:szCs w:val="22"/>
        </w:rPr>
        <w:t xml:space="preserve">For the proposed </w:t>
      </w:r>
      <w:r w:rsidR="0071785D" w:rsidRPr="003B14B6">
        <w:rPr>
          <w:rFonts w:ascii="Arial" w:hAnsi="Arial" w:cs="Arial"/>
          <w:sz w:val="22"/>
          <w:szCs w:val="22"/>
        </w:rPr>
        <w:t xml:space="preserve">analysis, </w:t>
      </w:r>
      <w:r w:rsidRPr="003B14B6">
        <w:rPr>
          <w:rFonts w:ascii="Arial" w:hAnsi="Arial" w:cs="Arial"/>
          <w:sz w:val="22"/>
          <w:szCs w:val="22"/>
        </w:rPr>
        <w:t xml:space="preserve">cfDNA </w:t>
      </w:r>
      <w:proofErr w:type="gramStart"/>
      <w:r w:rsidRPr="003B14B6">
        <w:rPr>
          <w:rFonts w:ascii="Arial" w:hAnsi="Arial" w:cs="Arial"/>
          <w:sz w:val="22"/>
          <w:szCs w:val="22"/>
        </w:rPr>
        <w:t>is subjected</w:t>
      </w:r>
      <w:proofErr w:type="gramEnd"/>
      <w:r w:rsidRPr="003B14B6">
        <w:rPr>
          <w:rFonts w:ascii="Arial" w:hAnsi="Arial" w:cs="Arial"/>
          <w:sz w:val="22"/>
          <w:szCs w:val="22"/>
        </w:rPr>
        <w:t xml:space="preserve"> to fragmentation</w:t>
      </w:r>
      <w:r w:rsidR="0071785D" w:rsidRPr="003B14B6">
        <w:rPr>
          <w:rFonts w:ascii="Arial" w:hAnsi="Arial" w:cs="Arial"/>
          <w:sz w:val="22"/>
          <w:szCs w:val="22"/>
        </w:rPr>
        <w:t xml:space="preserve"> in order to profile </w:t>
      </w:r>
      <w:r w:rsidR="00532F51">
        <w:rPr>
          <w:rFonts w:ascii="Arial" w:hAnsi="Arial" w:cs="Arial"/>
          <w:sz w:val="22"/>
          <w:szCs w:val="22"/>
        </w:rPr>
        <w:t xml:space="preserve">GW </w:t>
      </w:r>
      <w:r w:rsidR="0071785D" w:rsidRPr="003B14B6">
        <w:rPr>
          <w:rFonts w:ascii="Arial" w:hAnsi="Arial" w:cs="Arial"/>
          <w:sz w:val="22"/>
          <w:szCs w:val="22"/>
        </w:rPr>
        <w:t>alterations in individuals with cancer compared to profiles from healthy individuals</w:t>
      </w:r>
      <w:r w:rsidRPr="003B14B6">
        <w:rPr>
          <w:rFonts w:ascii="Arial" w:hAnsi="Arial" w:cs="Arial"/>
          <w:sz w:val="22"/>
          <w:szCs w:val="22"/>
        </w:rPr>
        <w:t xml:space="preserve">.  Fragments of cfDNA originating from tumors </w:t>
      </w:r>
      <w:proofErr w:type="gramStart"/>
      <w:r w:rsidRPr="003B14B6">
        <w:rPr>
          <w:rFonts w:ascii="Arial" w:hAnsi="Arial" w:cs="Arial"/>
          <w:sz w:val="22"/>
          <w:szCs w:val="22"/>
        </w:rPr>
        <w:t>were generally shown</w:t>
      </w:r>
      <w:proofErr w:type="gramEnd"/>
      <w:r w:rsidRPr="003B14B6">
        <w:rPr>
          <w:rFonts w:ascii="Arial" w:hAnsi="Arial" w:cs="Arial"/>
          <w:sz w:val="22"/>
          <w:szCs w:val="22"/>
        </w:rPr>
        <w:t xml:space="preserve"> to have more variability in length, </w:t>
      </w:r>
      <w:r w:rsidR="00DE3698" w:rsidRPr="003B14B6">
        <w:rPr>
          <w:rFonts w:ascii="Arial" w:hAnsi="Arial" w:cs="Arial"/>
          <w:sz w:val="22"/>
          <w:szCs w:val="22"/>
        </w:rPr>
        <w:t xml:space="preserve">with short to long cfDNA fragment profiles typically favoring </w:t>
      </w:r>
      <w:r w:rsidR="00051F97" w:rsidRPr="003B14B6">
        <w:rPr>
          <w:rFonts w:ascii="Arial" w:hAnsi="Arial" w:cs="Arial"/>
          <w:sz w:val="22"/>
          <w:szCs w:val="22"/>
        </w:rPr>
        <w:t xml:space="preserve">shorter </w:t>
      </w:r>
      <w:r w:rsidR="00DE3698" w:rsidRPr="003B14B6">
        <w:rPr>
          <w:rFonts w:ascii="Arial" w:hAnsi="Arial" w:cs="Arial"/>
          <w:sz w:val="22"/>
          <w:szCs w:val="22"/>
        </w:rPr>
        <w:t xml:space="preserve">fragments </w:t>
      </w:r>
      <w:r w:rsidRPr="003B14B6">
        <w:rPr>
          <w:rFonts w:ascii="Arial" w:hAnsi="Arial" w:cs="Arial"/>
          <w:sz w:val="22"/>
          <w:szCs w:val="22"/>
        </w:rPr>
        <w:t xml:space="preserve">on average </w:t>
      </w:r>
      <w:r w:rsidR="00DE3698" w:rsidRPr="003B14B6">
        <w:rPr>
          <w:rFonts w:ascii="Arial" w:hAnsi="Arial" w:cs="Arial"/>
          <w:sz w:val="22"/>
          <w:szCs w:val="22"/>
        </w:rPr>
        <w:t>compared to</w:t>
      </w:r>
      <w:r w:rsidRPr="003B14B6">
        <w:rPr>
          <w:rFonts w:ascii="Arial" w:hAnsi="Arial" w:cs="Arial"/>
          <w:sz w:val="22"/>
          <w:szCs w:val="22"/>
        </w:rPr>
        <w:t xml:space="preserve"> those from healthy subjects</w:t>
      </w:r>
      <w:r w:rsidR="00051F97" w:rsidRPr="003B14B6">
        <w:rPr>
          <w:rFonts w:ascii="Arial" w:hAnsi="Arial" w:cs="Arial"/>
          <w:sz w:val="22"/>
          <w:szCs w:val="22"/>
        </w:rPr>
        <w:t xml:space="preserve"> where fragment length was shown to be </w:t>
      </w:r>
      <w:r w:rsidR="00DE3698" w:rsidRPr="003B14B6">
        <w:rPr>
          <w:rFonts w:ascii="Arial" w:hAnsi="Arial" w:cs="Arial"/>
          <w:sz w:val="22"/>
          <w:szCs w:val="22"/>
        </w:rPr>
        <w:t>more consistent</w:t>
      </w:r>
      <w:r w:rsidRPr="003B14B6">
        <w:rPr>
          <w:rFonts w:ascii="Arial" w:hAnsi="Arial" w:cs="Arial"/>
          <w:sz w:val="22"/>
          <w:szCs w:val="22"/>
        </w:rPr>
        <w:t xml:space="preserve">.  When </w:t>
      </w:r>
      <w:r w:rsidR="006257E2">
        <w:rPr>
          <w:rFonts w:ascii="Arial" w:hAnsi="Arial" w:cs="Arial"/>
          <w:sz w:val="22"/>
          <w:szCs w:val="22"/>
        </w:rPr>
        <w:t>GW</w:t>
      </w:r>
      <w:r w:rsidR="002E6B4E" w:rsidRPr="003B14B6">
        <w:rPr>
          <w:rFonts w:ascii="Arial" w:hAnsi="Arial" w:cs="Arial"/>
          <w:sz w:val="22"/>
          <w:szCs w:val="22"/>
        </w:rPr>
        <w:t xml:space="preserve"> mapping of </w:t>
      </w:r>
      <w:r w:rsidRPr="003B14B6">
        <w:rPr>
          <w:rFonts w:ascii="Arial" w:hAnsi="Arial" w:cs="Arial"/>
          <w:sz w:val="22"/>
          <w:szCs w:val="22"/>
        </w:rPr>
        <w:t xml:space="preserve">cf fragments in </w:t>
      </w:r>
      <w:proofErr w:type="gramStart"/>
      <w:r w:rsidRPr="003B14B6">
        <w:rPr>
          <w:rFonts w:ascii="Arial" w:hAnsi="Arial" w:cs="Arial"/>
          <w:sz w:val="22"/>
          <w:szCs w:val="22"/>
        </w:rPr>
        <w:t>5Mb</w:t>
      </w:r>
      <w:proofErr w:type="gramEnd"/>
      <w:r w:rsidRPr="003B14B6">
        <w:rPr>
          <w:rFonts w:ascii="Arial" w:hAnsi="Arial" w:cs="Arial"/>
          <w:sz w:val="22"/>
          <w:szCs w:val="22"/>
        </w:rPr>
        <w:t xml:space="preserve"> windows</w:t>
      </w:r>
      <w:r w:rsidR="002E6B4E" w:rsidRPr="003B14B6">
        <w:rPr>
          <w:rFonts w:ascii="Arial" w:hAnsi="Arial" w:cs="Arial"/>
          <w:sz w:val="22"/>
          <w:szCs w:val="22"/>
        </w:rPr>
        <w:t xml:space="preserve"> is performed</w:t>
      </w:r>
      <w:r w:rsidRPr="003B14B6">
        <w:rPr>
          <w:rFonts w:ascii="Arial" w:hAnsi="Arial" w:cs="Arial"/>
          <w:sz w:val="22"/>
          <w:szCs w:val="22"/>
        </w:rPr>
        <w:t>, the</w:t>
      </w:r>
      <w:r w:rsidR="002E6B4E" w:rsidRPr="003B14B6">
        <w:rPr>
          <w:rFonts w:ascii="Arial" w:hAnsi="Arial" w:cs="Arial"/>
          <w:sz w:val="22"/>
          <w:szCs w:val="22"/>
        </w:rPr>
        <w:t xml:space="preserve"> genomic libraries</w:t>
      </w:r>
      <w:r w:rsidRPr="003B14B6">
        <w:rPr>
          <w:rFonts w:ascii="Arial" w:hAnsi="Arial" w:cs="Arial"/>
          <w:sz w:val="22"/>
          <w:szCs w:val="22"/>
        </w:rPr>
        <w:t xml:space="preserve"> align in a position-specific manner across the genome resulting in cancer-specific whole genome profiles that feature approximately 20,000 reads at 1-2x coverage.  Because of </w:t>
      </w:r>
      <w:r w:rsidR="00051F97" w:rsidRPr="003B14B6">
        <w:rPr>
          <w:rFonts w:ascii="Arial" w:hAnsi="Arial" w:cs="Arial"/>
          <w:sz w:val="22"/>
          <w:szCs w:val="22"/>
        </w:rPr>
        <w:t xml:space="preserve">the </w:t>
      </w:r>
      <w:r w:rsidRPr="003B14B6">
        <w:rPr>
          <w:rFonts w:ascii="Arial" w:hAnsi="Arial" w:cs="Arial"/>
          <w:sz w:val="22"/>
          <w:szCs w:val="22"/>
        </w:rPr>
        <w:t>s</w:t>
      </w:r>
      <w:r w:rsidR="00051F97" w:rsidRPr="003B14B6">
        <w:rPr>
          <w:rFonts w:ascii="Arial" w:hAnsi="Arial" w:cs="Arial"/>
          <w:sz w:val="22"/>
          <w:szCs w:val="22"/>
        </w:rPr>
        <w:t>horter</w:t>
      </w:r>
      <w:r w:rsidRPr="003B14B6">
        <w:rPr>
          <w:rFonts w:ascii="Arial" w:hAnsi="Arial" w:cs="Arial"/>
          <w:sz w:val="22"/>
          <w:szCs w:val="22"/>
        </w:rPr>
        <w:t xml:space="preserve"> fragment length of cfDNA originating from tumor cells compared to those from health individuals, whose fragment </w:t>
      </w:r>
      <w:r w:rsidR="002E6B4E" w:rsidRPr="003B14B6">
        <w:rPr>
          <w:rFonts w:ascii="Arial" w:hAnsi="Arial" w:cs="Arial"/>
          <w:sz w:val="22"/>
          <w:szCs w:val="22"/>
        </w:rPr>
        <w:t>lengths</w:t>
      </w:r>
      <w:r w:rsidRPr="003B14B6">
        <w:rPr>
          <w:rFonts w:ascii="Arial" w:hAnsi="Arial" w:cs="Arial"/>
          <w:sz w:val="22"/>
          <w:szCs w:val="22"/>
        </w:rPr>
        <w:t xml:space="preserve"> </w:t>
      </w:r>
      <w:proofErr w:type="gramStart"/>
      <w:r w:rsidRPr="003B14B6">
        <w:rPr>
          <w:rFonts w:ascii="Arial" w:hAnsi="Arial" w:cs="Arial"/>
          <w:sz w:val="22"/>
          <w:szCs w:val="22"/>
        </w:rPr>
        <w:t>were shown</w:t>
      </w:r>
      <w:proofErr w:type="gramEnd"/>
      <w:r w:rsidRPr="003B14B6">
        <w:rPr>
          <w:rFonts w:ascii="Arial" w:hAnsi="Arial" w:cs="Arial"/>
          <w:sz w:val="22"/>
          <w:szCs w:val="22"/>
        </w:rPr>
        <w:t xml:space="preserve"> to exhibit inter-individual consistency, distinct profiles exhibiting genomic differences in fragment length are detect</w:t>
      </w:r>
      <w:r w:rsidR="00051F97" w:rsidRPr="003B14B6">
        <w:rPr>
          <w:rFonts w:ascii="Arial" w:hAnsi="Arial" w:cs="Arial"/>
          <w:sz w:val="22"/>
          <w:szCs w:val="22"/>
        </w:rPr>
        <w:t>able</w:t>
      </w:r>
      <w:r w:rsidRPr="003B14B6">
        <w:rPr>
          <w:rFonts w:ascii="Arial" w:hAnsi="Arial" w:cs="Arial"/>
          <w:sz w:val="22"/>
          <w:szCs w:val="22"/>
        </w:rPr>
        <w:t xml:space="preserve"> in a </w:t>
      </w:r>
      <w:r w:rsidR="00051F97" w:rsidRPr="003B14B6">
        <w:rPr>
          <w:rFonts w:ascii="Arial" w:hAnsi="Arial" w:cs="Arial"/>
          <w:sz w:val="22"/>
          <w:szCs w:val="22"/>
        </w:rPr>
        <w:t>locus</w:t>
      </w:r>
      <w:r w:rsidRPr="003B14B6">
        <w:rPr>
          <w:rFonts w:ascii="Arial" w:hAnsi="Arial" w:cs="Arial"/>
          <w:sz w:val="22"/>
          <w:szCs w:val="22"/>
        </w:rPr>
        <w:t xml:space="preserve">-specific manner. </w:t>
      </w:r>
      <w:r w:rsidRPr="003B14B6">
        <w:rPr>
          <w:rFonts w:ascii="Arial" w:hAnsi="Arial" w:cs="Arial"/>
          <w:sz w:val="22"/>
          <w:szCs w:val="22"/>
        </w:rPr>
        <w:t xml:space="preserve"> Similarly</w:t>
      </w:r>
      <w:r w:rsidR="002E6B4E" w:rsidRPr="003B14B6">
        <w:rPr>
          <w:rFonts w:ascii="Arial" w:hAnsi="Arial" w:cs="Arial"/>
          <w:sz w:val="22"/>
          <w:szCs w:val="22"/>
        </w:rPr>
        <w:t>,</w:t>
      </w:r>
      <w:r w:rsidRPr="003B14B6">
        <w:rPr>
          <w:rFonts w:ascii="Arial" w:hAnsi="Arial" w:cs="Arial"/>
          <w:sz w:val="22"/>
          <w:szCs w:val="22"/>
        </w:rPr>
        <w:t xml:space="preserve"> methylation patterns </w:t>
      </w:r>
      <w:r w:rsidR="002E6B4E" w:rsidRPr="003B14B6">
        <w:rPr>
          <w:rFonts w:ascii="Arial" w:hAnsi="Arial" w:cs="Arial"/>
          <w:sz w:val="22"/>
          <w:szCs w:val="22"/>
        </w:rPr>
        <w:t>surrounding profiled regions associated with smaller cfDNA of tumor origin</w:t>
      </w:r>
      <w:r w:rsidR="00051F97" w:rsidRPr="003B14B6">
        <w:rPr>
          <w:rFonts w:ascii="Arial" w:hAnsi="Arial" w:cs="Arial"/>
          <w:sz w:val="22"/>
          <w:szCs w:val="22"/>
        </w:rPr>
        <w:t xml:space="preserve"> </w:t>
      </w:r>
      <w:proofErr w:type="gramStart"/>
      <w:r w:rsidR="002E6B4E" w:rsidRPr="003B14B6">
        <w:rPr>
          <w:rFonts w:ascii="Arial" w:hAnsi="Arial" w:cs="Arial"/>
          <w:sz w:val="22"/>
          <w:szCs w:val="22"/>
        </w:rPr>
        <w:t>can be compared</w:t>
      </w:r>
      <w:proofErr w:type="gramEnd"/>
      <w:r w:rsidR="002E6B4E" w:rsidRPr="003B14B6">
        <w:rPr>
          <w:rFonts w:ascii="Arial" w:hAnsi="Arial" w:cs="Arial"/>
          <w:sz w:val="22"/>
          <w:szCs w:val="22"/>
        </w:rPr>
        <w:t xml:space="preserve"> to methylation patterns</w:t>
      </w:r>
      <w:r w:rsidR="00DE3698" w:rsidRPr="003B14B6">
        <w:rPr>
          <w:rFonts w:ascii="Arial" w:hAnsi="Arial" w:cs="Arial"/>
          <w:sz w:val="22"/>
          <w:szCs w:val="22"/>
        </w:rPr>
        <w:t xml:space="preserve"> </w:t>
      </w:r>
      <w:r w:rsidR="00DE3698" w:rsidRPr="003B14B6">
        <w:rPr>
          <w:rFonts w:ascii="Arial" w:hAnsi="Arial" w:cs="Arial"/>
          <w:sz w:val="22"/>
          <w:szCs w:val="22"/>
        </w:rPr>
        <w:t>of healthy subjects</w:t>
      </w:r>
      <w:r w:rsidR="002E6B4E" w:rsidRPr="003B14B6">
        <w:rPr>
          <w:rFonts w:ascii="Arial" w:hAnsi="Arial" w:cs="Arial"/>
          <w:sz w:val="22"/>
          <w:szCs w:val="22"/>
        </w:rPr>
        <w:t xml:space="preserve"> in these genomic regions.   </w:t>
      </w:r>
    </w:p>
    <w:p w:rsidR="00DB1DF8" w:rsidRPr="003B14B6" w:rsidRDefault="00F031E3" w:rsidP="003C524E">
      <w:pPr>
        <w:ind w:firstLine="720"/>
        <w:rPr>
          <w:rFonts w:ascii="Arial" w:hAnsi="Arial" w:cs="Arial"/>
          <w:sz w:val="22"/>
          <w:szCs w:val="22"/>
        </w:rPr>
      </w:pPr>
      <w:r w:rsidRPr="003B14B6">
        <w:rPr>
          <w:rFonts w:ascii="Arial" w:hAnsi="Arial" w:cs="Arial"/>
          <w:sz w:val="22"/>
          <w:szCs w:val="22"/>
        </w:rPr>
        <w:t xml:space="preserve">Analysis of saliva </w:t>
      </w:r>
      <w:r w:rsidR="00DB1DF8" w:rsidRPr="003B14B6">
        <w:rPr>
          <w:rFonts w:ascii="Arial" w:hAnsi="Arial" w:cs="Arial"/>
          <w:sz w:val="22"/>
          <w:szCs w:val="22"/>
        </w:rPr>
        <w:t>samp</w:t>
      </w:r>
      <w:r w:rsidR="008D3293" w:rsidRPr="003B14B6">
        <w:rPr>
          <w:rFonts w:ascii="Arial" w:hAnsi="Arial" w:cs="Arial"/>
          <w:sz w:val="22"/>
          <w:szCs w:val="22"/>
        </w:rPr>
        <w:t xml:space="preserve">les </w:t>
      </w:r>
      <w:proofErr w:type="gramStart"/>
      <w:r w:rsidR="008D3293" w:rsidRPr="003B14B6">
        <w:rPr>
          <w:rFonts w:ascii="Arial" w:hAnsi="Arial" w:cs="Arial"/>
          <w:sz w:val="22"/>
          <w:szCs w:val="22"/>
        </w:rPr>
        <w:t xml:space="preserve">will be </w:t>
      </w:r>
      <w:r w:rsidRPr="003B14B6">
        <w:rPr>
          <w:rFonts w:ascii="Arial" w:hAnsi="Arial" w:cs="Arial"/>
          <w:sz w:val="22"/>
          <w:szCs w:val="22"/>
        </w:rPr>
        <w:t xml:space="preserve">performed on batched specimens and </w:t>
      </w:r>
      <w:r w:rsidR="008D3293" w:rsidRPr="003B14B6">
        <w:rPr>
          <w:rFonts w:ascii="Arial" w:hAnsi="Arial" w:cs="Arial"/>
          <w:sz w:val="22"/>
          <w:szCs w:val="22"/>
        </w:rPr>
        <w:t>analyzed twice at 4-</w:t>
      </w:r>
      <w:r w:rsidR="00DB1DF8" w:rsidRPr="003B14B6">
        <w:rPr>
          <w:rFonts w:ascii="Arial" w:hAnsi="Arial" w:cs="Arial"/>
          <w:sz w:val="22"/>
          <w:szCs w:val="22"/>
        </w:rPr>
        <w:t>month intervals</w:t>
      </w:r>
      <w:r w:rsidRPr="003B14B6">
        <w:rPr>
          <w:rFonts w:ascii="Arial" w:hAnsi="Arial" w:cs="Arial"/>
          <w:sz w:val="22"/>
          <w:szCs w:val="22"/>
        </w:rPr>
        <w:t xml:space="preserve"> during the study period</w:t>
      </w:r>
      <w:proofErr w:type="gramEnd"/>
      <w:r w:rsidR="00DB1DF8" w:rsidRPr="003B14B6">
        <w:rPr>
          <w:rFonts w:ascii="Arial" w:hAnsi="Arial" w:cs="Arial"/>
          <w:sz w:val="22"/>
          <w:szCs w:val="22"/>
        </w:rPr>
        <w:t xml:space="preserve">. </w:t>
      </w:r>
      <w:r w:rsidRPr="003B14B6">
        <w:rPr>
          <w:rFonts w:ascii="Arial" w:hAnsi="Arial" w:cs="Arial"/>
          <w:sz w:val="22"/>
          <w:szCs w:val="22"/>
        </w:rPr>
        <w:t xml:space="preserve"> Establishment of the assay will be undertaken </w:t>
      </w:r>
      <w:r w:rsidR="00DB1DF8" w:rsidRPr="003B14B6">
        <w:rPr>
          <w:rFonts w:ascii="Arial" w:hAnsi="Arial" w:cs="Arial"/>
          <w:sz w:val="22"/>
          <w:szCs w:val="22"/>
        </w:rPr>
        <w:t>at the UW Madison Technology Center Service Laboratory</w:t>
      </w:r>
      <w:r w:rsidRPr="003B14B6">
        <w:rPr>
          <w:rFonts w:ascii="Arial" w:hAnsi="Arial" w:cs="Arial"/>
          <w:sz w:val="22"/>
          <w:szCs w:val="22"/>
        </w:rPr>
        <w:t>, Madison Wisconsin with oversight by J</w:t>
      </w:r>
      <w:r w:rsidR="000D097E" w:rsidRPr="003B14B6">
        <w:rPr>
          <w:rFonts w:ascii="Arial" w:hAnsi="Arial" w:cs="Arial"/>
          <w:sz w:val="22"/>
          <w:szCs w:val="22"/>
        </w:rPr>
        <w:t xml:space="preserve">oshua Hyman, PhD, Core Director applying analysis of </w:t>
      </w:r>
      <w:r w:rsidR="002C2E90">
        <w:rPr>
          <w:rFonts w:ascii="Arial" w:hAnsi="Arial" w:cs="Arial"/>
          <w:sz w:val="22"/>
          <w:szCs w:val="22"/>
        </w:rPr>
        <w:t>GW</w:t>
      </w:r>
      <w:r w:rsidR="000D097E" w:rsidRPr="003B14B6">
        <w:rPr>
          <w:rFonts w:ascii="Arial" w:hAnsi="Arial" w:cs="Arial"/>
          <w:sz w:val="22"/>
          <w:szCs w:val="22"/>
        </w:rPr>
        <w:t xml:space="preserve"> DELFI and meDELFI analysis as previously described by </w:t>
      </w:r>
      <w:proofErr w:type="spellStart"/>
      <w:r w:rsidR="000D097E" w:rsidRPr="003B14B6">
        <w:rPr>
          <w:rFonts w:ascii="Arial" w:hAnsi="Arial" w:cs="Arial"/>
          <w:sz w:val="22"/>
          <w:szCs w:val="22"/>
        </w:rPr>
        <w:t>Christiano</w:t>
      </w:r>
      <w:proofErr w:type="spellEnd"/>
      <w:r w:rsidR="000D097E" w:rsidRPr="003B14B6">
        <w:rPr>
          <w:rFonts w:ascii="Arial" w:hAnsi="Arial" w:cs="Arial"/>
          <w:sz w:val="22"/>
          <w:szCs w:val="22"/>
        </w:rPr>
        <w:t xml:space="preserve"> et al</w:t>
      </w:r>
      <w:r w:rsidR="000D097E" w:rsidRPr="003B14B6">
        <w:rPr>
          <w:rFonts w:ascii="Arial" w:hAnsi="Arial" w:cs="Arial"/>
          <w:sz w:val="22"/>
          <w:szCs w:val="22"/>
          <w:vertAlign w:val="superscript"/>
        </w:rPr>
        <w:t>5</w:t>
      </w:r>
      <w:r w:rsidR="00BF79DB" w:rsidRPr="003B14B6">
        <w:rPr>
          <w:rFonts w:ascii="Arial" w:hAnsi="Arial" w:cs="Arial"/>
          <w:sz w:val="22"/>
          <w:szCs w:val="22"/>
          <w:vertAlign w:val="superscript"/>
        </w:rPr>
        <w:t xml:space="preserve"> </w:t>
      </w:r>
      <w:r w:rsidR="00BF79DB" w:rsidRPr="003B14B6">
        <w:rPr>
          <w:rFonts w:ascii="Arial" w:hAnsi="Arial" w:cs="Arial"/>
          <w:sz w:val="22"/>
          <w:szCs w:val="22"/>
        </w:rPr>
        <w:t xml:space="preserve"> </w:t>
      </w:r>
      <w:r w:rsidR="00BF79DB" w:rsidRPr="003B14B6">
        <w:rPr>
          <w:rFonts w:ascii="Arial" w:hAnsi="Arial" w:cs="Arial"/>
          <w:sz w:val="22"/>
          <w:szCs w:val="22"/>
        </w:rPr>
        <w:t>following cfDNA fragmentation</w:t>
      </w:r>
      <w:r w:rsidR="000D097E" w:rsidRPr="003B14B6">
        <w:rPr>
          <w:rFonts w:ascii="Arial" w:hAnsi="Arial" w:cs="Arial"/>
          <w:sz w:val="22"/>
          <w:szCs w:val="22"/>
        </w:rPr>
        <w:t xml:space="preserve"> </w:t>
      </w:r>
      <w:r w:rsidR="007E2735" w:rsidRPr="003B14B6">
        <w:rPr>
          <w:rFonts w:ascii="Arial" w:hAnsi="Arial" w:cs="Arial"/>
          <w:sz w:val="22"/>
          <w:szCs w:val="22"/>
        </w:rPr>
        <w:t xml:space="preserve">as described by </w:t>
      </w:r>
      <w:commentRangeStart w:id="10"/>
      <w:r w:rsidR="007E2735" w:rsidRPr="003B14B6">
        <w:rPr>
          <w:rFonts w:ascii="Arial" w:hAnsi="Arial" w:cs="Arial"/>
          <w:sz w:val="22"/>
          <w:szCs w:val="22"/>
        </w:rPr>
        <w:t>Phallen</w:t>
      </w:r>
      <w:commentRangeEnd w:id="10"/>
      <w:r w:rsidR="008F168D">
        <w:rPr>
          <w:rStyle w:val="CommentReference"/>
        </w:rPr>
        <w:commentReference w:id="10"/>
      </w:r>
      <w:r w:rsidR="008F168D">
        <w:rPr>
          <w:rFonts w:ascii="Arial" w:hAnsi="Arial" w:cs="Arial"/>
          <w:sz w:val="22"/>
          <w:szCs w:val="22"/>
          <w:vertAlign w:val="superscript"/>
        </w:rPr>
        <w:t>10</w:t>
      </w:r>
      <w:r w:rsidR="007E2735" w:rsidRPr="003B14B6">
        <w:rPr>
          <w:rFonts w:ascii="Arial" w:hAnsi="Arial" w:cs="Arial"/>
          <w:sz w:val="22"/>
          <w:szCs w:val="22"/>
        </w:rPr>
        <w:t xml:space="preserve"> et al (2017)</w:t>
      </w:r>
      <w:r w:rsidR="00BF79DB" w:rsidRPr="003B14B6">
        <w:rPr>
          <w:rFonts w:ascii="Arial" w:hAnsi="Arial" w:cs="Arial"/>
          <w:sz w:val="22"/>
          <w:szCs w:val="22"/>
        </w:rPr>
        <w:t>.</w:t>
      </w:r>
      <w:r w:rsidR="00D64E16" w:rsidRPr="003B14B6">
        <w:rPr>
          <w:rFonts w:ascii="Arial" w:hAnsi="Arial" w:cs="Arial"/>
          <w:sz w:val="22"/>
          <w:szCs w:val="22"/>
        </w:rPr>
        <w:t xml:space="preserve">  </w:t>
      </w:r>
      <w:r w:rsidR="00DE3698" w:rsidRPr="003B14B6">
        <w:rPr>
          <w:rFonts w:ascii="Arial" w:hAnsi="Arial" w:cs="Arial"/>
          <w:sz w:val="22"/>
          <w:szCs w:val="22"/>
        </w:rPr>
        <w:t xml:space="preserve">The </w:t>
      </w:r>
      <w:proofErr w:type="spellStart"/>
      <w:r w:rsidR="00D64E16" w:rsidRPr="003B14B6">
        <w:rPr>
          <w:rFonts w:ascii="Arial" w:hAnsi="Arial" w:cs="Arial"/>
          <w:sz w:val="22"/>
          <w:szCs w:val="22"/>
        </w:rPr>
        <w:t>gDNA</w:t>
      </w:r>
      <w:proofErr w:type="spellEnd"/>
      <w:r w:rsidR="00D64E16" w:rsidRPr="003B14B6">
        <w:rPr>
          <w:rFonts w:ascii="Arial" w:hAnsi="Arial" w:cs="Arial"/>
          <w:sz w:val="22"/>
          <w:szCs w:val="22"/>
        </w:rPr>
        <w:t xml:space="preserve"> library prepar</w:t>
      </w:r>
      <w:r w:rsidR="004B0947" w:rsidRPr="003B14B6">
        <w:rPr>
          <w:rFonts w:ascii="Arial" w:hAnsi="Arial" w:cs="Arial"/>
          <w:sz w:val="22"/>
          <w:szCs w:val="22"/>
        </w:rPr>
        <w:t xml:space="preserve">ation and application of </w:t>
      </w:r>
      <w:r w:rsidR="002C2E90">
        <w:rPr>
          <w:rFonts w:ascii="Arial" w:hAnsi="Arial" w:cs="Arial"/>
          <w:sz w:val="22"/>
          <w:szCs w:val="22"/>
        </w:rPr>
        <w:t>GW</w:t>
      </w:r>
      <w:r w:rsidR="004B0947" w:rsidRPr="003B14B6">
        <w:rPr>
          <w:rFonts w:ascii="Arial" w:hAnsi="Arial" w:cs="Arial"/>
          <w:sz w:val="22"/>
          <w:szCs w:val="22"/>
        </w:rPr>
        <w:t xml:space="preserve"> sequencing </w:t>
      </w:r>
      <w:proofErr w:type="gramStart"/>
      <w:r w:rsidR="004B0947" w:rsidRPr="003B14B6">
        <w:rPr>
          <w:rFonts w:ascii="Arial" w:hAnsi="Arial" w:cs="Arial"/>
          <w:sz w:val="22"/>
          <w:szCs w:val="22"/>
        </w:rPr>
        <w:t>will be carried out</w:t>
      </w:r>
      <w:proofErr w:type="gramEnd"/>
      <w:r w:rsidR="004B0947" w:rsidRPr="003B14B6">
        <w:rPr>
          <w:rFonts w:ascii="Arial" w:hAnsi="Arial" w:cs="Arial"/>
          <w:sz w:val="22"/>
          <w:szCs w:val="22"/>
        </w:rPr>
        <w:t xml:space="preserve"> at UW Biotechnology center and cfDNA will be prepped for methylation analysis applying </w:t>
      </w:r>
      <w:proofErr w:type="spellStart"/>
      <w:r w:rsidR="004B0947" w:rsidRPr="003B14B6">
        <w:rPr>
          <w:rFonts w:ascii="Arial" w:hAnsi="Arial" w:cs="Arial"/>
          <w:sz w:val="22"/>
          <w:szCs w:val="22"/>
        </w:rPr>
        <w:t>MagMeDIP-seq</w:t>
      </w:r>
      <w:proofErr w:type="spellEnd"/>
      <w:r w:rsidR="004B0947" w:rsidRPr="003B14B6">
        <w:rPr>
          <w:rFonts w:ascii="Arial" w:hAnsi="Arial" w:cs="Arial"/>
          <w:sz w:val="22"/>
          <w:szCs w:val="22"/>
        </w:rPr>
        <w:t xml:space="preserve"> </w:t>
      </w:r>
      <w:r w:rsidR="004B0947" w:rsidRPr="003B14B6">
        <w:rPr>
          <w:rFonts w:ascii="Arial" w:hAnsi="Arial" w:cs="Arial"/>
          <w:sz w:val="22"/>
          <w:szCs w:val="22"/>
        </w:rPr>
        <w:t>(</w:t>
      </w:r>
      <w:proofErr w:type="spellStart"/>
      <w:r w:rsidR="004B0947" w:rsidRPr="003B14B6">
        <w:rPr>
          <w:rFonts w:ascii="Arial" w:hAnsi="Arial" w:cs="Arial"/>
          <w:sz w:val="22"/>
          <w:szCs w:val="22"/>
        </w:rPr>
        <w:t>Diagenode</w:t>
      </w:r>
      <w:proofErr w:type="spellEnd"/>
      <w:r w:rsidR="004B0947" w:rsidRPr="003B14B6">
        <w:rPr>
          <w:rFonts w:ascii="Arial" w:hAnsi="Arial" w:cs="Arial"/>
          <w:sz w:val="22"/>
          <w:szCs w:val="22"/>
        </w:rPr>
        <w:t>, Denville NJ</w:t>
      </w:r>
      <w:r w:rsidR="004B0947" w:rsidRPr="003B14B6">
        <w:rPr>
          <w:rFonts w:ascii="Arial" w:hAnsi="Arial" w:cs="Arial"/>
          <w:sz w:val="22"/>
          <w:szCs w:val="22"/>
        </w:rPr>
        <w:t>)</w:t>
      </w:r>
      <w:r w:rsidR="00313D33" w:rsidRPr="003B14B6">
        <w:rPr>
          <w:rFonts w:ascii="Arial" w:hAnsi="Arial" w:cs="Arial"/>
          <w:sz w:val="22"/>
          <w:szCs w:val="22"/>
        </w:rPr>
        <w:t xml:space="preserve">.  Genome wide sequencing and methylation analysis </w:t>
      </w:r>
      <w:proofErr w:type="gramStart"/>
      <w:r w:rsidR="00313D33" w:rsidRPr="003B14B6">
        <w:rPr>
          <w:rFonts w:ascii="Arial" w:hAnsi="Arial" w:cs="Arial"/>
          <w:sz w:val="22"/>
          <w:szCs w:val="22"/>
        </w:rPr>
        <w:t>will be performed</w:t>
      </w:r>
      <w:proofErr w:type="gramEnd"/>
      <w:r w:rsidR="00313D33" w:rsidRPr="003B14B6">
        <w:rPr>
          <w:rFonts w:ascii="Arial" w:hAnsi="Arial" w:cs="Arial"/>
          <w:sz w:val="22"/>
          <w:szCs w:val="22"/>
        </w:rPr>
        <w:t xml:space="preserve"> using </w:t>
      </w:r>
      <w:proofErr w:type="spellStart"/>
      <w:r w:rsidR="00313D33" w:rsidRPr="003B14B6">
        <w:rPr>
          <w:rFonts w:ascii="Arial" w:hAnsi="Arial" w:cs="Arial"/>
          <w:sz w:val="22"/>
          <w:szCs w:val="22"/>
        </w:rPr>
        <w:t>NovaSeq</w:t>
      </w:r>
      <w:proofErr w:type="spellEnd"/>
      <w:r w:rsidR="00313D33" w:rsidRPr="003B14B6">
        <w:rPr>
          <w:rFonts w:ascii="Arial" w:hAnsi="Arial" w:cs="Arial"/>
          <w:sz w:val="22"/>
          <w:szCs w:val="22"/>
        </w:rPr>
        <w:t xml:space="preserve"> SP </w:t>
      </w:r>
      <w:proofErr w:type="spellStart"/>
      <w:r w:rsidR="00313D33" w:rsidRPr="003B14B6">
        <w:rPr>
          <w:rFonts w:ascii="Arial" w:hAnsi="Arial" w:cs="Arial"/>
          <w:sz w:val="22"/>
          <w:szCs w:val="22"/>
        </w:rPr>
        <w:t>flowcells</w:t>
      </w:r>
      <w:proofErr w:type="spellEnd"/>
      <w:r w:rsidR="00313D33" w:rsidRPr="003B14B6">
        <w:rPr>
          <w:rFonts w:ascii="Arial" w:hAnsi="Arial" w:cs="Arial"/>
          <w:sz w:val="22"/>
          <w:szCs w:val="22"/>
        </w:rPr>
        <w:t xml:space="preserve"> (Illumina,</w:t>
      </w:r>
      <w:r w:rsidR="00B85F79" w:rsidRPr="003B14B6">
        <w:rPr>
          <w:rFonts w:ascii="Arial" w:hAnsi="Arial" w:cs="Arial"/>
          <w:sz w:val="22"/>
          <w:szCs w:val="22"/>
        </w:rPr>
        <w:t xml:space="preserve"> Inc.</w:t>
      </w:r>
      <w:r w:rsidR="00313D33" w:rsidRPr="003B14B6">
        <w:rPr>
          <w:rFonts w:ascii="Arial" w:hAnsi="Arial" w:cs="Arial"/>
          <w:sz w:val="22"/>
          <w:szCs w:val="22"/>
        </w:rPr>
        <w:t xml:space="preserve"> </w:t>
      </w:r>
      <w:r w:rsidR="00B85F79" w:rsidRPr="003B14B6">
        <w:rPr>
          <w:rFonts w:ascii="Arial" w:hAnsi="Arial" w:cs="Arial"/>
          <w:sz w:val="22"/>
          <w:szCs w:val="22"/>
        </w:rPr>
        <w:t>San Diego, CA</w:t>
      </w:r>
      <w:r w:rsidR="00313D33" w:rsidRPr="003B14B6">
        <w:rPr>
          <w:rFonts w:ascii="Arial" w:hAnsi="Arial" w:cs="Arial"/>
          <w:sz w:val="22"/>
          <w:szCs w:val="22"/>
        </w:rPr>
        <w:t>)</w:t>
      </w:r>
      <w:r w:rsidR="00B85F79" w:rsidRPr="003B14B6">
        <w:rPr>
          <w:rFonts w:ascii="Arial" w:hAnsi="Arial" w:cs="Arial"/>
          <w:sz w:val="22"/>
          <w:szCs w:val="22"/>
        </w:rPr>
        <w:t xml:space="preserve">.  </w:t>
      </w:r>
    </w:p>
    <w:p w:rsidR="009B3CB3" w:rsidRDefault="009B3CB3">
      <w:pPr>
        <w:rPr>
          <w:rFonts w:ascii="Arial" w:hAnsi="Arial" w:cs="Arial"/>
          <w:b/>
          <w:sz w:val="22"/>
          <w:szCs w:val="22"/>
        </w:rPr>
      </w:pPr>
    </w:p>
    <w:p w:rsidR="00DB1DF8" w:rsidRPr="00530011" w:rsidRDefault="00530011">
      <w:pPr>
        <w:rPr>
          <w:rFonts w:ascii="Arial" w:hAnsi="Arial" w:cs="Arial"/>
          <w:b/>
          <w:sz w:val="22"/>
          <w:szCs w:val="22"/>
        </w:rPr>
      </w:pPr>
      <w:r w:rsidRPr="00530011">
        <w:rPr>
          <w:rFonts w:ascii="Arial" w:hAnsi="Arial" w:cs="Arial"/>
          <w:b/>
          <w:sz w:val="22"/>
          <w:szCs w:val="22"/>
        </w:rPr>
        <w:t>Data Analysis</w:t>
      </w:r>
    </w:p>
    <w:p w:rsidR="007D38AB" w:rsidRPr="00530011" w:rsidRDefault="00530011" w:rsidP="007D38AB">
      <w:pPr>
        <w:rPr>
          <w:rFonts w:ascii="Arial" w:hAnsi="Arial" w:cs="Arial"/>
          <w:i/>
          <w:sz w:val="22"/>
          <w:szCs w:val="22"/>
        </w:rPr>
      </w:pPr>
      <w:r w:rsidRPr="00530011">
        <w:rPr>
          <w:rFonts w:ascii="Arial" w:hAnsi="Arial" w:cs="Arial"/>
          <w:b/>
          <w:i/>
          <w:sz w:val="22"/>
          <w:szCs w:val="22"/>
        </w:rPr>
        <w:t xml:space="preserve">Raw </w:t>
      </w:r>
      <w:r w:rsidR="00890B84" w:rsidRPr="00530011">
        <w:rPr>
          <w:rFonts w:ascii="Arial" w:hAnsi="Arial" w:cs="Arial"/>
          <w:b/>
          <w:i/>
          <w:sz w:val="22"/>
          <w:szCs w:val="22"/>
        </w:rPr>
        <w:t xml:space="preserve">Data </w:t>
      </w:r>
      <w:r w:rsidRPr="00530011">
        <w:rPr>
          <w:rFonts w:ascii="Arial" w:hAnsi="Arial" w:cs="Arial"/>
          <w:b/>
          <w:i/>
          <w:sz w:val="22"/>
          <w:szCs w:val="22"/>
        </w:rPr>
        <w:t>processing</w:t>
      </w:r>
      <w:r>
        <w:rPr>
          <w:rFonts w:ascii="Arial" w:hAnsi="Arial" w:cs="Arial"/>
          <w:b/>
          <w:i/>
          <w:sz w:val="22"/>
          <w:szCs w:val="22"/>
        </w:rPr>
        <w:t xml:space="preserve">:  </w:t>
      </w:r>
      <w:r w:rsidR="007D38AB" w:rsidRPr="003B14B6">
        <w:rPr>
          <w:rFonts w:ascii="Arial" w:hAnsi="Arial" w:cs="Arial"/>
          <w:color w:val="222222"/>
          <w:sz w:val="22"/>
          <w:szCs w:val="22"/>
        </w:rPr>
        <w:t xml:space="preserve">Low-pass </w:t>
      </w:r>
      <w:r w:rsidR="002C2E90">
        <w:rPr>
          <w:rFonts w:ascii="Arial" w:hAnsi="Arial" w:cs="Arial"/>
          <w:color w:val="222222"/>
          <w:sz w:val="22"/>
          <w:szCs w:val="22"/>
        </w:rPr>
        <w:t>GW</w:t>
      </w:r>
      <w:r w:rsidR="007D38AB" w:rsidRPr="003B14B6">
        <w:rPr>
          <w:rFonts w:ascii="Arial" w:hAnsi="Arial" w:cs="Arial"/>
          <w:color w:val="222222"/>
          <w:sz w:val="22"/>
          <w:szCs w:val="22"/>
        </w:rPr>
        <w:t xml:space="preserve"> raw </w:t>
      </w:r>
      <w:r w:rsidR="007D38AB" w:rsidRPr="003B14B6">
        <w:rPr>
          <w:rFonts w:ascii="Arial" w:hAnsi="Arial" w:cs="Arial"/>
          <w:color w:val="222222"/>
          <w:sz w:val="22"/>
          <w:szCs w:val="22"/>
        </w:rPr>
        <w:t xml:space="preserve">data </w:t>
      </w:r>
      <w:r w:rsidR="002C2E90">
        <w:rPr>
          <w:rFonts w:ascii="Arial" w:hAnsi="Arial" w:cs="Arial"/>
          <w:color w:val="222222"/>
          <w:sz w:val="22"/>
          <w:szCs w:val="22"/>
        </w:rPr>
        <w:t>processing will be done</w:t>
      </w:r>
      <w:r w:rsidR="007D38AB" w:rsidRPr="003B14B6">
        <w:rPr>
          <w:rFonts w:ascii="Arial" w:hAnsi="Arial" w:cs="Arial"/>
          <w:color w:val="222222"/>
          <w:sz w:val="22"/>
          <w:szCs w:val="22"/>
        </w:rPr>
        <w:t xml:space="preserve"> as our previous publication</w:t>
      </w:r>
      <w:commentRangeStart w:id="11"/>
      <w:r w:rsidR="007D38AB" w:rsidRPr="003B14B6">
        <w:rPr>
          <w:rFonts w:ascii="Arial" w:hAnsi="Arial" w:cs="Arial"/>
          <w:color w:val="222222"/>
          <w:sz w:val="22"/>
          <w:szCs w:val="22"/>
          <w:vertAlign w:val="superscript"/>
        </w:rPr>
        <w:t>1</w:t>
      </w:r>
      <w:r w:rsidR="008F168D">
        <w:rPr>
          <w:rFonts w:ascii="Arial" w:hAnsi="Arial" w:cs="Arial"/>
          <w:color w:val="222222"/>
          <w:sz w:val="22"/>
          <w:szCs w:val="22"/>
          <w:vertAlign w:val="superscript"/>
        </w:rPr>
        <w:t>1</w:t>
      </w:r>
      <w:commentRangeEnd w:id="11"/>
      <w:r w:rsidR="007D38AB" w:rsidRPr="003B14B6">
        <w:rPr>
          <w:rStyle w:val="CommentReference"/>
          <w:rFonts w:ascii="Arial" w:hAnsi="Arial" w:cs="Arial"/>
          <w:sz w:val="22"/>
          <w:szCs w:val="22"/>
        </w:rPr>
        <w:commentReference w:id="11"/>
      </w:r>
      <w:r w:rsidR="007D38AB" w:rsidRPr="003B14B6">
        <w:rPr>
          <w:rFonts w:ascii="Arial" w:hAnsi="Arial" w:cs="Arial"/>
          <w:color w:val="222222"/>
          <w:sz w:val="22"/>
          <w:szCs w:val="22"/>
        </w:rPr>
        <w:t xml:space="preserve"> </w:t>
      </w:r>
      <w:r w:rsidR="007D38AB" w:rsidRPr="003B14B6">
        <w:rPr>
          <w:rFonts w:ascii="Arial" w:hAnsi="Arial" w:cs="Arial"/>
          <w:color w:val="222222"/>
          <w:sz w:val="22"/>
          <w:szCs w:val="22"/>
        </w:rPr>
        <w:fldChar w:fldCharType="begin">
          <w:fldData xml:space="preserve">PEVuZE5vdGU+PENpdGU+PEF1dGhvcj5HdW88L0F1dGhvcj48WWVhcj4yMDE3PC9ZZWFyPjxSZWNO
dW0+MTc1NDwvUmVjTnVtPjxEaXNwbGF5VGV4dD5bMV08L0Rpc3BsYXlUZXh0PjxyZWNvcmQ+PHJl
Yy1udW1iZXI+MTc1NDwvcmVjLW51bWJlcj48Zm9yZWlnbi1rZXlzPjxrZXkgYXBwPSJFTiIgZGIt
aWQ9ImYyd3NlcmRlcGR3MndiZXhkNWFwdHdkdHJ6ZWF3OTIyZWRzeCIgdGltZXN0YW1wPSIxNTc1
MzE3Mzk1Ij4xNzU0PC9rZXk+PC9mb3JlaWduLWtleXM+PHJlZi10eXBlIG5hbWU9IkpvdXJuYWwg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ZXJpb2RpY2FsPjxmdWxsLXRpdGxlPk5hdCBHZW5ldDwvZnVsbC10aXRsZT48L3BlcmlvZGljYWw+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</w:fldData>
        </w:fldChar>
      </w:r>
      <w:r w:rsidR="007D38AB" w:rsidRPr="003B14B6">
        <w:rPr>
          <w:rFonts w:ascii="Arial" w:hAnsi="Arial" w:cs="Arial"/>
          <w:color w:val="222222"/>
          <w:sz w:val="22"/>
          <w:szCs w:val="22"/>
        </w:rPr>
        <w:instrText xml:space="preserve"> ADDIN EN.CITE </w:instrText>
      </w:r>
      <w:r w:rsidR="007D38AB" w:rsidRPr="003B14B6">
        <w:rPr>
          <w:rFonts w:ascii="Arial" w:hAnsi="Arial" w:cs="Arial"/>
          <w:color w:val="222222"/>
          <w:sz w:val="22"/>
          <w:szCs w:val="22"/>
        </w:rPr>
        <w:fldChar w:fldCharType="begin">
          <w:fldData xml:space="preserve">PEVuZE5vdGU+PENpdGU+PEF1dGhvcj5HdW88L0F1dGhvcj48WWVhcj4yMDE3PC9ZZWFyPjxSZWNO
dW0+MTc1NDwvUmVjTnVtPjxEaXNwbGF5VGV4dD5bMV08L0Rpc3BsYXlUZXh0PjxyZWNvcmQ+PHJl
Yy1udW1iZXI+MTc1NDwvcmVjLW51bWJlcj48Zm9yZWlnbi1rZXlzPjxrZXkgYXBwPSJFTiIgZGIt
aWQ9ImYyd3NlcmRlcGR3MndiZXhkNWFwdHdkdHJ6ZWF3OTIyZWRzeCIgdGltZXN0YW1wPSIxNTc1
MzE3Mzk1Ij4xNzU0PC9rZXk+PC9mb3JlaWduLWtleXM+PHJlZi10eXBlIG5hbWU9IkpvdXJuYWwg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ZXJpb2RpY2FsPjxmdWxsLXRpdGxlPk5hdCBHZW5ldDwvZnVsbC10aXRsZT48L3BlcmlvZGljYWw+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</w:fldData>
        </w:fldChar>
      </w:r>
      <w:r w:rsidR="007D38AB" w:rsidRPr="003B14B6">
        <w:rPr>
          <w:rFonts w:ascii="Arial" w:hAnsi="Arial" w:cs="Arial"/>
          <w:color w:val="222222"/>
          <w:sz w:val="22"/>
          <w:szCs w:val="22"/>
        </w:rPr>
        <w:instrText xml:space="preserve"> ADDIN EN.CITE.DATA </w:instrText>
      </w:r>
      <w:r w:rsidR="007D38AB" w:rsidRPr="003B14B6">
        <w:rPr>
          <w:rFonts w:ascii="Arial" w:hAnsi="Arial" w:cs="Arial"/>
          <w:color w:val="222222"/>
          <w:sz w:val="22"/>
          <w:szCs w:val="22"/>
        </w:rPr>
      </w:r>
      <w:r w:rsidR="007D38AB" w:rsidRPr="003B14B6">
        <w:rPr>
          <w:rFonts w:ascii="Arial" w:hAnsi="Arial" w:cs="Arial"/>
          <w:color w:val="222222"/>
          <w:sz w:val="22"/>
          <w:szCs w:val="22"/>
        </w:rPr>
        <w:fldChar w:fldCharType="end"/>
      </w:r>
      <w:r w:rsidR="007D38AB" w:rsidRPr="003B14B6">
        <w:rPr>
          <w:rFonts w:ascii="Arial" w:hAnsi="Arial" w:cs="Arial"/>
          <w:color w:val="222222"/>
          <w:sz w:val="22"/>
          <w:szCs w:val="22"/>
        </w:rPr>
      </w:r>
      <w:r w:rsidR="007D38AB" w:rsidRPr="003B14B6">
        <w:rPr>
          <w:rFonts w:ascii="Arial" w:hAnsi="Arial" w:cs="Arial"/>
          <w:color w:val="222222"/>
          <w:sz w:val="22"/>
          <w:szCs w:val="22"/>
        </w:rPr>
        <w:fldChar w:fldCharType="separate"/>
      </w:r>
      <w:r w:rsidR="007D38AB" w:rsidRPr="003B14B6">
        <w:rPr>
          <w:rFonts w:ascii="Arial" w:hAnsi="Arial" w:cs="Arial"/>
          <w:noProof/>
          <w:color w:val="222222"/>
          <w:sz w:val="22"/>
          <w:szCs w:val="22"/>
        </w:rPr>
        <w:t>[1]</w:t>
      </w:r>
      <w:r w:rsidR="007D38AB" w:rsidRPr="003B14B6">
        <w:rPr>
          <w:rFonts w:ascii="Arial" w:hAnsi="Arial" w:cs="Arial"/>
          <w:color w:val="222222"/>
          <w:sz w:val="22"/>
          <w:szCs w:val="22"/>
        </w:rPr>
        <w:fldChar w:fldCharType="end"/>
      </w:r>
      <w:r w:rsidR="007D38AB" w:rsidRPr="003B14B6">
        <w:rPr>
          <w:rFonts w:ascii="Arial" w:hAnsi="Arial" w:cs="Arial"/>
          <w:color w:val="222222"/>
          <w:sz w:val="22"/>
          <w:szCs w:val="22"/>
        </w:rPr>
        <w:t xml:space="preserve">. </w:t>
      </w:r>
      <w:r w:rsidR="007D38AB" w:rsidRPr="003B14B6">
        <w:rPr>
          <w:rFonts w:ascii="Arial" w:hAnsi="Arial" w:cs="Arial"/>
          <w:color w:val="222222"/>
          <w:sz w:val="22"/>
          <w:szCs w:val="22"/>
        </w:rPr>
        <w:t>A</w:t>
      </w:r>
      <w:r w:rsidR="007D38AB" w:rsidRPr="003B14B6">
        <w:rPr>
          <w:rFonts w:ascii="Arial" w:hAnsi="Arial" w:cs="Arial"/>
          <w:color w:val="222222"/>
          <w:sz w:val="22"/>
          <w:szCs w:val="22"/>
        </w:rPr>
        <w:t xml:space="preserve">ll paired-end (PE) or single-end (SE) </w:t>
      </w:r>
      <w:proofErr w:type="spellStart"/>
      <w:r w:rsidR="007D38AB" w:rsidRPr="003B14B6">
        <w:rPr>
          <w:rFonts w:ascii="Arial" w:hAnsi="Arial" w:cs="Arial"/>
          <w:color w:val="222222"/>
          <w:sz w:val="22"/>
          <w:szCs w:val="22"/>
        </w:rPr>
        <w:t>fastq</w:t>
      </w:r>
      <w:proofErr w:type="spellEnd"/>
      <w:r w:rsidR="007D38AB" w:rsidRPr="003B14B6">
        <w:rPr>
          <w:rFonts w:ascii="Arial" w:hAnsi="Arial" w:cs="Arial"/>
          <w:color w:val="222222"/>
          <w:sz w:val="22"/>
          <w:szCs w:val="22"/>
        </w:rPr>
        <w:t xml:space="preserve"> files </w:t>
      </w:r>
      <w:r w:rsidR="007D38AB" w:rsidRPr="003B14B6">
        <w:rPr>
          <w:rFonts w:ascii="Arial" w:hAnsi="Arial" w:cs="Arial"/>
          <w:color w:val="222222"/>
          <w:sz w:val="22"/>
          <w:szCs w:val="22"/>
        </w:rPr>
        <w:t xml:space="preserve">will be trimmed </w:t>
      </w:r>
      <w:r w:rsidR="007D38AB" w:rsidRPr="003B14B6">
        <w:rPr>
          <w:rFonts w:ascii="Arial" w:hAnsi="Arial" w:cs="Arial"/>
          <w:color w:val="222222"/>
          <w:sz w:val="22"/>
          <w:szCs w:val="22"/>
        </w:rPr>
        <w:t xml:space="preserve">using trim-galore version 0.6.5 to remove low-quality bases and biased read positions. Next, the reads </w:t>
      </w:r>
      <w:proofErr w:type="gramStart"/>
      <w:r w:rsidR="006D438B" w:rsidRPr="003B14B6">
        <w:rPr>
          <w:rFonts w:ascii="Arial" w:hAnsi="Arial" w:cs="Arial"/>
          <w:color w:val="222222"/>
          <w:sz w:val="22"/>
          <w:szCs w:val="22"/>
        </w:rPr>
        <w:t>are</w:t>
      </w:r>
      <w:r w:rsidR="007D38AB" w:rsidRPr="003B14B6">
        <w:rPr>
          <w:rFonts w:ascii="Arial" w:hAnsi="Arial" w:cs="Arial"/>
          <w:color w:val="222222"/>
          <w:sz w:val="22"/>
          <w:szCs w:val="22"/>
        </w:rPr>
        <w:t xml:space="preserve"> encoded</w:t>
      </w:r>
      <w:proofErr w:type="gramEnd"/>
      <w:r w:rsidR="007D38AB" w:rsidRPr="003B14B6">
        <w:rPr>
          <w:rFonts w:ascii="Arial" w:hAnsi="Arial" w:cs="Arial"/>
          <w:color w:val="222222"/>
          <w:sz w:val="22"/>
          <w:szCs w:val="22"/>
        </w:rPr>
        <w:t xml:space="preserve"> to map to a three-letter genome via conversion of all </w:t>
      </w:r>
      <w:proofErr w:type="spellStart"/>
      <w:r w:rsidR="007D38AB" w:rsidRPr="003B14B6">
        <w:rPr>
          <w:rFonts w:ascii="Arial" w:hAnsi="Arial" w:cs="Arial"/>
          <w:color w:val="222222"/>
          <w:sz w:val="22"/>
          <w:szCs w:val="22"/>
        </w:rPr>
        <w:t>cytosines</w:t>
      </w:r>
      <w:proofErr w:type="spellEnd"/>
      <w:r w:rsidR="007D38AB" w:rsidRPr="003B14B6">
        <w:rPr>
          <w:rFonts w:ascii="Arial" w:hAnsi="Arial" w:cs="Arial"/>
          <w:color w:val="222222"/>
          <w:sz w:val="22"/>
          <w:szCs w:val="22"/>
        </w:rPr>
        <w:t xml:space="preserve"> to </w:t>
      </w:r>
      <w:proofErr w:type="spellStart"/>
      <w:r w:rsidR="007D38AB" w:rsidRPr="003B14B6">
        <w:rPr>
          <w:rFonts w:ascii="Arial" w:hAnsi="Arial" w:cs="Arial"/>
          <w:color w:val="222222"/>
          <w:sz w:val="22"/>
          <w:szCs w:val="22"/>
        </w:rPr>
        <w:t>thymidines</w:t>
      </w:r>
      <w:proofErr w:type="spellEnd"/>
      <w:r w:rsidR="007D38AB" w:rsidRPr="003B14B6">
        <w:rPr>
          <w:rFonts w:ascii="Arial" w:hAnsi="Arial" w:cs="Arial"/>
          <w:color w:val="222222"/>
          <w:sz w:val="22"/>
          <w:szCs w:val="22"/>
        </w:rPr>
        <w:t xml:space="preserve"> or all guanines to adenines for the reads that </w:t>
      </w:r>
      <w:r w:rsidR="008F168D">
        <w:rPr>
          <w:rFonts w:ascii="Arial" w:hAnsi="Arial" w:cs="Arial"/>
          <w:color w:val="222222"/>
          <w:sz w:val="22"/>
          <w:szCs w:val="22"/>
        </w:rPr>
        <w:t>app</w:t>
      </w:r>
      <w:r w:rsidR="006D438B" w:rsidRPr="003B14B6">
        <w:rPr>
          <w:rFonts w:ascii="Arial" w:hAnsi="Arial" w:cs="Arial"/>
          <w:color w:val="222222"/>
          <w:sz w:val="22"/>
          <w:szCs w:val="22"/>
        </w:rPr>
        <w:t>ear</w:t>
      </w:r>
      <w:r w:rsidR="007D38AB" w:rsidRPr="003B14B6">
        <w:rPr>
          <w:rFonts w:ascii="Arial" w:hAnsi="Arial" w:cs="Arial"/>
          <w:color w:val="222222"/>
          <w:sz w:val="22"/>
          <w:szCs w:val="22"/>
        </w:rPr>
        <w:t xml:space="preserve"> to </w:t>
      </w:r>
      <w:r w:rsidR="006D438B" w:rsidRPr="003B14B6">
        <w:rPr>
          <w:rFonts w:ascii="Arial" w:hAnsi="Arial" w:cs="Arial"/>
          <w:color w:val="222222"/>
          <w:sz w:val="22"/>
          <w:szCs w:val="22"/>
        </w:rPr>
        <w:t xml:space="preserve">originate </w:t>
      </w:r>
      <w:r w:rsidR="007D38AB" w:rsidRPr="003B14B6">
        <w:rPr>
          <w:rFonts w:ascii="Arial" w:hAnsi="Arial" w:cs="Arial"/>
          <w:color w:val="222222"/>
          <w:sz w:val="22"/>
          <w:szCs w:val="22"/>
        </w:rPr>
        <w:t xml:space="preserve">from the reverse-complement strand. </w:t>
      </w:r>
      <w:r w:rsidR="007D38AB" w:rsidRPr="003B14B6">
        <w:rPr>
          <w:rFonts w:ascii="Arial" w:hAnsi="Arial" w:cs="Arial"/>
          <w:color w:val="222222"/>
          <w:sz w:val="22"/>
          <w:szCs w:val="22"/>
        </w:rPr>
        <w:t>R</w:t>
      </w:r>
      <w:r w:rsidR="007D38AB" w:rsidRPr="003B14B6">
        <w:rPr>
          <w:rFonts w:ascii="Arial" w:hAnsi="Arial" w:cs="Arial"/>
          <w:color w:val="222222"/>
          <w:sz w:val="22"/>
          <w:szCs w:val="22"/>
        </w:rPr>
        <w:t xml:space="preserve">eads </w:t>
      </w:r>
      <w:r w:rsidR="006D438B" w:rsidRPr="003B14B6">
        <w:rPr>
          <w:rFonts w:ascii="Arial" w:hAnsi="Arial" w:cs="Arial"/>
          <w:color w:val="222222"/>
          <w:sz w:val="22"/>
          <w:szCs w:val="22"/>
        </w:rPr>
        <w:t>will be</w:t>
      </w:r>
      <w:r w:rsidR="007D38AB" w:rsidRPr="003B14B6">
        <w:rPr>
          <w:rFonts w:ascii="Arial" w:hAnsi="Arial" w:cs="Arial"/>
          <w:color w:val="222222"/>
          <w:sz w:val="22"/>
          <w:szCs w:val="22"/>
        </w:rPr>
        <w:t xml:space="preserve"> </w:t>
      </w:r>
      <w:r w:rsidR="007D38AB" w:rsidRPr="003B14B6">
        <w:rPr>
          <w:rFonts w:ascii="Arial" w:hAnsi="Arial" w:cs="Arial"/>
          <w:color w:val="222222"/>
          <w:sz w:val="22"/>
          <w:szCs w:val="22"/>
        </w:rPr>
        <w:t xml:space="preserve">mapped using Bowtie 2 (version </w:t>
      </w:r>
      <w:hyperlink r:id="rId11" w:history="1">
        <w:r w:rsidR="007D38AB" w:rsidRPr="003B14B6">
          <w:rPr>
            <w:rFonts w:ascii="Arial" w:hAnsi="Arial" w:cs="Arial"/>
            <w:color w:val="222222"/>
            <w:sz w:val="22"/>
            <w:szCs w:val="22"/>
          </w:rPr>
          <w:t>2.3.5.1</w:t>
        </w:r>
      </w:hyperlink>
      <w:r w:rsidR="007D38AB" w:rsidRPr="003B14B6">
        <w:rPr>
          <w:rFonts w:ascii="Arial" w:hAnsi="Arial" w:cs="Arial"/>
          <w:color w:val="222222"/>
          <w:sz w:val="22"/>
          <w:szCs w:val="22"/>
        </w:rPr>
        <w:t xml:space="preserve">) and </w:t>
      </w:r>
      <w:proofErr w:type="spellStart"/>
      <w:r w:rsidR="007D38AB" w:rsidRPr="003B14B6">
        <w:rPr>
          <w:rFonts w:ascii="Arial" w:hAnsi="Arial" w:cs="Arial"/>
          <w:color w:val="222222"/>
          <w:sz w:val="22"/>
          <w:szCs w:val="22"/>
        </w:rPr>
        <w:t>Bismark</w:t>
      </w:r>
      <w:proofErr w:type="spellEnd"/>
      <w:r w:rsidR="007D38AB" w:rsidRPr="003B14B6">
        <w:rPr>
          <w:rFonts w:ascii="Arial" w:hAnsi="Arial" w:cs="Arial"/>
          <w:color w:val="222222"/>
          <w:sz w:val="22"/>
          <w:szCs w:val="22"/>
        </w:rPr>
        <w:t xml:space="preserve"> (version 0.22.3), with the default set to both the Watson-strand- and Crick-strand-converted genomes. </w:t>
      </w:r>
      <w:r w:rsidR="006D438B" w:rsidRPr="003B14B6">
        <w:rPr>
          <w:rFonts w:ascii="Arial" w:hAnsi="Arial" w:cs="Arial"/>
          <w:color w:val="222222"/>
          <w:sz w:val="22"/>
          <w:szCs w:val="22"/>
        </w:rPr>
        <w:t>A</w:t>
      </w:r>
      <w:r w:rsidR="007D38AB" w:rsidRPr="003B14B6">
        <w:rPr>
          <w:rFonts w:ascii="Arial" w:hAnsi="Arial" w:cs="Arial"/>
          <w:color w:val="222222"/>
          <w:sz w:val="22"/>
          <w:szCs w:val="22"/>
        </w:rPr>
        <w:t xml:space="preserve">lignments with mapping-quality scores of &lt; five </w:t>
      </w:r>
      <w:r w:rsidR="006D438B" w:rsidRPr="003B14B6">
        <w:rPr>
          <w:rFonts w:ascii="Arial" w:hAnsi="Arial" w:cs="Arial"/>
          <w:color w:val="222222"/>
          <w:sz w:val="22"/>
          <w:szCs w:val="22"/>
        </w:rPr>
        <w:t>will be</w:t>
      </w:r>
      <w:r w:rsidR="007D38AB" w:rsidRPr="003B14B6">
        <w:rPr>
          <w:rFonts w:ascii="Arial" w:hAnsi="Arial" w:cs="Arial"/>
          <w:color w:val="222222"/>
          <w:sz w:val="22"/>
          <w:szCs w:val="22"/>
        </w:rPr>
        <w:t xml:space="preserve"> discarded, </w:t>
      </w:r>
      <w:r w:rsidR="006D438B" w:rsidRPr="003B14B6">
        <w:rPr>
          <w:rFonts w:ascii="Arial" w:hAnsi="Arial" w:cs="Arial"/>
          <w:color w:val="222222"/>
          <w:sz w:val="22"/>
          <w:szCs w:val="22"/>
        </w:rPr>
        <w:t>retaining only</w:t>
      </w:r>
      <w:r w:rsidR="007D38AB" w:rsidRPr="003B14B6">
        <w:rPr>
          <w:rFonts w:ascii="Arial" w:hAnsi="Arial" w:cs="Arial"/>
          <w:color w:val="222222"/>
          <w:sz w:val="22"/>
          <w:szCs w:val="22"/>
        </w:rPr>
        <w:t xml:space="preserve"> </w:t>
      </w:r>
      <w:r w:rsidR="006D438B" w:rsidRPr="003B14B6">
        <w:rPr>
          <w:rFonts w:ascii="Arial" w:hAnsi="Arial" w:cs="Arial"/>
          <w:color w:val="222222"/>
          <w:sz w:val="22"/>
          <w:szCs w:val="22"/>
        </w:rPr>
        <w:t xml:space="preserve">those </w:t>
      </w:r>
      <w:r w:rsidR="007D38AB" w:rsidRPr="003B14B6">
        <w:rPr>
          <w:rFonts w:ascii="Arial" w:hAnsi="Arial" w:cs="Arial"/>
          <w:color w:val="222222"/>
          <w:sz w:val="22"/>
          <w:szCs w:val="22"/>
        </w:rPr>
        <w:t xml:space="preserve">with a higher best-mapping-quality score in either the Watson or Crick strand. </w:t>
      </w:r>
      <w:r w:rsidR="006D438B" w:rsidRPr="003B14B6">
        <w:rPr>
          <w:rFonts w:ascii="Arial" w:hAnsi="Arial" w:cs="Arial"/>
          <w:color w:val="222222"/>
          <w:sz w:val="22"/>
          <w:szCs w:val="22"/>
        </w:rPr>
        <w:t>Thereafter</w:t>
      </w:r>
      <w:r w:rsidR="007D38AB" w:rsidRPr="003B14B6">
        <w:rPr>
          <w:rFonts w:ascii="Arial" w:hAnsi="Arial" w:cs="Arial"/>
          <w:color w:val="222222"/>
          <w:sz w:val="22"/>
          <w:szCs w:val="22"/>
        </w:rPr>
        <w:t xml:space="preserve"> encoded read sequences </w:t>
      </w:r>
      <w:proofErr w:type="gramStart"/>
      <w:r w:rsidR="006D438B" w:rsidRPr="003B14B6">
        <w:rPr>
          <w:rFonts w:ascii="Arial" w:hAnsi="Arial" w:cs="Arial"/>
          <w:color w:val="222222"/>
          <w:sz w:val="22"/>
          <w:szCs w:val="22"/>
        </w:rPr>
        <w:t>will be</w:t>
      </w:r>
      <w:r w:rsidR="007D38AB" w:rsidRPr="003B14B6">
        <w:rPr>
          <w:rFonts w:ascii="Arial" w:hAnsi="Arial" w:cs="Arial"/>
          <w:color w:val="222222"/>
          <w:sz w:val="22"/>
          <w:szCs w:val="22"/>
        </w:rPr>
        <w:t xml:space="preserve"> replaced</w:t>
      </w:r>
      <w:proofErr w:type="gramEnd"/>
      <w:r w:rsidR="007D38AB" w:rsidRPr="003B14B6">
        <w:rPr>
          <w:rFonts w:ascii="Arial" w:hAnsi="Arial" w:cs="Arial"/>
          <w:color w:val="222222"/>
          <w:sz w:val="22"/>
          <w:szCs w:val="22"/>
        </w:rPr>
        <w:t xml:space="preserve"> by the original read sequences in the final BAM files. Overlapping paired-end reads </w:t>
      </w:r>
      <w:proofErr w:type="gramStart"/>
      <w:r w:rsidR="006D438B" w:rsidRPr="003B14B6">
        <w:rPr>
          <w:rFonts w:ascii="Arial" w:hAnsi="Arial" w:cs="Arial"/>
          <w:color w:val="222222"/>
          <w:sz w:val="22"/>
          <w:szCs w:val="22"/>
        </w:rPr>
        <w:t>will also be</w:t>
      </w:r>
      <w:r w:rsidR="007D38AB" w:rsidRPr="003B14B6">
        <w:rPr>
          <w:rFonts w:ascii="Arial" w:hAnsi="Arial" w:cs="Arial"/>
          <w:color w:val="222222"/>
          <w:sz w:val="22"/>
          <w:szCs w:val="22"/>
        </w:rPr>
        <w:t xml:space="preserve"> clipped</w:t>
      </w:r>
      <w:proofErr w:type="gramEnd"/>
      <w:r w:rsidR="007D38AB" w:rsidRPr="003B14B6">
        <w:rPr>
          <w:rFonts w:ascii="Arial" w:hAnsi="Arial" w:cs="Arial"/>
          <w:color w:val="222222"/>
          <w:sz w:val="22"/>
          <w:szCs w:val="22"/>
        </w:rPr>
        <w:t xml:space="preserve"> with the </w:t>
      </w:r>
      <w:proofErr w:type="spellStart"/>
      <w:r w:rsidR="007D38AB" w:rsidRPr="003B14B6">
        <w:rPr>
          <w:rFonts w:ascii="Arial" w:hAnsi="Arial" w:cs="Arial"/>
          <w:color w:val="222222"/>
          <w:sz w:val="22"/>
          <w:szCs w:val="22"/>
        </w:rPr>
        <w:t>bamUtils</w:t>
      </w:r>
      <w:proofErr w:type="spellEnd"/>
      <w:r w:rsidR="007D38AB" w:rsidRPr="003B14B6">
        <w:rPr>
          <w:rFonts w:ascii="Arial" w:hAnsi="Arial" w:cs="Arial"/>
          <w:color w:val="222222"/>
          <w:sz w:val="22"/>
          <w:szCs w:val="22"/>
        </w:rPr>
        <w:t xml:space="preserve"> </w:t>
      </w:r>
      <w:proofErr w:type="spellStart"/>
      <w:r w:rsidR="007D38AB" w:rsidRPr="003B14B6">
        <w:rPr>
          <w:rFonts w:ascii="Arial" w:hAnsi="Arial" w:cs="Arial"/>
          <w:color w:val="222222"/>
          <w:sz w:val="22"/>
          <w:szCs w:val="22"/>
        </w:rPr>
        <w:t>clipOverlap</w:t>
      </w:r>
      <w:proofErr w:type="spellEnd"/>
      <w:r w:rsidR="007D38AB" w:rsidRPr="003B14B6">
        <w:rPr>
          <w:rFonts w:ascii="Arial" w:hAnsi="Arial" w:cs="Arial"/>
          <w:color w:val="222222"/>
          <w:sz w:val="22"/>
          <w:szCs w:val="22"/>
        </w:rPr>
        <w:t xml:space="preserve"> function.</w:t>
      </w:r>
    </w:p>
    <w:p w:rsidR="00CE7630" w:rsidRPr="00530011" w:rsidRDefault="00DB1DF8" w:rsidP="009B3CB3">
      <w:pPr>
        <w:spacing w:before="120"/>
        <w:rPr>
          <w:rFonts w:ascii="Arial" w:hAnsi="Arial" w:cs="Arial"/>
          <w:b/>
          <w:i/>
          <w:sz w:val="22"/>
          <w:szCs w:val="22"/>
        </w:rPr>
      </w:pPr>
      <w:r w:rsidRPr="00530011">
        <w:rPr>
          <w:rFonts w:ascii="Arial" w:hAnsi="Arial" w:cs="Arial"/>
          <w:b/>
          <w:i/>
          <w:sz w:val="22"/>
          <w:szCs w:val="22"/>
        </w:rPr>
        <w:t>Evaluation of meDELFI</w:t>
      </w:r>
      <w:r w:rsidR="00530011">
        <w:rPr>
          <w:rFonts w:ascii="Arial" w:hAnsi="Arial" w:cs="Arial"/>
          <w:b/>
          <w:i/>
          <w:sz w:val="22"/>
          <w:szCs w:val="22"/>
        </w:rPr>
        <w:t xml:space="preserve">:  </w:t>
      </w:r>
      <w:proofErr w:type="spellStart"/>
      <w:r w:rsidR="007D38AB" w:rsidRPr="003B14B6">
        <w:rPr>
          <w:rFonts w:ascii="Arial" w:hAnsi="Arial" w:cs="Arial"/>
          <w:sz w:val="22"/>
          <w:szCs w:val="22"/>
        </w:rPr>
        <w:t>MeDelfi</w:t>
      </w:r>
      <w:proofErr w:type="spellEnd"/>
      <w:r w:rsidR="007D38AB" w:rsidRPr="003B14B6">
        <w:rPr>
          <w:rFonts w:ascii="Arial" w:hAnsi="Arial" w:cs="Arial"/>
          <w:sz w:val="22"/>
          <w:szCs w:val="22"/>
        </w:rPr>
        <w:t xml:space="preserve"> analysis </w:t>
      </w:r>
      <w:r w:rsidR="00641D1D" w:rsidRPr="003B14B6">
        <w:rPr>
          <w:rFonts w:ascii="Arial" w:hAnsi="Arial" w:cs="Arial"/>
          <w:sz w:val="22"/>
          <w:szCs w:val="22"/>
        </w:rPr>
        <w:t>will be carried</w:t>
      </w:r>
      <w:r w:rsidR="007D38AB" w:rsidRPr="003B14B6">
        <w:rPr>
          <w:rFonts w:ascii="Arial" w:hAnsi="Arial" w:cs="Arial"/>
          <w:sz w:val="22"/>
          <w:szCs w:val="22"/>
        </w:rPr>
        <w:t xml:space="preserve"> out as described by </w:t>
      </w:r>
      <w:proofErr w:type="spellStart"/>
      <w:r w:rsidR="007D38AB" w:rsidRPr="003B14B6">
        <w:rPr>
          <w:rFonts w:ascii="Arial" w:hAnsi="Arial" w:cs="Arial"/>
          <w:sz w:val="22"/>
          <w:szCs w:val="22"/>
        </w:rPr>
        <w:t>Christiano</w:t>
      </w:r>
      <w:proofErr w:type="spellEnd"/>
      <w:r w:rsidR="007D38AB" w:rsidRPr="003B14B6">
        <w:rPr>
          <w:rFonts w:ascii="Arial" w:hAnsi="Arial" w:cs="Arial"/>
          <w:sz w:val="22"/>
          <w:szCs w:val="22"/>
        </w:rPr>
        <w:t xml:space="preserve"> </w:t>
      </w:r>
      <w:proofErr w:type="gramStart"/>
      <w:r w:rsidR="007D38AB" w:rsidRPr="003B14B6">
        <w:rPr>
          <w:rFonts w:ascii="Arial" w:hAnsi="Arial" w:cs="Arial"/>
          <w:sz w:val="22"/>
          <w:szCs w:val="22"/>
        </w:rPr>
        <w:t>et</w:t>
      </w:r>
      <w:proofErr w:type="gramEnd"/>
      <w:r w:rsidR="007D38AB" w:rsidRPr="003B14B6">
        <w:rPr>
          <w:rFonts w:ascii="Arial" w:hAnsi="Arial" w:cs="Arial"/>
          <w:sz w:val="22"/>
          <w:szCs w:val="22"/>
        </w:rPr>
        <w:t xml:space="preserve"> al</w:t>
      </w:r>
      <w:r w:rsidR="007D38AB" w:rsidRPr="003B14B6">
        <w:rPr>
          <w:rFonts w:ascii="Arial" w:hAnsi="Arial" w:cs="Arial"/>
          <w:sz w:val="22"/>
          <w:szCs w:val="22"/>
          <w:vertAlign w:val="superscript"/>
        </w:rPr>
        <w:t>5</w:t>
      </w:r>
      <w:r w:rsidR="007D38AB" w:rsidRPr="003B14B6">
        <w:rPr>
          <w:rFonts w:ascii="Arial" w:hAnsi="Arial" w:cs="Arial"/>
          <w:sz w:val="22"/>
          <w:szCs w:val="22"/>
        </w:rPr>
        <w:t xml:space="preserve">. </w:t>
      </w:r>
      <w:r w:rsidR="007D38AB" w:rsidRPr="003B14B6">
        <w:rPr>
          <w:rFonts w:ascii="Arial" w:hAnsi="Arial" w:cs="Arial"/>
          <w:color w:val="222222"/>
          <w:sz w:val="22"/>
          <w:szCs w:val="22"/>
        </w:rPr>
        <w:t>L</w:t>
      </w:r>
      <w:r w:rsidR="007D38AB" w:rsidRPr="003B14B6">
        <w:rPr>
          <w:rFonts w:ascii="Arial" w:hAnsi="Arial" w:cs="Arial"/>
          <w:color w:val="222222"/>
          <w:sz w:val="22"/>
          <w:szCs w:val="22"/>
        </w:rPr>
        <w:t>ocally</w:t>
      </w:r>
      <w:r w:rsidR="007D38AB" w:rsidRPr="003B14B6">
        <w:rPr>
          <w:rFonts w:ascii="Arial" w:hAnsi="Arial" w:cs="Arial"/>
          <w:color w:val="222222"/>
          <w:sz w:val="22"/>
          <w:szCs w:val="22"/>
        </w:rPr>
        <w:t>-</w:t>
      </w:r>
      <w:r w:rsidR="007D38AB" w:rsidRPr="003B14B6">
        <w:rPr>
          <w:rFonts w:ascii="Arial" w:hAnsi="Arial" w:cs="Arial"/>
          <w:color w:val="222222"/>
          <w:sz w:val="22"/>
          <w:szCs w:val="22"/>
        </w:rPr>
        <w:t xml:space="preserve"> weighte</w:t>
      </w:r>
      <w:r w:rsidR="00641D1D" w:rsidRPr="003B14B6">
        <w:rPr>
          <w:rFonts w:ascii="Arial" w:hAnsi="Arial" w:cs="Arial"/>
          <w:color w:val="222222"/>
          <w:sz w:val="22"/>
          <w:szCs w:val="22"/>
        </w:rPr>
        <w:t>d scatterplot smoothing (LOWESS</w:t>
      </w:r>
      <w:r w:rsidR="007D38AB" w:rsidRPr="003B14B6">
        <w:rPr>
          <w:rFonts w:ascii="Arial" w:hAnsi="Arial" w:cs="Arial"/>
          <w:color w:val="222222"/>
          <w:sz w:val="22"/>
          <w:szCs w:val="22"/>
        </w:rPr>
        <w:t xml:space="preserve">) regression analysis </w:t>
      </w:r>
      <w:r w:rsidR="00641D1D" w:rsidRPr="003B14B6">
        <w:rPr>
          <w:rFonts w:ascii="Arial" w:hAnsi="Arial" w:cs="Arial"/>
          <w:color w:val="222222"/>
          <w:sz w:val="22"/>
          <w:szCs w:val="22"/>
        </w:rPr>
        <w:t xml:space="preserve">on both long and short fragments </w:t>
      </w:r>
      <w:proofErr w:type="gramStart"/>
      <w:r w:rsidR="00641D1D" w:rsidRPr="003B14B6">
        <w:rPr>
          <w:rFonts w:ascii="Arial" w:hAnsi="Arial" w:cs="Arial"/>
          <w:color w:val="222222"/>
          <w:sz w:val="22"/>
          <w:szCs w:val="22"/>
        </w:rPr>
        <w:t>will be carried out</w:t>
      </w:r>
      <w:proofErr w:type="gramEnd"/>
      <w:r w:rsidR="00641D1D" w:rsidRPr="003B14B6">
        <w:rPr>
          <w:rFonts w:ascii="Arial" w:hAnsi="Arial" w:cs="Arial"/>
          <w:color w:val="222222"/>
          <w:sz w:val="22"/>
          <w:szCs w:val="22"/>
        </w:rPr>
        <w:t xml:space="preserve"> </w:t>
      </w:r>
      <w:r w:rsidR="007D38AB" w:rsidRPr="003B14B6">
        <w:rPr>
          <w:rFonts w:ascii="Arial" w:hAnsi="Arial" w:cs="Arial"/>
          <w:color w:val="222222"/>
          <w:sz w:val="22"/>
          <w:szCs w:val="22"/>
        </w:rPr>
        <w:t>with a span setting of 0.75 to the scatterplot of average fragment GC versus coverage calculated for each 100-kb bin</w:t>
      </w:r>
      <w:r w:rsidR="007D38AB" w:rsidRPr="003B14B6">
        <w:rPr>
          <w:rFonts w:ascii="Arial" w:hAnsi="Arial" w:cs="Arial"/>
          <w:color w:val="222222"/>
          <w:sz w:val="22"/>
          <w:szCs w:val="22"/>
        </w:rPr>
        <w:t xml:space="preserve"> </w:t>
      </w:r>
      <w:r w:rsidR="00641D1D" w:rsidRPr="003B14B6">
        <w:rPr>
          <w:rFonts w:ascii="Arial" w:hAnsi="Arial" w:cs="Arial"/>
          <w:color w:val="222222"/>
          <w:sz w:val="22"/>
          <w:szCs w:val="22"/>
        </w:rPr>
        <w:t xml:space="preserve">to minimize bias </w:t>
      </w:r>
      <w:r w:rsidR="00CE7630" w:rsidRPr="003B14B6">
        <w:rPr>
          <w:rFonts w:ascii="Arial" w:hAnsi="Arial" w:cs="Arial"/>
          <w:color w:val="222222"/>
          <w:sz w:val="22"/>
          <w:szCs w:val="22"/>
        </w:rPr>
        <w:t>attributable to</w:t>
      </w:r>
      <w:r w:rsidR="00641D1D" w:rsidRPr="003B14B6">
        <w:rPr>
          <w:rFonts w:ascii="Arial" w:hAnsi="Arial" w:cs="Arial"/>
          <w:color w:val="222222"/>
          <w:sz w:val="22"/>
          <w:szCs w:val="22"/>
        </w:rPr>
        <w:t xml:space="preserve"> differences in GC</w:t>
      </w:r>
      <w:r w:rsidR="003D62B7">
        <w:rPr>
          <w:rFonts w:ascii="Arial" w:hAnsi="Arial" w:cs="Arial"/>
          <w:color w:val="222222"/>
          <w:sz w:val="22"/>
          <w:szCs w:val="22"/>
        </w:rPr>
        <w:t xml:space="preserve">. </w:t>
      </w:r>
      <w:r w:rsidR="00641D1D" w:rsidRPr="003B14B6">
        <w:rPr>
          <w:rFonts w:ascii="Arial" w:hAnsi="Arial" w:cs="Arial"/>
          <w:color w:val="222222"/>
          <w:sz w:val="22"/>
          <w:szCs w:val="22"/>
        </w:rPr>
        <w:t xml:space="preserve"> </w:t>
      </w:r>
      <w:r w:rsidR="003D62B7">
        <w:rPr>
          <w:rFonts w:ascii="Arial" w:hAnsi="Arial" w:cs="Arial"/>
          <w:color w:val="222222"/>
          <w:sz w:val="22"/>
          <w:szCs w:val="22"/>
        </w:rPr>
        <w:t>S</w:t>
      </w:r>
      <w:r w:rsidR="00641D1D" w:rsidRPr="003B14B6">
        <w:rPr>
          <w:rFonts w:ascii="Arial" w:hAnsi="Arial" w:cs="Arial"/>
          <w:color w:val="222222"/>
          <w:sz w:val="22"/>
          <w:szCs w:val="22"/>
        </w:rPr>
        <w:t xml:space="preserve">aliva fragment length </w:t>
      </w:r>
      <w:r w:rsidR="003D62B7">
        <w:rPr>
          <w:rFonts w:ascii="Arial" w:hAnsi="Arial" w:cs="Arial"/>
          <w:color w:val="222222"/>
          <w:sz w:val="22"/>
          <w:szCs w:val="22"/>
        </w:rPr>
        <w:t>due to</w:t>
      </w:r>
      <w:r w:rsidR="00641D1D" w:rsidRPr="003B14B6">
        <w:rPr>
          <w:rFonts w:ascii="Arial" w:hAnsi="Arial" w:cs="Arial"/>
          <w:color w:val="222222"/>
          <w:sz w:val="22"/>
          <w:szCs w:val="22"/>
        </w:rPr>
        <w:t xml:space="preserve"> differences in length due to GC </w:t>
      </w:r>
      <w:proofErr w:type="gramStart"/>
      <w:r w:rsidR="00641D1D" w:rsidRPr="003B14B6">
        <w:rPr>
          <w:rFonts w:ascii="Arial" w:hAnsi="Arial" w:cs="Arial"/>
          <w:color w:val="222222"/>
          <w:sz w:val="22"/>
          <w:szCs w:val="22"/>
        </w:rPr>
        <w:t>will be subtracted</w:t>
      </w:r>
      <w:proofErr w:type="gramEnd"/>
      <w:r w:rsidR="00641D1D" w:rsidRPr="003B14B6">
        <w:rPr>
          <w:rFonts w:ascii="Arial" w:hAnsi="Arial" w:cs="Arial"/>
          <w:color w:val="222222"/>
          <w:sz w:val="22"/>
          <w:szCs w:val="22"/>
        </w:rPr>
        <w:t xml:space="preserve"> from the LOESS model. </w:t>
      </w:r>
      <w:r w:rsidR="00CE7630" w:rsidRPr="003B14B6">
        <w:rPr>
          <w:rFonts w:ascii="Arial" w:hAnsi="Arial" w:cs="Arial"/>
          <w:color w:val="222222"/>
          <w:sz w:val="22"/>
          <w:szCs w:val="22"/>
        </w:rPr>
        <w:t xml:space="preserve">For each sample, </w:t>
      </w:r>
      <w:r w:rsidR="00CE7630" w:rsidRPr="003B14B6">
        <w:rPr>
          <w:rFonts w:ascii="Arial" w:hAnsi="Arial" w:cs="Arial"/>
          <w:color w:val="222222"/>
          <w:sz w:val="22"/>
          <w:szCs w:val="22"/>
        </w:rPr>
        <w:t>r</w:t>
      </w:r>
      <w:r w:rsidR="00641D1D" w:rsidRPr="003B14B6">
        <w:rPr>
          <w:rFonts w:ascii="Arial" w:hAnsi="Arial" w:cs="Arial"/>
          <w:color w:val="222222"/>
          <w:sz w:val="22"/>
          <w:szCs w:val="22"/>
        </w:rPr>
        <w:t xml:space="preserve">emaining </w:t>
      </w:r>
      <w:r w:rsidR="00CE7630" w:rsidRPr="003B14B6">
        <w:rPr>
          <w:rFonts w:ascii="Arial" w:hAnsi="Arial" w:cs="Arial"/>
          <w:color w:val="222222"/>
          <w:sz w:val="22"/>
          <w:szCs w:val="22"/>
        </w:rPr>
        <w:t xml:space="preserve">short and long fragments lengths </w:t>
      </w:r>
      <w:r w:rsidR="003D62B7">
        <w:rPr>
          <w:rFonts w:ascii="Arial" w:hAnsi="Arial" w:cs="Arial"/>
          <w:color w:val="222222"/>
          <w:sz w:val="22"/>
          <w:szCs w:val="22"/>
        </w:rPr>
        <w:t>not impacted by</w:t>
      </w:r>
      <w:r w:rsidR="00CE7630" w:rsidRPr="003B14B6">
        <w:rPr>
          <w:rFonts w:ascii="Arial" w:hAnsi="Arial" w:cs="Arial"/>
          <w:color w:val="222222"/>
          <w:sz w:val="22"/>
          <w:szCs w:val="22"/>
        </w:rPr>
        <w:t xml:space="preserve"> GC </w:t>
      </w:r>
      <w:proofErr w:type="gramStart"/>
      <w:r w:rsidR="00CE7630" w:rsidRPr="003B14B6">
        <w:rPr>
          <w:rFonts w:ascii="Arial" w:hAnsi="Arial" w:cs="Arial"/>
          <w:color w:val="222222"/>
          <w:sz w:val="22"/>
          <w:szCs w:val="22"/>
        </w:rPr>
        <w:t>will be restored</w:t>
      </w:r>
      <w:proofErr w:type="gramEnd"/>
      <w:r w:rsidR="00CE7630" w:rsidRPr="003B14B6">
        <w:rPr>
          <w:rFonts w:ascii="Arial" w:hAnsi="Arial" w:cs="Arial"/>
          <w:color w:val="222222"/>
          <w:sz w:val="22"/>
          <w:szCs w:val="22"/>
        </w:rPr>
        <w:t xml:space="preserve"> to their original scale </w:t>
      </w:r>
      <w:r w:rsidR="00CE7630" w:rsidRPr="003B14B6">
        <w:rPr>
          <w:rFonts w:ascii="Arial" w:hAnsi="Arial" w:cs="Arial"/>
          <w:color w:val="222222"/>
          <w:sz w:val="22"/>
          <w:szCs w:val="22"/>
        </w:rPr>
        <w:t xml:space="preserve">by adding back the </w:t>
      </w:r>
      <w:r w:rsidR="002C2E90">
        <w:rPr>
          <w:rFonts w:ascii="Arial" w:hAnsi="Arial" w:cs="Arial"/>
          <w:color w:val="222222"/>
          <w:sz w:val="22"/>
          <w:szCs w:val="22"/>
        </w:rPr>
        <w:t>GW</w:t>
      </w:r>
      <w:r w:rsidR="00CE7630" w:rsidRPr="003B14B6">
        <w:rPr>
          <w:rFonts w:ascii="Arial" w:hAnsi="Arial" w:cs="Arial"/>
          <w:color w:val="222222"/>
          <w:sz w:val="22"/>
          <w:szCs w:val="22"/>
        </w:rPr>
        <w:t xml:space="preserve"> median short and long estimates of coverage.</w:t>
      </w:r>
      <w:r w:rsidR="00CE7630" w:rsidRPr="003B14B6">
        <w:rPr>
          <w:rFonts w:ascii="Arial" w:hAnsi="Arial" w:cs="Arial"/>
          <w:color w:val="222222"/>
          <w:sz w:val="22"/>
          <w:szCs w:val="22"/>
        </w:rPr>
        <w:t xml:space="preserve"> </w:t>
      </w:r>
      <w:r w:rsidR="00CE7630" w:rsidRPr="003B14B6">
        <w:rPr>
          <w:rFonts w:ascii="Arial" w:hAnsi="Arial" w:cs="Arial"/>
          <w:color w:val="222222"/>
          <w:sz w:val="22"/>
          <w:szCs w:val="22"/>
        </w:rPr>
        <w:t>To reduce feature space and noise further, the total GC-adjusted coverage in 5-Mb bins</w:t>
      </w:r>
      <w:r w:rsidR="00CE7630" w:rsidRPr="003B14B6">
        <w:rPr>
          <w:rFonts w:ascii="Arial" w:hAnsi="Arial" w:cs="Arial"/>
          <w:color w:val="222222"/>
          <w:sz w:val="22"/>
          <w:szCs w:val="22"/>
        </w:rPr>
        <w:t xml:space="preserve"> </w:t>
      </w:r>
      <w:proofErr w:type="gramStart"/>
      <w:r w:rsidR="00CE7630" w:rsidRPr="003B14B6">
        <w:rPr>
          <w:rFonts w:ascii="Arial" w:hAnsi="Arial" w:cs="Arial"/>
          <w:color w:val="222222"/>
          <w:sz w:val="22"/>
          <w:szCs w:val="22"/>
        </w:rPr>
        <w:t>will be calculated</w:t>
      </w:r>
      <w:proofErr w:type="gramEnd"/>
      <w:r w:rsidR="00CE7630" w:rsidRPr="003B14B6">
        <w:rPr>
          <w:rFonts w:ascii="Arial" w:hAnsi="Arial" w:cs="Arial"/>
          <w:color w:val="222222"/>
          <w:sz w:val="22"/>
          <w:szCs w:val="22"/>
        </w:rPr>
        <w:t xml:space="preserve">. To compare the variability of fragment lengths </w:t>
      </w:r>
      <w:r w:rsidR="00E17E30" w:rsidRPr="003B14B6">
        <w:rPr>
          <w:rFonts w:ascii="Arial" w:hAnsi="Arial" w:cs="Arial"/>
          <w:color w:val="222222"/>
          <w:sz w:val="22"/>
          <w:szCs w:val="22"/>
        </w:rPr>
        <w:t xml:space="preserve">between </w:t>
      </w:r>
      <w:r w:rsidR="003D62B7">
        <w:rPr>
          <w:rFonts w:ascii="Arial" w:hAnsi="Arial" w:cs="Arial"/>
          <w:color w:val="222222"/>
          <w:sz w:val="22"/>
          <w:szCs w:val="22"/>
        </w:rPr>
        <w:t>cases and control</w:t>
      </w:r>
      <w:r w:rsidR="00CE7630" w:rsidRPr="003B14B6">
        <w:rPr>
          <w:rFonts w:ascii="Arial" w:hAnsi="Arial" w:cs="Arial"/>
          <w:color w:val="222222"/>
          <w:sz w:val="22"/>
          <w:szCs w:val="22"/>
        </w:rPr>
        <w:t xml:space="preserve">, standard deviation </w:t>
      </w:r>
      <w:r w:rsidR="003D62B7">
        <w:rPr>
          <w:rFonts w:ascii="Arial" w:hAnsi="Arial" w:cs="Arial"/>
          <w:color w:val="222222"/>
          <w:sz w:val="22"/>
          <w:szCs w:val="22"/>
        </w:rPr>
        <w:t xml:space="preserve">(SD) </w:t>
      </w:r>
      <w:r w:rsidR="00CE7630" w:rsidRPr="003B14B6">
        <w:rPr>
          <w:rFonts w:ascii="Arial" w:hAnsi="Arial" w:cs="Arial"/>
          <w:color w:val="222222"/>
          <w:sz w:val="22"/>
          <w:szCs w:val="22"/>
        </w:rPr>
        <w:t xml:space="preserve">of the short to long fragmentation profiles </w:t>
      </w:r>
      <w:r w:rsidR="003D62B7">
        <w:rPr>
          <w:rFonts w:ascii="Arial" w:hAnsi="Arial" w:cs="Arial"/>
          <w:color w:val="222222"/>
          <w:sz w:val="22"/>
          <w:szCs w:val="22"/>
        </w:rPr>
        <w:t>per</w:t>
      </w:r>
      <w:r w:rsidR="00CE7630" w:rsidRPr="003B14B6">
        <w:rPr>
          <w:rFonts w:ascii="Arial" w:hAnsi="Arial" w:cs="Arial"/>
          <w:color w:val="222222"/>
          <w:sz w:val="22"/>
          <w:szCs w:val="22"/>
        </w:rPr>
        <w:t xml:space="preserve"> individual</w:t>
      </w:r>
      <w:r w:rsidR="00E17E30" w:rsidRPr="003B14B6">
        <w:rPr>
          <w:rFonts w:ascii="Arial" w:hAnsi="Arial" w:cs="Arial"/>
          <w:color w:val="222222"/>
          <w:sz w:val="22"/>
          <w:szCs w:val="22"/>
        </w:rPr>
        <w:t xml:space="preserve"> </w:t>
      </w:r>
      <w:proofErr w:type="gramStart"/>
      <w:r w:rsidR="00E17E30" w:rsidRPr="003B14B6">
        <w:rPr>
          <w:rFonts w:ascii="Arial" w:hAnsi="Arial" w:cs="Arial"/>
          <w:color w:val="222222"/>
          <w:sz w:val="22"/>
          <w:szCs w:val="22"/>
        </w:rPr>
        <w:t>will be calculated</w:t>
      </w:r>
      <w:proofErr w:type="gramEnd"/>
      <w:r w:rsidR="00E17E30" w:rsidRPr="003B14B6">
        <w:rPr>
          <w:rFonts w:ascii="Arial" w:hAnsi="Arial" w:cs="Arial"/>
          <w:color w:val="222222"/>
          <w:sz w:val="22"/>
          <w:szCs w:val="22"/>
        </w:rPr>
        <w:t xml:space="preserve"> and</w:t>
      </w:r>
      <w:r w:rsidR="00CE7630" w:rsidRPr="003B14B6">
        <w:rPr>
          <w:rFonts w:ascii="Arial" w:hAnsi="Arial" w:cs="Arial"/>
          <w:color w:val="222222"/>
          <w:sz w:val="22"/>
          <w:szCs w:val="22"/>
        </w:rPr>
        <w:t xml:space="preserve"> median </w:t>
      </w:r>
      <w:r w:rsidR="003D62B7">
        <w:rPr>
          <w:rFonts w:ascii="Arial" w:hAnsi="Arial" w:cs="Arial"/>
          <w:color w:val="222222"/>
          <w:sz w:val="22"/>
          <w:szCs w:val="22"/>
        </w:rPr>
        <w:t xml:space="preserve">SD </w:t>
      </w:r>
      <w:r w:rsidR="00E17E30" w:rsidRPr="003B14B6">
        <w:rPr>
          <w:rFonts w:ascii="Arial" w:hAnsi="Arial" w:cs="Arial"/>
          <w:color w:val="222222"/>
          <w:sz w:val="22"/>
          <w:szCs w:val="22"/>
        </w:rPr>
        <w:t xml:space="preserve">compared </w:t>
      </w:r>
      <w:r w:rsidR="003D62B7">
        <w:rPr>
          <w:rFonts w:ascii="Arial" w:hAnsi="Arial" w:cs="Arial"/>
          <w:color w:val="222222"/>
          <w:sz w:val="22"/>
          <w:szCs w:val="22"/>
        </w:rPr>
        <w:t xml:space="preserve">across groups </w:t>
      </w:r>
      <w:r w:rsidR="00CE7630" w:rsidRPr="003B14B6">
        <w:rPr>
          <w:rFonts w:ascii="Arial" w:hAnsi="Arial" w:cs="Arial"/>
          <w:color w:val="222222"/>
          <w:sz w:val="22"/>
          <w:szCs w:val="22"/>
        </w:rPr>
        <w:t>by a Wilcoxon rank-sum test.</w:t>
      </w:r>
    </w:p>
    <w:p w:rsidR="009B3CB3" w:rsidRPr="009B3CB3" w:rsidRDefault="009B3CB3" w:rsidP="009B3CB3">
      <w:pPr>
        <w:spacing w:before="120"/>
        <w:rPr>
          <w:rFonts w:ascii="Arial" w:hAnsi="Arial" w:cs="Arial"/>
          <w:b/>
          <w:i/>
          <w:sz w:val="22"/>
          <w:szCs w:val="22"/>
        </w:rPr>
      </w:pPr>
      <w:r w:rsidRPr="009B3CB3">
        <w:rPr>
          <w:rFonts w:ascii="Arial" w:hAnsi="Arial" w:cs="Arial"/>
          <w:b/>
          <w:i/>
          <w:sz w:val="22"/>
          <w:szCs w:val="22"/>
        </w:rPr>
        <w:t>Mutation Analysis</w:t>
      </w:r>
    </w:p>
    <w:p w:rsidR="00AA631B" w:rsidRPr="003B14B6" w:rsidRDefault="001F3817" w:rsidP="009B3CB3">
      <w:pPr>
        <w:spacing w:before="120"/>
        <w:rPr>
          <w:rFonts w:ascii="Arial" w:hAnsi="Arial" w:cs="Arial"/>
          <w:sz w:val="22"/>
          <w:szCs w:val="22"/>
        </w:rPr>
      </w:pPr>
      <w:r w:rsidRPr="00530011">
        <w:rPr>
          <w:rFonts w:ascii="Arial" w:hAnsi="Arial" w:cs="Arial"/>
          <w:b/>
          <w:i/>
          <w:sz w:val="22"/>
          <w:szCs w:val="22"/>
        </w:rPr>
        <w:t>Machine learning</w:t>
      </w:r>
      <w:r w:rsidRPr="003B14B6">
        <w:rPr>
          <w:rFonts w:ascii="Arial" w:hAnsi="Arial" w:cs="Arial"/>
          <w:sz w:val="22"/>
          <w:szCs w:val="22"/>
        </w:rPr>
        <w:t xml:space="preserve">:  </w:t>
      </w:r>
      <w:r w:rsidR="00AA631B" w:rsidRPr="003B14B6">
        <w:rPr>
          <w:rFonts w:ascii="Arial" w:hAnsi="Arial" w:cs="Arial"/>
          <w:sz w:val="22"/>
          <w:szCs w:val="22"/>
        </w:rPr>
        <w:t xml:space="preserve">Validated ML analytical approaches </w:t>
      </w:r>
      <w:proofErr w:type="gramStart"/>
      <w:r w:rsidR="00AA631B" w:rsidRPr="003B14B6">
        <w:rPr>
          <w:rFonts w:ascii="Arial" w:hAnsi="Arial" w:cs="Arial"/>
          <w:sz w:val="22"/>
          <w:szCs w:val="22"/>
        </w:rPr>
        <w:t>will be applied</w:t>
      </w:r>
      <w:proofErr w:type="gramEnd"/>
      <w:r w:rsidR="00AA631B" w:rsidRPr="003B14B6">
        <w:rPr>
          <w:rFonts w:ascii="Arial" w:hAnsi="Arial" w:cs="Arial"/>
          <w:sz w:val="22"/>
          <w:szCs w:val="22"/>
        </w:rPr>
        <w:t xml:space="preserve"> in identifying detection </w:t>
      </w:r>
      <w:r w:rsidRPr="003B14B6">
        <w:rPr>
          <w:rFonts w:ascii="Arial" w:hAnsi="Arial" w:cs="Arial"/>
          <w:sz w:val="22"/>
          <w:szCs w:val="22"/>
        </w:rPr>
        <w:t xml:space="preserve">of </w:t>
      </w:r>
      <w:r w:rsidR="00AA631B" w:rsidRPr="003B14B6">
        <w:rPr>
          <w:rFonts w:ascii="Arial" w:hAnsi="Arial" w:cs="Arial"/>
          <w:sz w:val="22"/>
          <w:szCs w:val="22"/>
        </w:rPr>
        <w:t xml:space="preserve">malignant transformation associated with </w:t>
      </w:r>
      <w:r w:rsidRPr="003B14B6">
        <w:rPr>
          <w:rFonts w:ascii="Arial" w:hAnsi="Arial" w:cs="Arial"/>
          <w:sz w:val="22"/>
          <w:szCs w:val="22"/>
        </w:rPr>
        <w:t>OC</w:t>
      </w:r>
      <w:r w:rsidR="00530011">
        <w:rPr>
          <w:rFonts w:ascii="Arial" w:hAnsi="Arial" w:cs="Arial"/>
          <w:sz w:val="22"/>
          <w:szCs w:val="22"/>
        </w:rPr>
        <w:t xml:space="preserve"> by </w:t>
      </w:r>
      <w:r w:rsidR="002C2E90">
        <w:rPr>
          <w:rFonts w:ascii="Arial" w:hAnsi="Arial" w:cs="Arial"/>
          <w:sz w:val="22"/>
          <w:szCs w:val="22"/>
        </w:rPr>
        <w:t>GW</w:t>
      </w:r>
      <w:r w:rsidR="00530011">
        <w:rPr>
          <w:rFonts w:ascii="Arial" w:hAnsi="Arial" w:cs="Arial"/>
          <w:sz w:val="22"/>
          <w:szCs w:val="22"/>
        </w:rPr>
        <w:t xml:space="preserve"> DELFI</w:t>
      </w:r>
      <w:r w:rsidR="009B3CB3">
        <w:rPr>
          <w:rFonts w:ascii="Arial" w:hAnsi="Arial" w:cs="Arial"/>
          <w:sz w:val="22"/>
          <w:szCs w:val="22"/>
        </w:rPr>
        <w:t>,</w:t>
      </w:r>
      <w:r w:rsidR="00530011">
        <w:rPr>
          <w:rFonts w:ascii="Arial" w:hAnsi="Arial" w:cs="Arial"/>
          <w:sz w:val="22"/>
          <w:szCs w:val="22"/>
        </w:rPr>
        <w:t xml:space="preserve"> meDELFI</w:t>
      </w:r>
      <w:r w:rsidR="009B3CB3">
        <w:rPr>
          <w:rFonts w:ascii="Arial" w:hAnsi="Arial" w:cs="Arial"/>
          <w:sz w:val="22"/>
          <w:szCs w:val="22"/>
        </w:rPr>
        <w:t xml:space="preserve"> and mutational analysis</w:t>
      </w:r>
      <w:r w:rsidR="00AA631B" w:rsidRPr="003B14B6">
        <w:rPr>
          <w:rFonts w:ascii="Arial" w:hAnsi="Arial" w:cs="Arial"/>
          <w:sz w:val="22"/>
          <w:szCs w:val="22"/>
        </w:rPr>
        <w:t>. Potential informatics approaches to conduct analysis includes key supervised ML approaches including Naïve Bayes, Logistic Regression, Random Forest, Multi-layer perceptron-Artificial Neural Network a</w:t>
      </w:r>
      <w:r w:rsidRPr="003B14B6">
        <w:rPr>
          <w:rFonts w:ascii="Arial" w:hAnsi="Arial" w:cs="Arial"/>
          <w:sz w:val="22"/>
          <w:szCs w:val="22"/>
        </w:rPr>
        <w:t>mong</w:t>
      </w:r>
      <w:r w:rsidR="00AA631B" w:rsidRPr="003B14B6">
        <w:rPr>
          <w:rFonts w:ascii="Arial" w:hAnsi="Arial" w:cs="Arial"/>
          <w:sz w:val="22"/>
          <w:szCs w:val="22"/>
        </w:rPr>
        <w:t xml:space="preserve"> others to see which algorithms perform optimally</w:t>
      </w:r>
      <w:r w:rsidRPr="003B14B6">
        <w:rPr>
          <w:rFonts w:ascii="Arial" w:hAnsi="Arial" w:cs="Arial"/>
          <w:sz w:val="22"/>
          <w:szCs w:val="22"/>
        </w:rPr>
        <w:t>,</w:t>
      </w:r>
      <w:r w:rsidR="00AA631B" w:rsidRPr="003B14B6">
        <w:rPr>
          <w:rFonts w:ascii="Arial" w:hAnsi="Arial" w:cs="Arial"/>
          <w:sz w:val="22"/>
          <w:szCs w:val="22"/>
        </w:rPr>
        <w:t xml:space="preserve"> or categoriz</w:t>
      </w:r>
      <w:r w:rsidRPr="003B14B6">
        <w:rPr>
          <w:rFonts w:ascii="Arial" w:hAnsi="Arial" w:cs="Arial"/>
          <w:sz w:val="22"/>
          <w:szCs w:val="22"/>
        </w:rPr>
        <w:t xml:space="preserve">e </w:t>
      </w:r>
      <w:r w:rsidR="00AA631B" w:rsidRPr="003B14B6">
        <w:rPr>
          <w:rFonts w:ascii="Arial" w:hAnsi="Arial" w:cs="Arial"/>
          <w:sz w:val="22"/>
          <w:szCs w:val="22"/>
        </w:rPr>
        <w:t xml:space="preserve">applying support vector machines. ML algorithm </w:t>
      </w:r>
      <w:proofErr w:type="gramStart"/>
      <w:r w:rsidR="00AA631B" w:rsidRPr="003B14B6">
        <w:rPr>
          <w:rFonts w:ascii="Arial" w:hAnsi="Arial" w:cs="Arial"/>
          <w:sz w:val="22"/>
          <w:szCs w:val="22"/>
        </w:rPr>
        <w:t xml:space="preserve">will be developed and executed by using </w:t>
      </w:r>
      <w:r w:rsidRPr="003B14B6">
        <w:rPr>
          <w:rFonts w:ascii="Arial" w:hAnsi="Arial" w:cs="Arial"/>
          <w:sz w:val="22"/>
          <w:szCs w:val="22"/>
        </w:rPr>
        <w:t>ML</w:t>
      </w:r>
      <w:r w:rsidR="00AA631B" w:rsidRPr="003B14B6">
        <w:rPr>
          <w:rFonts w:ascii="Arial" w:hAnsi="Arial" w:cs="Arial"/>
          <w:sz w:val="22"/>
          <w:szCs w:val="22"/>
        </w:rPr>
        <w:t xml:space="preserve"> libraries (for example WEKA, </w:t>
      </w:r>
      <w:proofErr w:type="spellStart"/>
      <w:r w:rsidR="00AA631B" w:rsidRPr="003B14B6">
        <w:rPr>
          <w:rFonts w:ascii="Arial" w:hAnsi="Arial" w:cs="Arial"/>
          <w:sz w:val="22"/>
          <w:szCs w:val="22"/>
        </w:rPr>
        <w:t>Matlab</w:t>
      </w:r>
      <w:proofErr w:type="spellEnd"/>
      <w:r w:rsidR="00AA631B" w:rsidRPr="003B14B6">
        <w:rPr>
          <w:rFonts w:ascii="Arial" w:hAnsi="Arial" w:cs="Arial"/>
          <w:sz w:val="22"/>
          <w:szCs w:val="22"/>
        </w:rPr>
        <w:t xml:space="preserve"> or R)</w:t>
      </w:r>
      <w:proofErr w:type="gramEnd"/>
      <w:r w:rsidR="00AA631B" w:rsidRPr="003B14B6">
        <w:rPr>
          <w:rFonts w:ascii="Arial" w:hAnsi="Arial" w:cs="Arial"/>
          <w:sz w:val="22"/>
          <w:szCs w:val="22"/>
        </w:rPr>
        <w:t xml:space="preserve">. ML models </w:t>
      </w:r>
      <w:proofErr w:type="gramStart"/>
      <w:r w:rsidR="00AA631B" w:rsidRPr="003B14B6">
        <w:rPr>
          <w:rFonts w:ascii="Arial" w:hAnsi="Arial" w:cs="Arial"/>
          <w:sz w:val="22"/>
          <w:szCs w:val="22"/>
        </w:rPr>
        <w:t>will be trained</w:t>
      </w:r>
      <w:r w:rsidRPr="003B14B6">
        <w:rPr>
          <w:rFonts w:ascii="Arial" w:hAnsi="Arial" w:cs="Arial"/>
          <w:sz w:val="22"/>
          <w:szCs w:val="22"/>
        </w:rPr>
        <w:t>, tested and evaluated</w:t>
      </w:r>
      <w:proofErr w:type="gramEnd"/>
      <w:r w:rsidRPr="003B14B6">
        <w:rPr>
          <w:rFonts w:ascii="Arial" w:hAnsi="Arial" w:cs="Arial"/>
          <w:sz w:val="22"/>
          <w:szCs w:val="22"/>
        </w:rPr>
        <w:t xml:space="preserve"> using 10-</w:t>
      </w:r>
      <w:r w:rsidR="00AA631B" w:rsidRPr="003B14B6">
        <w:rPr>
          <w:rFonts w:ascii="Arial" w:hAnsi="Arial" w:cs="Arial"/>
          <w:sz w:val="22"/>
          <w:szCs w:val="22"/>
        </w:rPr>
        <w:t xml:space="preserve">fold cross validation. </w:t>
      </w:r>
      <w:r w:rsidRPr="003B14B6">
        <w:rPr>
          <w:rFonts w:ascii="Arial" w:hAnsi="Arial" w:cs="Arial"/>
          <w:sz w:val="22"/>
          <w:szCs w:val="22"/>
        </w:rPr>
        <w:t>Risk p</w:t>
      </w:r>
      <w:r w:rsidR="00AA631B" w:rsidRPr="003B14B6">
        <w:rPr>
          <w:rFonts w:ascii="Arial" w:hAnsi="Arial" w:cs="Arial"/>
          <w:sz w:val="22"/>
          <w:szCs w:val="22"/>
        </w:rPr>
        <w:t>redicti</w:t>
      </w:r>
      <w:r w:rsidRPr="003B14B6">
        <w:rPr>
          <w:rFonts w:ascii="Arial" w:hAnsi="Arial" w:cs="Arial"/>
          <w:sz w:val="22"/>
          <w:szCs w:val="22"/>
        </w:rPr>
        <w:t>on</w:t>
      </w:r>
      <w:r w:rsidR="00AA631B" w:rsidRPr="003B14B6">
        <w:rPr>
          <w:rFonts w:ascii="Arial" w:hAnsi="Arial" w:cs="Arial"/>
          <w:sz w:val="22"/>
          <w:szCs w:val="22"/>
        </w:rPr>
        <w:t xml:space="preserve"> </w:t>
      </w:r>
      <w:proofErr w:type="gramStart"/>
      <w:r w:rsidR="00AA631B" w:rsidRPr="003B14B6">
        <w:rPr>
          <w:rFonts w:ascii="Arial" w:hAnsi="Arial" w:cs="Arial"/>
          <w:sz w:val="22"/>
          <w:szCs w:val="22"/>
        </w:rPr>
        <w:t>will be treated</w:t>
      </w:r>
      <w:proofErr w:type="gramEnd"/>
      <w:r w:rsidR="00AA631B" w:rsidRPr="003B14B6">
        <w:rPr>
          <w:rFonts w:ascii="Arial" w:hAnsi="Arial" w:cs="Arial"/>
          <w:sz w:val="22"/>
          <w:szCs w:val="22"/>
        </w:rPr>
        <w:t xml:space="preserve"> as a classification problem, where the datasets will be sorted into two categories based on patient diagnosis of </w:t>
      </w:r>
      <w:r w:rsidRPr="003B14B6">
        <w:rPr>
          <w:rFonts w:ascii="Arial" w:hAnsi="Arial" w:cs="Arial"/>
          <w:sz w:val="22"/>
          <w:szCs w:val="22"/>
        </w:rPr>
        <w:t>various OCs</w:t>
      </w:r>
      <w:r w:rsidR="00AA631B" w:rsidRPr="003B14B6">
        <w:rPr>
          <w:rFonts w:ascii="Arial" w:hAnsi="Arial" w:cs="Arial"/>
          <w:sz w:val="22"/>
          <w:szCs w:val="22"/>
        </w:rPr>
        <w:t xml:space="preserve">.  Performance of various ML algorithms </w:t>
      </w:r>
      <w:proofErr w:type="gramStart"/>
      <w:r w:rsidR="00AA631B" w:rsidRPr="003B14B6">
        <w:rPr>
          <w:rFonts w:ascii="Arial" w:hAnsi="Arial" w:cs="Arial"/>
          <w:sz w:val="22"/>
          <w:szCs w:val="22"/>
        </w:rPr>
        <w:t>will be evaluated</w:t>
      </w:r>
      <w:proofErr w:type="gramEnd"/>
      <w:r w:rsidR="00AA631B" w:rsidRPr="003B14B6">
        <w:rPr>
          <w:rFonts w:ascii="Arial" w:hAnsi="Arial" w:cs="Arial"/>
          <w:sz w:val="22"/>
          <w:szCs w:val="22"/>
        </w:rPr>
        <w:t xml:space="preserve"> and compared using the following metrics: total accuracy, recall, sensitivity and specificity. To select the best performing model</w:t>
      </w:r>
      <w:r w:rsidRPr="003B14B6">
        <w:rPr>
          <w:rFonts w:ascii="Arial" w:hAnsi="Arial" w:cs="Arial"/>
          <w:sz w:val="22"/>
          <w:szCs w:val="22"/>
        </w:rPr>
        <w:t>(s),</w:t>
      </w:r>
      <w:r w:rsidR="00AA631B" w:rsidRPr="003B14B6">
        <w:rPr>
          <w:rFonts w:ascii="Arial" w:hAnsi="Arial" w:cs="Arial"/>
          <w:sz w:val="22"/>
          <w:szCs w:val="22"/>
        </w:rPr>
        <w:t xml:space="preserve"> Receiver Operating Characteristics (ROC) curve, area under ROC (AUC) and Recall-Precision curves for each ML algorithm </w:t>
      </w:r>
      <w:proofErr w:type="gramStart"/>
      <w:r w:rsidR="00AA631B" w:rsidRPr="003B14B6">
        <w:rPr>
          <w:rFonts w:ascii="Arial" w:hAnsi="Arial" w:cs="Arial"/>
          <w:sz w:val="22"/>
          <w:szCs w:val="22"/>
        </w:rPr>
        <w:t>will be plotted</w:t>
      </w:r>
      <w:proofErr w:type="gramEnd"/>
      <w:r w:rsidR="00AA631B" w:rsidRPr="003B14B6">
        <w:rPr>
          <w:rFonts w:ascii="Arial" w:hAnsi="Arial" w:cs="Arial"/>
          <w:sz w:val="22"/>
          <w:szCs w:val="22"/>
        </w:rPr>
        <w:t xml:space="preserve">. </w:t>
      </w:r>
    </w:p>
    <w:p w:rsidR="002405A4" w:rsidRPr="003B14B6" w:rsidRDefault="002405A4">
      <w:pPr>
        <w:rPr>
          <w:rFonts w:ascii="Arial" w:hAnsi="Arial" w:cs="Arial"/>
          <w:sz w:val="22"/>
          <w:szCs w:val="22"/>
        </w:rPr>
      </w:pPr>
      <w:commentRangeStart w:id="12"/>
    </w:p>
    <w:p w:rsidR="00602577" w:rsidRPr="003B14B6" w:rsidRDefault="000369C7" w:rsidP="002405A4">
      <w:pPr>
        <w:rPr>
          <w:rFonts w:ascii="Arial" w:hAnsi="Arial" w:cs="Arial"/>
          <w:sz w:val="22"/>
          <w:szCs w:val="22"/>
        </w:rPr>
      </w:pPr>
      <w:r>
        <w:rPr>
          <w:rFonts w:ascii="Arial" w:hAnsi="Arial" w:cs="Arial"/>
          <w:sz w:val="22"/>
          <w:szCs w:val="22"/>
        </w:rPr>
        <w:t>Should we propose mutational analysis?</w:t>
      </w:r>
      <w:commentRangeEnd w:id="12"/>
      <w:r>
        <w:rPr>
          <w:rStyle w:val="CommentReference"/>
        </w:rPr>
        <w:commentReference w:id="12"/>
      </w:r>
    </w:p>
    <w:p w:rsidR="000369C7" w:rsidRDefault="000369C7" w:rsidP="002405A4">
      <w:pPr>
        <w:rPr>
          <w:rFonts w:ascii="Arial" w:hAnsi="Arial" w:cs="Arial"/>
          <w:sz w:val="22"/>
          <w:szCs w:val="22"/>
        </w:rPr>
      </w:pPr>
    </w:p>
    <w:p w:rsidR="000369C7" w:rsidRDefault="000369C7" w:rsidP="002405A4">
      <w:pPr>
        <w:rPr>
          <w:rFonts w:ascii="Arial" w:hAnsi="Arial" w:cs="Arial"/>
          <w:sz w:val="22"/>
          <w:szCs w:val="22"/>
        </w:rPr>
      </w:pPr>
    </w:p>
    <w:p w:rsidR="000369C7" w:rsidRDefault="000369C7" w:rsidP="002405A4">
      <w:pPr>
        <w:rPr>
          <w:rFonts w:ascii="Arial" w:hAnsi="Arial" w:cs="Arial"/>
          <w:sz w:val="22"/>
          <w:szCs w:val="22"/>
        </w:rPr>
      </w:pPr>
    </w:p>
    <w:p w:rsidR="000369C7" w:rsidRDefault="000369C7" w:rsidP="002405A4">
      <w:pPr>
        <w:rPr>
          <w:rFonts w:ascii="Arial" w:hAnsi="Arial" w:cs="Arial"/>
          <w:sz w:val="22"/>
          <w:szCs w:val="22"/>
        </w:rPr>
      </w:pPr>
    </w:p>
    <w:p w:rsidR="000369C7" w:rsidRDefault="000369C7" w:rsidP="002405A4">
      <w:pPr>
        <w:rPr>
          <w:rFonts w:ascii="Arial" w:hAnsi="Arial" w:cs="Arial"/>
          <w:sz w:val="22"/>
          <w:szCs w:val="22"/>
        </w:rPr>
      </w:pPr>
    </w:p>
    <w:p w:rsidR="000369C7" w:rsidRDefault="000369C7" w:rsidP="002405A4">
      <w:pPr>
        <w:rPr>
          <w:rFonts w:ascii="Arial" w:hAnsi="Arial" w:cs="Arial"/>
          <w:sz w:val="22"/>
          <w:szCs w:val="22"/>
        </w:rPr>
      </w:pPr>
    </w:p>
    <w:p w:rsidR="007231B5" w:rsidRDefault="007231B5" w:rsidP="002405A4">
      <w:pPr>
        <w:rPr>
          <w:rFonts w:ascii="Arial" w:hAnsi="Arial" w:cs="Arial"/>
          <w:sz w:val="22"/>
          <w:szCs w:val="22"/>
        </w:rPr>
      </w:pPr>
    </w:p>
    <w:p w:rsidR="007231B5" w:rsidRDefault="007231B5" w:rsidP="002405A4">
      <w:pPr>
        <w:rPr>
          <w:rFonts w:ascii="Arial" w:hAnsi="Arial" w:cs="Arial"/>
          <w:sz w:val="22"/>
          <w:szCs w:val="22"/>
        </w:rPr>
      </w:pPr>
    </w:p>
    <w:p w:rsidR="007231B5" w:rsidRDefault="007231B5" w:rsidP="002405A4">
      <w:pPr>
        <w:rPr>
          <w:rFonts w:ascii="Arial" w:hAnsi="Arial" w:cs="Arial"/>
          <w:sz w:val="22"/>
          <w:szCs w:val="22"/>
        </w:rPr>
      </w:pPr>
    </w:p>
    <w:p w:rsidR="007231B5" w:rsidRDefault="007231B5" w:rsidP="002405A4">
      <w:pPr>
        <w:rPr>
          <w:rFonts w:ascii="Arial" w:hAnsi="Arial" w:cs="Arial"/>
          <w:sz w:val="22"/>
          <w:szCs w:val="22"/>
        </w:rPr>
      </w:pPr>
    </w:p>
    <w:p w:rsidR="00602577" w:rsidRPr="003B14B6" w:rsidRDefault="001A3E7D" w:rsidP="002405A4">
      <w:pPr>
        <w:rPr>
          <w:rFonts w:ascii="Arial" w:hAnsi="Arial" w:cs="Arial"/>
          <w:sz w:val="22"/>
          <w:szCs w:val="22"/>
        </w:rPr>
      </w:pPr>
      <w:r>
        <w:rPr>
          <w:rFonts w:ascii="Arial" w:hAnsi="Arial" w:cs="Arial"/>
          <w:sz w:val="22"/>
          <w:szCs w:val="22"/>
        </w:rPr>
        <w:t xml:space="preserve">Limitations:  The current study is </w:t>
      </w:r>
      <w:r w:rsidR="00674363">
        <w:rPr>
          <w:rFonts w:ascii="Arial" w:hAnsi="Arial" w:cs="Arial"/>
          <w:sz w:val="22"/>
          <w:szCs w:val="22"/>
        </w:rPr>
        <w:t xml:space="preserve">exploratory and the study team cannot anticipate the cancer type, stage of site. </w:t>
      </w:r>
      <w:r w:rsidR="00792056">
        <w:rPr>
          <w:rFonts w:ascii="Arial" w:hAnsi="Arial" w:cs="Arial"/>
          <w:sz w:val="22"/>
          <w:szCs w:val="22"/>
        </w:rPr>
        <w:t xml:space="preserve">As such, </w:t>
      </w:r>
      <w:r w:rsidR="00BB588E">
        <w:rPr>
          <w:rFonts w:ascii="Arial" w:hAnsi="Arial" w:cs="Arial"/>
          <w:sz w:val="22"/>
          <w:szCs w:val="22"/>
        </w:rPr>
        <w:t xml:space="preserve">the study may reveal variability in profiles with tissue types. </w:t>
      </w:r>
      <w:proofErr w:type="gramStart"/>
      <w:r w:rsidR="007231B5">
        <w:rPr>
          <w:rFonts w:ascii="Arial" w:hAnsi="Arial" w:cs="Arial"/>
          <w:sz w:val="22"/>
          <w:szCs w:val="22"/>
        </w:rPr>
        <w:t>Thus</w:t>
      </w:r>
      <w:proofErr w:type="gramEnd"/>
      <w:r w:rsidR="007231B5">
        <w:rPr>
          <w:rFonts w:ascii="Arial" w:hAnsi="Arial" w:cs="Arial"/>
          <w:sz w:val="22"/>
          <w:szCs w:val="22"/>
        </w:rPr>
        <w:t xml:space="preserve"> n</w:t>
      </w:r>
      <w:r w:rsidR="00BB588E">
        <w:rPr>
          <w:rFonts w:ascii="Arial" w:hAnsi="Arial" w:cs="Arial"/>
          <w:sz w:val="22"/>
          <w:szCs w:val="22"/>
        </w:rPr>
        <w:t>ot all oral cancer types may be observed among cases</w:t>
      </w:r>
      <w:r w:rsidR="007231B5">
        <w:rPr>
          <w:rFonts w:ascii="Arial" w:hAnsi="Arial" w:cs="Arial"/>
          <w:sz w:val="22"/>
          <w:szCs w:val="22"/>
        </w:rPr>
        <w:t xml:space="preserve"> and low numbers per oral cancer site and stage may preclude determination of whether profiles vary across patients with cancers in the same tissue,</w:t>
      </w:r>
      <w:r w:rsidR="00BB588E">
        <w:rPr>
          <w:rFonts w:ascii="Arial" w:hAnsi="Arial" w:cs="Arial"/>
          <w:sz w:val="22"/>
          <w:szCs w:val="22"/>
        </w:rPr>
        <w:t xml:space="preserve"> but </w:t>
      </w:r>
      <w:r w:rsidR="007231B5">
        <w:rPr>
          <w:rFonts w:ascii="Arial" w:hAnsi="Arial" w:cs="Arial"/>
          <w:sz w:val="22"/>
          <w:szCs w:val="22"/>
        </w:rPr>
        <w:t>observation of variability would also be an important finding and could be further explored in a future study in larger sample sizes</w:t>
      </w:r>
      <w:r w:rsidR="00BB588E">
        <w:rPr>
          <w:rFonts w:ascii="Arial" w:hAnsi="Arial" w:cs="Arial"/>
          <w:sz w:val="22"/>
          <w:szCs w:val="22"/>
        </w:rPr>
        <w:t>.  Collection of tissue samples as a point of comparison</w:t>
      </w:r>
      <w:r w:rsidR="007231B5">
        <w:rPr>
          <w:rFonts w:ascii="Arial" w:hAnsi="Arial" w:cs="Arial"/>
          <w:sz w:val="22"/>
          <w:szCs w:val="22"/>
        </w:rPr>
        <w:t xml:space="preserve"> with profiles of various OCs</w:t>
      </w:r>
      <w:r w:rsidR="00BB588E">
        <w:rPr>
          <w:rFonts w:ascii="Arial" w:hAnsi="Arial" w:cs="Arial"/>
          <w:sz w:val="22"/>
          <w:szCs w:val="22"/>
        </w:rPr>
        <w:t xml:space="preserve"> is not currently proposed, but several publically available databases with data on normal oral tissue specimens </w:t>
      </w:r>
      <w:r w:rsidR="007231B5">
        <w:rPr>
          <w:rFonts w:ascii="Arial" w:hAnsi="Arial" w:cs="Arial"/>
          <w:sz w:val="22"/>
          <w:szCs w:val="22"/>
        </w:rPr>
        <w:t>are</w:t>
      </w:r>
      <w:r w:rsidR="00BB588E">
        <w:rPr>
          <w:rFonts w:ascii="Arial" w:hAnsi="Arial" w:cs="Arial"/>
          <w:sz w:val="22"/>
          <w:szCs w:val="22"/>
        </w:rPr>
        <w:t xml:space="preserve"> available for comparison</w:t>
      </w:r>
      <w:r w:rsidR="007231B5">
        <w:rPr>
          <w:rFonts w:ascii="Arial" w:hAnsi="Arial" w:cs="Arial"/>
          <w:sz w:val="22"/>
          <w:szCs w:val="22"/>
        </w:rPr>
        <w:t>,</w:t>
      </w:r>
      <w:r w:rsidR="00BB588E">
        <w:rPr>
          <w:rFonts w:ascii="Arial" w:hAnsi="Arial" w:cs="Arial"/>
          <w:sz w:val="22"/>
          <w:szCs w:val="22"/>
        </w:rPr>
        <w:t xml:space="preserve"> albeit not with specimens from the same individual.  Such analyses may be feasible in future studies but are not supportable in the current study. </w:t>
      </w:r>
    </w:p>
    <w:p w:rsidR="00602577" w:rsidRPr="003B14B6" w:rsidRDefault="00602577" w:rsidP="002405A4">
      <w:pPr>
        <w:rPr>
          <w:rFonts w:ascii="Arial" w:hAnsi="Arial" w:cs="Arial"/>
          <w:sz w:val="22"/>
          <w:szCs w:val="22"/>
        </w:rPr>
      </w:pPr>
    </w:p>
    <w:sectPr w:rsidR="00602577" w:rsidRPr="003B14B6" w:rsidSect="00111C7A">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lurich, Ingrid" w:date="2019-11-22T17:51:00Z" w:initials="GI">
    <w:p w:rsidR="000810E5" w:rsidRDefault="000810E5">
      <w:pPr>
        <w:pStyle w:val="CommentText"/>
      </w:pPr>
      <w:r>
        <w:rPr>
          <w:rStyle w:val="CommentReference"/>
        </w:rPr>
        <w:annotationRef/>
      </w:r>
      <w:r>
        <w:rPr>
          <w:sz w:val="24"/>
          <w:szCs w:val="24"/>
        </w:rPr>
        <w:t xml:space="preserve">National Cancer Institute </w:t>
      </w:r>
      <w:proofErr w:type="spellStart"/>
      <w:r>
        <w:rPr>
          <w:sz w:val="24"/>
          <w:szCs w:val="24"/>
        </w:rPr>
        <w:t>Survillance</w:t>
      </w:r>
      <w:proofErr w:type="spellEnd"/>
      <w:r>
        <w:rPr>
          <w:sz w:val="24"/>
          <w:szCs w:val="24"/>
        </w:rPr>
        <w:t xml:space="preserve">, Epidemiology and End Results Program (SEER) Cancer Stat Facts: Oral cavity and pharynx cancer. </w:t>
      </w:r>
      <w:hyperlink r:id="rId1" w:history="1">
        <w:r w:rsidRPr="000934C9">
          <w:rPr>
            <w:color w:val="0000FF"/>
            <w:sz w:val="24"/>
            <w:szCs w:val="24"/>
            <w:u w:val="single"/>
          </w:rPr>
          <w:t>https://seer.cancer.gov/statfacts/html/oralcav.html</w:t>
        </w:r>
      </w:hyperlink>
    </w:p>
  </w:comment>
  <w:comment w:id="1" w:author="Glurich, Ingrid" w:date="2019-11-22T18:38:00Z" w:initials="GI">
    <w:p w:rsidR="000810E5" w:rsidRDefault="000810E5" w:rsidP="00FC57FD">
      <w:pPr>
        <w:pStyle w:val="CommentText"/>
      </w:pPr>
      <w:r>
        <w:rPr>
          <w:rStyle w:val="CommentReference"/>
        </w:rPr>
        <w:annotationRef/>
      </w:r>
      <w:r>
        <w:t xml:space="preserve">Centers for Disease Control and Prevention (CDC) Morbidity and Mortality Weekly Report (Aug 24 2018).  Trends in human papilloma virus-associated cancers-United States, 1999-2015.  </w:t>
      </w:r>
    </w:p>
    <w:p w:rsidR="000810E5" w:rsidRDefault="000810E5">
      <w:pPr>
        <w:pStyle w:val="CommentText"/>
      </w:pPr>
    </w:p>
  </w:comment>
  <w:comment w:id="2" w:author="Glurich, Ingrid" w:date="2019-11-22T18:15:00Z" w:initials="GI">
    <w:p w:rsidR="000810E5" w:rsidRDefault="000810E5" w:rsidP="00944DEA">
      <w:pPr>
        <w:pStyle w:val="CommentText"/>
      </w:pPr>
      <w:r>
        <w:rPr>
          <w:rStyle w:val="CommentReference"/>
        </w:rPr>
        <w:annotationRef/>
      </w:r>
      <w:r>
        <w:t>See ref 2 next sentence</w:t>
      </w:r>
    </w:p>
  </w:comment>
  <w:comment w:id="3" w:author="Glurich, Ingrid" w:date="2019-11-22T19:11:00Z" w:initials="GI">
    <w:p w:rsidR="000810E5" w:rsidRDefault="000810E5">
      <w:pPr>
        <w:pStyle w:val="CommentText"/>
      </w:pPr>
      <w:r>
        <w:rPr>
          <w:rStyle w:val="CommentReference"/>
        </w:rPr>
        <w:annotationRef/>
      </w:r>
      <w:r>
        <w:rPr>
          <w:sz w:val="24"/>
          <w:szCs w:val="24"/>
        </w:rPr>
        <w:t xml:space="preserve">National Cancer Institute </w:t>
      </w:r>
      <w:proofErr w:type="spellStart"/>
      <w:r>
        <w:rPr>
          <w:sz w:val="24"/>
          <w:szCs w:val="24"/>
        </w:rPr>
        <w:t>Survillance</w:t>
      </w:r>
      <w:proofErr w:type="spellEnd"/>
      <w:r>
        <w:rPr>
          <w:sz w:val="24"/>
          <w:szCs w:val="24"/>
        </w:rPr>
        <w:t xml:space="preserve">, Epidemiology and End Results Program (SEER):  Cancer statistics review (1975-2016) </w:t>
      </w:r>
      <w:hyperlink r:id="rId2" w:history="1">
        <w:r w:rsidRPr="001B5949">
          <w:rPr>
            <w:color w:val="0000FF"/>
            <w:sz w:val="24"/>
            <w:szCs w:val="24"/>
            <w:u w:val="single"/>
          </w:rPr>
          <w:t>https://seer.cancer.gov/csr/1975_2016/browse_csr.php?sectionSEL=1&amp;pageSEL=sect_01_zfig.17</w:t>
        </w:r>
      </w:hyperlink>
      <w:r>
        <w:rPr>
          <w:sz w:val="24"/>
          <w:szCs w:val="24"/>
        </w:rPr>
        <w:t xml:space="preserve"> </w:t>
      </w:r>
    </w:p>
  </w:comment>
  <w:comment w:id="4" w:author="Glurich, Ingrid" w:date="2019-11-22T20:13:00Z" w:initials="GI">
    <w:p w:rsidR="000810E5" w:rsidRDefault="000810E5">
      <w:pPr>
        <w:pStyle w:val="CommentText"/>
      </w:pPr>
      <w:r>
        <w:rPr>
          <w:rStyle w:val="CommentReference"/>
        </w:rPr>
        <w:annotationRef/>
      </w:r>
      <w:r>
        <w:t xml:space="preserve">Centers for Disease Control and Prevention (CDC) Press release:  More US adolescents up to date on HPV vaccination. 8/23/20118   </w:t>
      </w:r>
      <w:hyperlink r:id="rId3" w:history="1">
        <w:r w:rsidRPr="00541858">
          <w:rPr>
            <w:color w:val="0000FF"/>
            <w:sz w:val="24"/>
            <w:szCs w:val="24"/>
            <w:u w:val="single"/>
          </w:rPr>
          <w:t>https://www.cdc.gov/media/releases/2018/p0823-HPV-vaccination.html</w:t>
        </w:r>
      </w:hyperlink>
    </w:p>
  </w:comment>
  <w:comment w:id="5" w:author="Glurich, Ingrid" w:date="2019-11-25T07:28:00Z" w:initials="GI">
    <w:p w:rsidR="000810E5" w:rsidRDefault="000810E5">
      <w:pPr>
        <w:pStyle w:val="CommentText"/>
      </w:pPr>
      <w:r>
        <w:rPr>
          <w:rStyle w:val="CommentReference"/>
        </w:rPr>
        <w:annotationRef/>
      </w:r>
      <w:proofErr w:type="spellStart"/>
      <w:r>
        <w:t>Christiano</w:t>
      </w:r>
      <w:proofErr w:type="spellEnd"/>
      <w:r>
        <w:t xml:space="preserve"> S, Leal A, </w:t>
      </w:r>
      <w:proofErr w:type="spellStart"/>
      <w:r>
        <w:t>Phallen</w:t>
      </w:r>
      <w:proofErr w:type="spellEnd"/>
      <w:r>
        <w:t xml:space="preserve"> J et. al. …</w:t>
      </w:r>
      <w:proofErr w:type="spellStart"/>
      <w:r>
        <w:t>Velaculescu</w:t>
      </w:r>
      <w:proofErr w:type="spellEnd"/>
      <w:r>
        <w:t xml:space="preserve"> VE. Genome-wide cell-free DNA fragmentation in patients with cancer. Nature 2019</w:t>
      </w:r>
      <w:proofErr w:type="gramStart"/>
      <w:r>
        <w:t>;570:385</w:t>
      </w:r>
      <w:proofErr w:type="gramEnd"/>
      <w:r>
        <w:t xml:space="preserve">-389. </w:t>
      </w:r>
    </w:p>
    <w:p w:rsidR="000810E5" w:rsidRDefault="000810E5">
      <w:pPr>
        <w:pStyle w:val="CommentText"/>
      </w:pPr>
      <w:hyperlink r:id="rId4" w:history="1">
        <w:r w:rsidRPr="00541858">
          <w:rPr>
            <w:color w:val="0000FF"/>
            <w:sz w:val="24"/>
            <w:szCs w:val="24"/>
            <w:u w:val="single"/>
          </w:rPr>
          <w:t>https://www.nature.com/articles/s41586-019-1272-6</w:t>
        </w:r>
      </w:hyperlink>
      <w:r>
        <w:rPr>
          <w:sz w:val="24"/>
          <w:szCs w:val="24"/>
        </w:rPr>
        <w:t xml:space="preserve"> </w:t>
      </w:r>
    </w:p>
  </w:comment>
  <w:comment w:id="6" w:author="Glurich, Ingrid" w:date="2019-12-02T09:23:00Z" w:initials="GI">
    <w:p w:rsidR="000810E5" w:rsidRDefault="000810E5">
      <w:pPr>
        <w:pStyle w:val="CommentText"/>
      </w:pPr>
      <w:r>
        <w:rPr>
          <w:rStyle w:val="CommentReference"/>
        </w:rPr>
        <w:annotationRef/>
      </w:r>
      <w:r>
        <w:t xml:space="preserve">Ribeiro P, Barbosa de </w:t>
      </w:r>
      <w:proofErr w:type="spellStart"/>
      <w:r>
        <w:t>Melo</w:t>
      </w:r>
      <w:proofErr w:type="spellEnd"/>
      <w:r>
        <w:t xml:space="preserve"> J</w:t>
      </w:r>
      <w:proofErr w:type="gramStart"/>
      <w:r>
        <w:t xml:space="preserve">,  </w:t>
      </w:r>
      <w:proofErr w:type="spellStart"/>
      <w:r>
        <w:t>Carreira</w:t>
      </w:r>
      <w:proofErr w:type="spellEnd"/>
      <w:proofErr w:type="gramEnd"/>
      <w:r>
        <w:t xml:space="preserve"> IM.  Head and neck cancers: searching for genomic and epigenetic biomarkers in body fluids-the state of the art.  Molecular Cytogenetics 2019</w:t>
      </w:r>
      <w:proofErr w:type="gramStart"/>
      <w:r>
        <w:t>;12:33</w:t>
      </w:r>
      <w:proofErr w:type="gramEnd"/>
      <w:r>
        <w:t xml:space="preserve">. </w:t>
      </w:r>
    </w:p>
    <w:p w:rsidR="000810E5" w:rsidRDefault="00E12739">
      <w:pPr>
        <w:pStyle w:val="CommentText"/>
      </w:pPr>
      <w:hyperlink r:id="rId5" w:history="1">
        <w:r w:rsidRPr="009727E6">
          <w:rPr>
            <w:rStyle w:val="Hyperlink"/>
          </w:rPr>
          <w:t>https://doi.org/10.1186/s13039-019-0447-z</w:t>
        </w:r>
      </w:hyperlink>
      <w:r>
        <w:t xml:space="preserve">. </w:t>
      </w:r>
      <w:r w:rsidR="000810E5">
        <w:t xml:space="preserve"> </w:t>
      </w:r>
    </w:p>
  </w:comment>
  <w:comment w:id="7" w:author="Glurich, Ingrid" w:date="2019-12-02T09:28:00Z" w:initials="GI">
    <w:p w:rsidR="002977BC" w:rsidRDefault="002977BC">
      <w:pPr>
        <w:pStyle w:val="CommentText"/>
      </w:pPr>
      <w:r>
        <w:rPr>
          <w:rStyle w:val="CommentReference"/>
        </w:rPr>
        <w:annotationRef/>
      </w:r>
      <w:r>
        <w:t xml:space="preserve">Hu Z, Muller S, Qian G, …Chen ZG Human papillomavirus 16 </w:t>
      </w:r>
      <w:proofErr w:type="spellStart"/>
      <w:r>
        <w:t>oncoprotein</w:t>
      </w:r>
      <w:proofErr w:type="spellEnd"/>
      <w:r>
        <w:t xml:space="preserve"> regulates the translocation of β catenin via the activation of epidermal growth factor receptor.  Cancer 2015</w:t>
      </w:r>
      <w:proofErr w:type="gramStart"/>
      <w:r>
        <w:t>;121</w:t>
      </w:r>
      <w:proofErr w:type="gramEnd"/>
      <w:r>
        <w:t xml:space="preserve">(2):214-225. </w:t>
      </w:r>
      <w:hyperlink r:id="rId6" w:history="1">
        <w:r w:rsidRPr="009727E6">
          <w:rPr>
            <w:rStyle w:val="Hyperlink"/>
          </w:rPr>
          <w:t>https://www.ncbi.nlm.nih.gov/pmc/articles/PMC4293285/pdf/nihms-631511.pdf</w:t>
        </w:r>
      </w:hyperlink>
    </w:p>
  </w:comment>
  <w:comment w:id="8" w:author="Glurich, Ingrid" w:date="2019-12-02T09:29:00Z" w:initials="GI">
    <w:p w:rsidR="002977BC" w:rsidRDefault="002977BC" w:rsidP="002977BC">
      <w:pPr>
        <w:pStyle w:val="CommentText"/>
      </w:pPr>
      <w:r>
        <w:rPr>
          <w:rStyle w:val="CommentReference"/>
        </w:rPr>
        <w:annotationRef/>
      </w:r>
      <w:r>
        <w:rPr>
          <w:rStyle w:val="CommentReference"/>
        </w:rPr>
        <w:annotationRef/>
      </w:r>
      <w:r>
        <w:t xml:space="preserve">Bonner JA, </w:t>
      </w:r>
      <w:proofErr w:type="spellStart"/>
      <w:r>
        <w:t>Jarari</w:t>
      </w:r>
      <w:proofErr w:type="spellEnd"/>
      <w:r>
        <w:t xml:space="preserve"> PM, Giralt J</w:t>
      </w:r>
      <w:proofErr w:type="gramStart"/>
      <w:r>
        <w:t>,…</w:t>
      </w:r>
      <w:proofErr w:type="gramEnd"/>
      <w:r>
        <w:t xml:space="preserve"> Kian </w:t>
      </w:r>
      <w:proofErr w:type="spellStart"/>
      <w:r>
        <w:t>Ang</w:t>
      </w:r>
      <w:proofErr w:type="spellEnd"/>
      <w:r>
        <w:t xml:space="preserve">, </w:t>
      </w:r>
      <w:proofErr w:type="gramStart"/>
      <w:r>
        <w:t>K .</w:t>
      </w:r>
      <w:proofErr w:type="gramEnd"/>
      <w:r>
        <w:t xml:space="preserve">  Radiotherapy plus cetuximab for </w:t>
      </w:r>
      <w:proofErr w:type="spellStart"/>
      <w:r>
        <w:t>locoregionally</w:t>
      </w:r>
      <w:proofErr w:type="spellEnd"/>
      <w:r>
        <w:t xml:space="preserve"> advanced head and neck cancer: 5 year survival data for a phase 3 randomized trial, and relation between cetuximab-induced rash and survival. Lancet </w:t>
      </w:r>
      <w:proofErr w:type="spellStart"/>
      <w:r>
        <w:t>Oncol</w:t>
      </w:r>
      <w:proofErr w:type="spellEnd"/>
      <w:r>
        <w:t xml:space="preserve"> 2010</w:t>
      </w:r>
      <w:proofErr w:type="gramStart"/>
      <w:r>
        <w:t>;11</w:t>
      </w:r>
      <w:proofErr w:type="gramEnd"/>
      <w:r>
        <w:t xml:space="preserve">(1):21-28  </w:t>
      </w:r>
      <w:hyperlink r:id="rId7" w:history="1">
        <w:r w:rsidRPr="009727E6">
          <w:rPr>
            <w:rStyle w:val="Hyperlink"/>
          </w:rPr>
          <w:t>https://www.sciencedirect.com/science/article/pii/S1470204509703110?via%3Dihub</w:t>
        </w:r>
      </w:hyperlink>
      <w:r>
        <w:t xml:space="preserve"> </w:t>
      </w:r>
    </w:p>
    <w:p w:rsidR="002977BC" w:rsidRDefault="002977BC">
      <w:pPr>
        <w:pStyle w:val="CommentText"/>
      </w:pPr>
    </w:p>
  </w:comment>
  <w:comment w:id="9" w:author="Glurich, Ingrid" w:date="2019-12-02T17:15:00Z" w:initials="GI">
    <w:p w:rsidR="00674363" w:rsidRDefault="00674363">
      <w:pPr>
        <w:pStyle w:val="CommentText"/>
      </w:pPr>
      <w:r>
        <w:rPr>
          <w:rStyle w:val="CommentReference"/>
        </w:rPr>
        <w:annotationRef/>
      </w:r>
      <w:r>
        <w:t>Do we have any data we can show for Madison (e.g. cancer registry data or ICD10 codes)</w:t>
      </w:r>
    </w:p>
    <w:p w:rsidR="00674363" w:rsidRDefault="00674363">
      <w:pPr>
        <w:pStyle w:val="CommentText"/>
      </w:pPr>
    </w:p>
  </w:comment>
  <w:comment w:id="10" w:author="Glurich, Ingrid" w:date="2019-12-02T18:05:00Z" w:initials="GI">
    <w:p w:rsidR="008F168D" w:rsidRDefault="008F168D">
      <w:pPr>
        <w:pStyle w:val="CommentText"/>
      </w:pPr>
      <w:r>
        <w:rPr>
          <w:rStyle w:val="CommentReference"/>
        </w:rPr>
        <w:annotationRef/>
      </w:r>
      <w:proofErr w:type="spellStart"/>
      <w:r>
        <w:t>Phallen</w:t>
      </w:r>
      <w:proofErr w:type="spellEnd"/>
      <w:r>
        <w:t xml:space="preserve"> J, </w:t>
      </w:r>
      <w:proofErr w:type="spellStart"/>
      <w:r>
        <w:t>Sausen</w:t>
      </w:r>
      <w:proofErr w:type="spellEnd"/>
      <w:r>
        <w:t xml:space="preserve"> M, </w:t>
      </w:r>
      <w:proofErr w:type="spellStart"/>
      <w:r>
        <w:t>Adleff</w:t>
      </w:r>
      <w:proofErr w:type="spellEnd"/>
      <w:r>
        <w:t xml:space="preserve"> V, Leal A…</w:t>
      </w:r>
      <w:proofErr w:type="spellStart"/>
      <w:r>
        <w:t>Velculescu</w:t>
      </w:r>
      <w:proofErr w:type="spellEnd"/>
      <w:r>
        <w:t xml:space="preserve"> VE.  Direct detection of early stage cancers using circulating tumor DNA. </w:t>
      </w:r>
      <w:proofErr w:type="spellStart"/>
      <w:r>
        <w:t>Sci</w:t>
      </w:r>
      <w:proofErr w:type="spellEnd"/>
      <w:r>
        <w:t xml:space="preserve"> Trans Med 2017 August 16:9(403)</w:t>
      </w:r>
      <w:proofErr w:type="gramStart"/>
      <w:r>
        <w:t>: .</w:t>
      </w:r>
      <w:proofErr w:type="gramEnd"/>
      <w:r>
        <w:t xml:space="preserve"> doi:10.1126/scitranslmed.aan2415. </w:t>
      </w:r>
      <w:hyperlink r:id="rId8" w:history="1">
        <w:r w:rsidR="00C7306C" w:rsidRPr="009727E6">
          <w:rPr>
            <w:rStyle w:val="Hyperlink"/>
          </w:rPr>
          <w:t>https://www.ncbi.nlm.nih.gov/pmc/articles/PMC6714979/pdf/nihms-925707.pdf</w:t>
        </w:r>
      </w:hyperlink>
      <w:r w:rsidR="00C7306C">
        <w:t xml:space="preserve"> </w:t>
      </w:r>
    </w:p>
  </w:comment>
  <w:comment w:id="11" w:author="Glurich, Ingrid" w:date="2019-12-02T15:39:00Z" w:initials="GI">
    <w:p w:rsidR="007D38AB" w:rsidRDefault="007D38AB">
      <w:pPr>
        <w:pStyle w:val="CommentText"/>
      </w:pPr>
      <w:r>
        <w:rPr>
          <w:rStyle w:val="CommentReference"/>
        </w:rPr>
        <w:annotationRef/>
      </w:r>
      <w:r w:rsidRPr="007B00AB">
        <w:t xml:space="preserve">Guo, S., et al., </w:t>
      </w:r>
      <w:r w:rsidRPr="007B00AB">
        <w:rPr>
          <w:i/>
        </w:rPr>
        <w:t>Identification of methylation haplotype blocks aids in deconvolution of heterogeneous tissue samples and tumor tissue-of-origin mapping from plasma DNA.</w:t>
      </w:r>
      <w:r w:rsidRPr="007B00AB">
        <w:t xml:space="preserve"> Nat Genet, 2017. </w:t>
      </w:r>
      <w:r w:rsidRPr="007B00AB">
        <w:rPr>
          <w:b/>
        </w:rPr>
        <w:t>49</w:t>
      </w:r>
      <w:r w:rsidRPr="007B00AB">
        <w:t>(4): p. 635-642.</w:t>
      </w:r>
    </w:p>
  </w:comment>
  <w:comment w:id="12" w:author="Glurich, Ingrid" w:date="2019-12-02T17:09:00Z" w:initials="GI">
    <w:p w:rsidR="000369C7" w:rsidRDefault="000369C7">
      <w:pPr>
        <w:pStyle w:val="CommentText"/>
      </w:pPr>
      <w:r>
        <w:rPr>
          <w:rStyle w:val="CommentReference"/>
        </w:rPr>
        <w:annotationRef/>
      </w:r>
      <w:r>
        <w:t>Hi Shicheng-</w:t>
      </w:r>
      <w:r w:rsidR="00792056">
        <w:t xml:space="preserve">if yes, </w:t>
      </w:r>
      <w:r>
        <w:t xml:space="preserve">would you </w:t>
      </w:r>
      <w:r w:rsidR="00792056">
        <w:t>summarize</w:t>
      </w:r>
      <w:r>
        <w:t xml:space="preserve"> t</w:t>
      </w:r>
      <w:r w:rsidR="00792056">
        <w:t xml:space="preserve">he </w:t>
      </w:r>
      <w:proofErr w:type="gramStart"/>
      <w:r w:rsidR="00792056">
        <w:t xml:space="preserve">method </w:t>
      </w:r>
      <w:r>
        <w:t xml:space="preserve"> or</w:t>
      </w:r>
      <w:proofErr w:type="gramEnd"/>
      <w:r>
        <w:t xml:space="preserve"> </w:t>
      </w:r>
      <w:r w:rsidR="00792056">
        <w:t>should this be a</w:t>
      </w:r>
      <w:r>
        <w:t xml:space="preserve"> future direction</w:t>
      </w:r>
      <w:r w:rsidR="00792056">
        <w:t xml:space="preserve"> if it is very complex?</w:t>
      </w:r>
      <w:r w:rsidR="008F168D">
        <w:t xml:space="preserve"> </w:t>
      </w:r>
      <w:r w:rsidR="00C7306C">
        <w:t xml:space="preserve">Should we propose something like what was proposed in the </w:t>
      </w:r>
      <w:proofErr w:type="spellStart"/>
      <w:r w:rsidR="00C7306C">
        <w:t>Phallen</w:t>
      </w:r>
      <w:proofErr w:type="spellEnd"/>
      <w:r w:rsidR="00C7306C">
        <w:t xml:space="preserve"> article (see ref in margin on previous page) although that looked pretty involved.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3C48"/>
    <w:multiLevelType w:val="hybridMultilevel"/>
    <w:tmpl w:val="BC08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4F7A"/>
    <w:multiLevelType w:val="hybridMultilevel"/>
    <w:tmpl w:val="37204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73F48"/>
    <w:multiLevelType w:val="hybridMultilevel"/>
    <w:tmpl w:val="F7004AFE"/>
    <w:lvl w:ilvl="0" w:tplc="1A04914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5A671C1"/>
    <w:multiLevelType w:val="hybridMultilevel"/>
    <w:tmpl w:val="79B4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076D8"/>
    <w:multiLevelType w:val="hybridMultilevel"/>
    <w:tmpl w:val="0B1E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73D6A"/>
    <w:multiLevelType w:val="hybridMultilevel"/>
    <w:tmpl w:val="C248D0C4"/>
    <w:lvl w:ilvl="0" w:tplc="B0E84FC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372EB"/>
    <w:multiLevelType w:val="hybridMultilevel"/>
    <w:tmpl w:val="C6DC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urich, Ingrid">
    <w15:presenceInfo w15:providerId="AD" w15:userId="S-1-5-21-2000478354-1637723038-1606980848-28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A4"/>
    <w:rsid w:val="00012782"/>
    <w:rsid w:val="000369C7"/>
    <w:rsid w:val="00051F97"/>
    <w:rsid w:val="00056678"/>
    <w:rsid w:val="0006229D"/>
    <w:rsid w:val="00071FE4"/>
    <w:rsid w:val="00076E29"/>
    <w:rsid w:val="000810E5"/>
    <w:rsid w:val="00084267"/>
    <w:rsid w:val="000934C9"/>
    <w:rsid w:val="000B6BC9"/>
    <w:rsid w:val="000B6F92"/>
    <w:rsid w:val="000C79CA"/>
    <w:rsid w:val="000D097E"/>
    <w:rsid w:val="000E0270"/>
    <w:rsid w:val="000E7123"/>
    <w:rsid w:val="000F23DA"/>
    <w:rsid w:val="00103843"/>
    <w:rsid w:val="00111C7A"/>
    <w:rsid w:val="001178C1"/>
    <w:rsid w:val="00134693"/>
    <w:rsid w:val="001459AC"/>
    <w:rsid w:val="00147B14"/>
    <w:rsid w:val="00151F76"/>
    <w:rsid w:val="00156B0C"/>
    <w:rsid w:val="001828FC"/>
    <w:rsid w:val="00183D76"/>
    <w:rsid w:val="00193198"/>
    <w:rsid w:val="0019737F"/>
    <w:rsid w:val="001A2490"/>
    <w:rsid w:val="001A3E7D"/>
    <w:rsid w:val="001B5949"/>
    <w:rsid w:val="001D19A1"/>
    <w:rsid w:val="001F0914"/>
    <w:rsid w:val="001F3817"/>
    <w:rsid w:val="001F5466"/>
    <w:rsid w:val="0020301A"/>
    <w:rsid w:val="0023134A"/>
    <w:rsid w:val="002405A4"/>
    <w:rsid w:val="0024069D"/>
    <w:rsid w:val="002675C2"/>
    <w:rsid w:val="00273AEE"/>
    <w:rsid w:val="0027500C"/>
    <w:rsid w:val="00276568"/>
    <w:rsid w:val="002977BC"/>
    <w:rsid w:val="002B7BBF"/>
    <w:rsid w:val="002C2E90"/>
    <w:rsid w:val="002E6B4E"/>
    <w:rsid w:val="00300927"/>
    <w:rsid w:val="00310608"/>
    <w:rsid w:val="00313D33"/>
    <w:rsid w:val="0032686F"/>
    <w:rsid w:val="00366D07"/>
    <w:rsid w:val="003823D4"/>
    <w:rsid w:val="003B14B6"/>
    <w:rsid w:val="003B562C"/>
    <w:rsid w:val="003B7E44"/>
    <w:rsid w:val="003C3DAC"/>
    <w:rsid w:val="003C524E"/>
    <w:rsid w:val="003D42DA"/>
    <w:rsid w:val="003D62B7"/>
    <w:rsid w:val="003E1479"/>
    <w:rsid w:val="003E72AC"/>
    <w:rsid w:val="003F006B"/>
    <w:rsid w:val="003F4757"/>
    <w:rsid w:val="004164F2"/>
    <w:rsid w:val="00436AA9"/>
    <w:rsid w:val="004421B4"/>
    <w:rsid w:val="004529A0"/>
    <w:rsid w:val="004545C6"/>
    <w:rsid w:val="00460B32"/>
    <w:rsid w:val="00463323"/>
    <w:rsid w:val="00480E44"/>
    <w:rsid w:val="0049353C"/>
    <w:rsid w:val="004B0947"/>
    <w:rsid w:val="004C0AE1"/>
    <w:rsid w:val="004D320C"/>
    <w:rsid w:val="004D53A4"/>
    <w:rsid w:val="004E1C2B"/>
    <w:rsid w:val="004E286E"/>
    <w:rsid w:val="004F352E"/>
    <w:rsid w:val="005106D4"/>
    <w:rsid w:val="00513845"/>
    <w:rsid w:val="00520474"/>
    <w:rsid w:val="00521CD9"/>
    <w:rsid w:val="00527FEC"/>
    <w:rsid w:val="00530011"/>
    <w:rsid w:val="0053252E"/>
    <w:rsid w:val="00532F51"/>
    <w:rsid w:val="00537E0A"/>
    <w:rsid w:val="00541858"/>
    <w:rsid w:val="00544457"/>
    <w:rsid w:val="005743F1"/>
    <w:rsid w:val="00592524"/>
    <w:rsid w:val="005E606A"/>
    <w:rsid w:val="005F3E6F"/>
    <w:rsid w:val="00602577"/>
    <w:rsid w:val="006043FD"/>
    <w:rsid w:val="006257E2"/>
    <w:rsid w:val="006279C1"/>
    <w:rsid w:val="0063167D"/>
    <w:rsid w:val="00632A2F"/>
    <w:rsid w:val="00632F70"/>
    <w:rsid w:val="00633C5C"/>
    <w:rsid w:val="00641D1D"/>
    <w:rsid w:val="00647436"/>
    <w:rsid w:val="00660640"/>
    <w:rsid w:val="00674363"/>
    <w:rsid w:val="00680DBA"/>
    <w:rsid w:val="006826E1"/>
    <w:rsid w:val="00687137"/>
    <w:rsid w:val="00694337"/>
    <w:rsid w:val="006A1283"/>
    <w:rsid w:val="006A1627"/>
    <w:rsid w:val="006A6A75"/>
    <w:rsid w:val="006B4F45"/>
    <w:rsid w:val="006C1793"/>
    <w:rsid w:val="006D438B"/>
    <w:rsid w:val="0071075C"/>
    <w:rsid w:val="0071785D"/>
    <w:rsid w:val="007200D4"/>
    <w:rsid w:val="007231B5"/>
    <w:rsid w:val="007301CC"/>
    <w:rsid w:val="00752FE9"/>
    <w:rsid w:val="00792056"/>
    <w:rsid w:val="007C695C"/>
    <w:rsid w:val="007D38AB"/>
    <w:rsid w:val="007E2735"/>
    <w:rsid w:val="00814498"/>
    <w:rsid w:val="0082493D"/>
    <w:rsid w:val="008318F2"/>
    <w:rsid w:val="008345E3"/>
    <w:rsid w:val="0084594C"/>
    <w:rsid w:val="0085432F"/>
    <w:rsid w:val="008578C1"/>
    <w:rsid w:val="00874364"/>
    <w:rsid w:val="008755EF"/>
    <w:rsid w:val="00875FB4"/>
    <w:rsid w:val="00890B84"/>
    <w:rsid w:val="008C0A37"/>
    <w:rsid w:val="008D3293"/>
    <w:rsid w:val="008F168D"/>
    <w:rsid w:val="00931F25"/>
    <w:rsid w:val="009326FD"/>
    <w:rsid w:val="009346CE"/>
    <w:rsid w:val="00944DEA"/>
    <w:rsid w:val="00946D20"/>
    <w:rsid w:val="00952AF6"/>
    <w:rsid w:val="00957C52"/>
    <w:rsid w:val="00965BB0"/>
    <w:rsid w:val="00970E1D"/>
    <w:rsid w:val="00992097"/>
    <w:rsid w:val="0099445C"/>
    <w:rsid w:val="009A7BB8"/>
    <w:rsid w:val="009B3CB3"/>
    <w:rsid w:val="009D0FD3"/>
    <w:rsid w:val="009D2D2E"/>
    <w:rsid w:val="009D60F1"/>
    <w:rsid w:val="009E03C2"/>
    <w:rsid w:val="009F0F03"/>
    <w:rsid w:val="00A0210B"/>
    <w:rsid w:val="00A0575D"/>
    <w:rsid w:val="00A0731A"/>
    <w:rsid w:val="00A16458"/>
    <w:rsid w:val="00A21CBB"/>
    <w:rsid w:val="00A334C9"/>
    <w:rsid w:val="00A40AE0"/>
    <w:rsid w:val="00A52BF9"/>
    <w:rsid w:val="00A568C2"/>
    <w:rsid w:val="00A56F40"/>
    <w:rsid w:val="00A77686"/>
    <w:rsid w:val="00AA1D6D"/>
    <w:rsid w:val="00AA631B"/>
    <w:rsid w:val="00AB574F"/>
    <w:rsid w:val="00AF0449"/>
    <w:rsid w:val="00AF50C0"/>
    <w:rsid w:val="00B057B5"/>
    <w:rsid w:val="00B069FF"/>
    <w:rsid w:val="00B17D87"/>
    <w:rsid w:val="00B3264A"/>
    <w:rsid w:val="00B352C2"/>
    <w:rsid w:val="00B44DD6"/>
    <w:rsid w:val="00B5600E"/>
    <w:rsid w:val="00B601CA"/>
    <w:rsid w:val="00B643B3"/>
    <w:rsid w:val="00B85F79"/>
    <w:rsid w:val="00B87576"/>
    <w:rsid w:val="00BB078C"/>
    <w:rsid w:val="00BB588E"/>
    <w:rsid w:val="00BC6689"/>
    <w:rsid w:val="00BC7982"/>
    <w:rsid w:val="00BD466D"/>
    <w:rsid w:val="00BF79DB"/>
    <w:rsid w:val="00C06CC8"/>
    <w:rsid w:val="00C112BF"/>
    <w:rsid w:val="00C119A9"/>
    <w:rsid w:val="00C337D5"/>
    <w:rsid w:val="00C35FE0"/>
    <w:rsid w:val="00C45FA8"/>
    <w:rsid w:val="00C56F0B"/>
    <w:rsid w:val="00C7306C"/>
    <w:rsid w:val="00C95495"/>
    <w:rsid w:val="00CA260D"/>
    <w:rsid w:val="00CA6B9A"/>
    <w:rsid w:val="00CA7FED"/>
    <w:rsid w:val="00CB00EA"/>
    <w:rsid w:val="00CC52DB"/>
    <w:rsid w:val="00CC79BA"/>
    <w:rsid w:val="00CD7E74"/>
    <w:rsid w:val="00CE7630"/>
    <w:rsid w:val="00CE7ED9"/>
    <w:rsid w:val="00CF7B34"/>
    <w:rsid w:val="00D05968"/>
    <w:rsid w:val="00D11866"/>
    <w:rsid w:val="00D14EA3"/>
    <w:rsid w:val="00D27BC2"/>
    <w:rsid w:val="00D300F6"/>
    <w:rsid w:val="00D51582"/>
    <w:rsid w:val="00D64E16"/>
    <w:rsid w:val="00D64E18"/>
    <w:rsid w:val="00D70B32"/>
    <w:rsid w:val="00D71A29"/>
    <w:rsid w:val="00D71DF6"/>
    <w:rsid w:val="00D80ED0"/>
    <w:rsid w:val="00D8375F"/>
    <w:rsid w:val="00D84512"/>
    <w:rsid w:val="00D90974"/>
    <w:rsid w:val="00D93801"/>
    <w:rsid w:val="00DB08BB"/>
    <w:rsid w:val="00DB1DF8"/>
    <w:rsid w:val="00DB248F"/>
    <w:rsid w:val="00DB6BEB"/>
    <w:rsid w:val="00DE3698"/>
    <w:rsid w:val="00E01C0E"/>
    <w:rsid w:val="00E07CF9"/>
    <w:rsid w:val="00E12739"/>
    <w:rsid w:val="00E17E30"/>
    <w:rsid w:val="00E23B1B"/>
    <w:rsid w:val="00E400EA"/>
    <w:rsid w:val="00E710E9"/>
    <w:rsid w:val="00E74A8B"/>
    <w:rsid w:val="00E751CF"/>
    <w:rsid w:val="00E9258D"/>
    <w:rsid w:val="00E96620"/>
    <w:rsid w:val="00EB1C31"/>
    <w:rsid w:val="00EC75DB"/>
    <w:rsid w:val="00EC7827"/>
    <w:rsid w:val="00F007F2"/>
    <w:rsid w:val="00F031E3"/>
    <w:rsid w:val="00F056F4"/>
    <w:rsid w:val="00F302CA"/>
    <w:rsid w:val="00F42D6E"/>
    <w:rsid w:val="00F6138A"/>
    <w:rsid w:val="00F632C0"/>
    <w:rsid w:val="00F66C9D"/>
    <w:rsid w:val="00F9405A"/>
    <w:rsid w:val="00F9491E"/>
    <w:rsid w:val="00FB180F"/>
    <w:rsid w:val="00FB46A1"/>
    <w:rsid w:val="00FC57FD"/>
    <w:rsid w:val="00FD7D8B"/>
    <w:rsid w:val="00FE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016FD"/>
  <w15:chartTrackingRefBased/>
  <w15:docId w15:val="{87F383E4-697D-486F-B709-613833CF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5A4"/>
    <w:rPr>
      <w:color w:val="0000FF"/>
      <w:u w:val="single"/>
    </w:rPr>
  </w:style>
  <w:style w:type="paragraph" w:styleId="BalloonText">
    <w:name w:val="Balloon Text"/>
    <w:basedOn w:val="Normal"/>
    <w:link w:val="BalloonTextChar"/>
    <w:semiHidden/>
    <w:unhideWhenUsed/>
    <w:rsid w:val="004529A0"/>
    <w:rPr>
      <w:rFonts w:ascii="Segoe UI" w:hAnsi="Segoe UI" w:cs="Segoe UI"/>
      <w:sz w:val="18"/>
      <w:szCs w:val="18"/>
    </w:rPr>
  </w:style>
  <w:style w:type="character" w:customStyle="1" w:styleId="BalloonTextChar">
    <w:name w:val="Balloon Text Char"/>
    <w:basedOn w:val="DefaultParagraphFont"/>
    <w:link w:val="BalloonText"/>
    <w:semiHidden/>
    <w:rsid w:val="004529A0"/>
    <w:rPr>
      <w:rFonts w:ascii="Segoe UI" w:hAnsi="Segoe UI" w:cs="Segoe UI"/>
      <w:sz w:val="18"/>
      <w:szCs w:val="18"/>
    </w:rPr>
  </w:style>
  <w:style w:type="paragraph" w:styleId="ListParagraph">
    <w:name w:val="List Paragraph"/>
    <w:basedOn w:val="Normal"/>
    <w:uiPriority w:val="34"/>
    <w:qFormat/>
    <w:rsid w:val="00B17D87"/>
    <w:pPr>
      <w:ind w:left="720"/>
      <w:contextualSpacing/>
    </w:pPr>
  </w:style>
  <w:style w:type="character" w:customStyle="1" w:styleId="highlight">
    <w:name w:val="highlight"/>
    <w:basedOn w:val="DefaultParagraphFont"/>
    <w:rsid w:val="00FB180F"/>
  </w:style>
  <w:style w:type="character" w:styleId="CommentReference">
    <w:name w:val="annotation reference"/>
    <w:basedOn w:val="DefaultParagraphFont"/>
    <w:unhideWhenUsed/>
    <w:rsid w:val="006A1627"/>
    <w:rPr>
      <w:sz w:val="16"/>
      <w:szCs w:val="16"/>
    </w:rPr>
  </w:style>
  <w:style w:type="paragraph" w:styleId="CommentText">
    <w:name w:val="annotation text"/>
    <w:basedOn w:val="Normal"/>
    <w:link w:val="CommentTextChar"/>
    <w:unhideWhenUsed/>
    <w:rsid w:val="006A1627"/>
    <w:rPr>
      <w:sz w:val="20"/>
      <w:szCs w:val="20"/>
    </w:rPr>
  </w:style>
  <w:style w:type="character" w:customStyle="1" w:styleId="CommentTextChar">
    <w:name w:val="Comment Text Char"/>
    <w:basedOn w:val="DefaultParagraphFont"/>
    <w:link w:val="CommentText"/>
    <w:rsid w:val="006A1627"/>
  </w:style>
  <w:style w:type="paragraph" w:styleId="CommentSubject">
    <w:name w:val="annotation subject"/>
    <w:basedOn w:val="CommentText"/>
    <w:next w:val="CommentText"/>
    <w:link w:val="CommentSubjectChar"/>
    <w:semiHidden/>
    <w:unhideWhenUsed/>
    <w:rsid w:val="006A1627"/>
    <w:rPr>
      <w:b/>
      <w:bCs/>
    </w:rPr>
  </w:style>
  <w:style w:type="character" w:customStyle="1" w:styleId="CommentSubjectChar">
    <w:name w:val="Comment Subject Char"/>
    <w:basedOn w:val="CommentTextChar"/>
    <w:link w:val="CommentSubject"/>
    <w:semiHidden/>
    <w:rsid w:val="006A1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98655">
      <w:bodyDiv w:val="1"/>
      <w:marLeft w:val="0"/>
      <w:marRight w:val="0"/>
      <w:marTop w:val="0"/>
      <w:marBottom w:val="0"/>
      <w:divBdr>
        <w:top w:val="none" w:sz="0" w:space="0" w:color="auto"/>
        <w:left w:val="none" w:sz="0" w:space="0" w:color="auto"/>
        <w:bottom w:val="none" w:sz="0" w:space="0" w:color="auto"/>
        <w:right w:val="none" w:sz="0" w:space="0" w:color="auto"/>
      </w:divBdr>
    </w:div>
    <w:div w:id="698122234">
      <w:bodyDiv w:val="1"/>
      <w:marLeft w:val="0"/>
      <w:marRight w:val="0"/>
      <w:marTop w:val="0"/>
      <w:marBottom w:val="0"/>
      <w:divBdr>
        <w:top w:val="none" w:sz="0" w:space="0" w:color="auto"/>
        <w:left w:val="none" w:sz="0" w:space="0" w:color="auto"/>
        <w:bottom w:val="none" w:sz="0" w:space="0" w:color="auto"/>
        <w:right w:val="none" w:sz="0" w:space="0" w:color="auto"/>
      </w:divBdr>
    </w:div>
    <w:div w:id="871309695">
      <w:bodyDiv w:val="1"/>
      <w:marLeft w:val="0"/>
      <w:marRight w:val="0"/>
      <w:marTop w:val="0"/>
      <w:marBottom w:val="0"/>
      <w:divBdr>
        <w:top w:val="none" w:sz="0" w:space="0" w:color="auto"/>
        <w:left w:val="none" w:sz="0" w:space="0" w:color="auto"/>
        <w:bottom w:val="none" w:sz="0" w:space="0" w:color="auto"/>
        <w:right w:val="none" w:sz="0" w:space="0" w:color="auto"/>
      </w:divBdr>
    </w:div>
    <w:div w:id="1623807436">
      <w:bodyDiv w:val="1"/>
      <w:marLeft w:val="0"/>
      <w:marRight w:val="0"/>
      <w:marTop w:val="0"/>
      <w:marBottom w:val="0"/>
      <w:divBdr>
        <w:top w:val="none" w:sz="0" w:space="0" w:color="auto"/>
        <w:left w:val="none" w:sz="0" w:space="0" w:color="auto"/>
        <w:bottom w:val="none" w:sz="0" w:space="0" w:color="auto"/>
        <w:right w:val="none" w:sz="0" w:space="0" w:color="auto"/>
      </w:divBdr>
    </w:div>
    <w:div w:id="1735465203">
      <w:bodyDiv w:val="1"/>
      <w:marLeft w:val="0"/>
      <w:marRight w:val="0"/>
      <w:marTop w:val="0"/>
      <w:marBottom w:val="0"/>
      <w:divBdr>
        <w:top w:val="none" w:sz="0" w:space="0" w:color="auto"/>
        <w:left w:val="none" w:sz="0" w:space="0" w:color="auto"/>
        <w:bottom w:val="none" w:sz="0" w:space="0" w:color="auto"/>
        <w:right w:val="none" w:sz="0" w:space="0" w:color="auto"/>
      </w:divBdr>
    </w:div>
    <w:div w:id="197440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mc/articles/PMC6714979/pdf/nihms-925707.pdf" TargetMode="External"/><Relationship Id="rId3" Type="http://schemas.openxmlformats.org/officeDocument/2006/relationships/hyperlink" Target="https://www.cdc.gov/media/releases/2018/p0823-HPV-vaccination.html" TargetMode="External"/><Relationship Id="rId7" Type="http://schemas.openxmlformats.org/officeDocument/2006/relationships/hyperlink" Target="https://www.sciencedirect.com/science/article/pii/S1470204509703110?via%3Dihub" TargetMode="External"/><Relationship Id="rId2" Type="http://schemas.openxmlformats.org/officeDocument/2006/relationships/hyperlink" Target="https://seer.cancer.gov/csr/1975_2016/browse_csr.php?sectionSEL=1&amp;pageSEL=sect_01_zfig.17" TargetMode="External"/><Relationship Id="rId1" Type="http://schemas.openxmlformats.org/officeDocument/2006/relationships/hyperlink" Target="https://seer.cancer.gov/statfacts/html/oralcav.html" TargetMode="External"/><Relationship Id="rId6" Type="http://schemas.openxmlformats.org/officeDocument/2006/relationships/hyperlink" Target="https://www.ncbi.nlm.nih.gov/pmc/articles/PMC4293285/pdf/nihms-631511.pdf" TargetMode="External"/><Relationship Id="rId5" Type="http://schemas.openxmlformats.org/officeDocument/2006/relationships/hyperlink" Target="https://doi.org/10.1186/s13039-019-0447-z" TargetMode="External"/><Relationship Id="rId4" Type="http://schemas.openxmlformats.org/officeDocument/2006/relationships/hyperlink" Target="https://www.nature.com/articles/s41586-019-1272-6" TargetMode="External"/></Relationship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sourceforge.net/projects/bowtie-bio/files/bowtie2/2.3.5.1" TargetMode="External"/><Relationship Id="rId5" Type="http://schemas.openxmlformats.org/officeDocument/2006/relationships/comments" Target="comments.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29FA9-4CE5-4B34-8B98-05B2DEA00BF1}"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n-US"/>
        </a:p>
      </dgm:t>
    </dgm:pt>
    <dgm:pt modelId="{F86BAC6A-AF1A-4591-8C04-947657DAA5CA}">
      <dgm:prSet phldrT="[Text]" custT="1"/>
      <dgm:spPr>
        <a:xfrm rot="5400000">
          <a:off x="-32394" y="65464"/>
          <a:ext cx="487078" cy="356150"/>
        </a:xfrm>
        <a:prstGeom prst="chevron">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w="9525" cap="flat" cmpd="sng" algn="ctr">
          <a:solidFill>
            <a:srgbClr val="4F81BD">
              <a:hueOff val="0"/>
              <a:satOff val="0"/>
              <a:lumOff val="0"/>
              <a:alphaOff val="0"/>
            </a:srgbClr>
          </a:solidFill>
          <a:prstDash val="solid"/>
        </a:ln>
        <a:effectLst>
          <a:outerShdw blurRad="40000" dist="20000" dir="5400000" rotWithShape="0">
            <a:srgbClr val="000000">
              <a:alpha val="38000"/>
            </a:srgbClr>
          </a:outerShdw>
        </a:effectLst>
      </dgm:spPr>
      <dgm:t>
        <a:bodyPr/>
        <a:lstStyle/>
        <a:p>
          <a:endParaRPr lang="en-US" sz="900">
            <a:solidFill>
              <a:sysClr val="windowText" lastClr="000000"/>
            </a:solidFill>
            <a:latin typeface="Calibri"/>
            <a:ea typeface="+mn-ea"/>
            <a:cs typeface="+mn-cs"/>
          </a:endParaRPr>
        </a:p>
        <a:p>
          <a:r>
            <a:rPr lang="en-US" sz="900">
              <a:solidFill>
                <a:sysClr val="windowText" lastClr="000000"/>
              </a:solidFill>
              <a:latin typeface="Calibri"/>
              <a:ea typeface="+mn-ea"/>
              <a:cs typeface="+mn-cs"/>
            </a:rPr>
            <a:t>MCRI/</a:t>
          </a:r>
        </a:p>
        <a:p>
          <a:r>
            <a:rPr lang="en-US" sz="900">
              <a:solidFill>
                <a:sysClr val="windowText" lastClr="000000"/>
              </a:solidFill>
              <a:latin typeface="Calibri"/>
              <a:ea typeface="+mn-ea"/>
              <a:cs typeface="+mn-cs"/>
            </a:rPr>
            <a:t>UW</a:t>
          </a:r>
        </a:p>
      </dgm:t>
    </dgm:pt>
    <dgm:pt modelId="{0A8936BD-1E58-4A6F-B148-3C29863D1DC6}" type="parTrans" cxnId="{0A9DA7EC-F8F0-4D4F-B5E1-00FB34A9E5AA}">
      <dgm:prSet/>
      <dgm:spPr/>
      <dgm:t>
        <a:bodyPr/>
        <a:lstStyle/>
        <a:p>
          <a:endParaRPr lang="en-US"/>
        </a:p>
      </dgm:t>
    </dgm:pt>
    <dgm:pt modelId="{64E7BBD4-3AC6-4476-8917-344EE203AF39}" type="sibTrans" cxnId="{0A9DA7EC-F8F0-4D4F-B5E1-00FB34A9E5AA}">
      <dgm:prSet/>
      <dgm:spPr/>
      <dgm:t>
        <a:bodyPr/>
        <a:lstStyle/>
        <a:p>
          <a:endParaRPr lang="en-US"/>
        </a:p>
      </dgm:t>
    </dgm:pt>
    <dgm:pt modelId="{BEF9F14D-DDB9-4360-8C95-702999933EBB}">
      <dgm:prSet phldrT="[Text]" custT="1"/>
      <dgm:spPr>
        <a:xfrm rot="5400000">
          <a:off x="3297070" y="-1905242"/>
          <a:ext cx="316291" cy="6098536"/>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900" b="1">
              <a:solidFill>
                <a:sysClr val="windowText" lastClr="000000">
                  <a:hueOff val="0"/>
                  <a:satOff val="0"/>
                  <a:lumOff val="0"/>
                  <a:alphaOff val="0"/>
                </a:sysClr>
              </a:solidFill>
              <a:latin typeface="Calibri"/>
              <a:ea typeface="+mn-ea"/>
              <a:cs typeface="+mn-cs"/>
            </a:rPr>
            <a:t>Conduct molecular analysis and profile genes  potentially associated with oncogenetic processes and changes in methylation</a:t>
          </a:r>
        </a:p>
      </dgm:t>
    </dgm:pt>
    <dgm:pt modelId="{E7FA4460-DB60-4BA6-B390-60B2ACB35041}" type="parTrans" cxnId="{E7E7728C-DAFD-4BE7-97F2-3B8E07EB7E0F}">
      <dgm:prSet/>
      <dgm:spPr/>
      <dgm:t>
        <a:bodyPr/>
        <a:lstStyle/>
        <a:p>
          <a:endParaRPr lang="en-US"/>
        </a:p>
      </dgm:t>
    </dgm:pt>
    <dgm:pt modelId="{77C87C1B-F42B-4B64-8071-44DA98D52874}" type="sibTrans" cxnId="{E7E7728C-DAFD-4BE7-97F2-3B8E07EB7E0F}">
      <dgm:prSet/>
      <dgm:spPr/>
      <dgm:t>
        <a:bodyPr/>
        <a:lstStyle/>
        <a:p>
          <a:endParaRPr lang="en-US"/>
        </a:p>
      </dgm:t>
    </dgm:pt>
    <dgm:pt modelId="{D0CB2DCC-6079-4302-9C8C-3DC5348C3315}">
      <dgm:prSet phldrT="[Text]" custT="1"/>
      <dgm:spPr>
        <a:xfrm rot="5400000">
          <a:off x="3297070" y="-1905242"/>
          <a:ext cx="316291" cy="6098536"/>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900" b="1">
              <a:solidFill>
                <a:sysClr val="windowText" lastClr="000000">
                  <a:hueOff val="0"/>
                  <a:satOff val="0"/>
                  <a:lumOff val="0"/>
                  <a:alphaOff val="0"/>
                </a:sysClr>
              </a:solidFill>
              <a:latin typeface="Calibri"/>
              <a:ea typeface="+mn-ea"/>
              <a:cs typeface="+mn-cs"/>
            </a:rPr>
            <a:t>Draft manuscript and leverage preliminary data to support grant development for a larger externally funded study</a:t>
          </a:r>
        </a:p>
      </dgm:t>
    </dgm:pt>
    <dgm:pt modelId="{A65B0849-43A3-4E87-89F6-A741AEB84814}" type="parTrans" cxnId="{CA193CE9-A6A4-4B71-BCE8-F32AF28784E4}">
      <dgm:prSet/>
      <dgm:spPr/>
      <dgm:t>
        <a:bodyPr/>
        <a:lstStyle/>
        <a:p>
          <a:endParaRPr lang="en-US"/>
        </a:p>
      </dgm:t>
    </dgm:pt>
    <dgm:pt modelId="{A21317CC-3D4F-4C75-891F-C8E149DCB21A}" type="sibTrans" cxnId="{CA193CE9-A6A4-4B71-BCE8-F32AF28784E4}">
      <dgm:prSet/>
      <dgm:spPr/>
      <dgm:t>
        <a:bodyPr/>
        <a:lstStyle/>
        <a:p>
          <a:endParaRPr lang="en-US"/>
        </a:p>
      </dgm:t>
    </dgm:pt>
    <dgm:pt modelId="{F580DB9A-FED4-46AE-A6C3-3D324268B901}">
      <dgm:prSet phldrT="[Text]" custT="1"/>
      <dgm:spPr>
        <a:xfrm rot="5400000">
          <a:off x="-37478" y="554000"/>
          <a:ext cx="486601" cy="362679"/>
        </a:xfrm>
        <a:prstGeom prst="chevron">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w="9525" cap="flat" cmpd="sng" algn="ctr">
          <a:solidFill>
            <a:srgbClr val="4F81BD">
              <a:hueOff val="0"/>
              <a:satOff val="0"/>
              <a:lumOff val="0"/>
              <a:alphaOff val="0"/>
            </a:srgbClr>
          </a:solidFill>
          <a:prstDash val="solid"/>
        </a:ln>
        <a:effectLst>
          <a:outerShdw blurRad="40000" dist="20000" dir="5400000" rotWithShape="0">
            <a:srgbClr val="000000">
              <a:alpha val="38000"/>
            </a:srgbClr>
          </a:outerShdw>
        </a:effectLst>
      </dgm:spPr>
      <dgm:t>
        <a:bodyPr/>
        <a:lstStyle/>
        <a:p>
          <a:endParaRPr lang="en-US" sz="700">
            <a:solidFill>
              <a:sysClr val="windowText" lastClr="000000"/>
            </a:solidFill>
            <a:latin typeface="Calibri"/>
            <a:ea typeface="+mn-ea"/>
            <a:cs typeface="+mn-cs"/>
          </a:endParaRPr>
        </a:p>
        <a:p>
          <a:r>
            <a:rPr lang="en-US" sz="900">
              <a:solidFill>
                <a:sysClr val="windowText" lastClr="000000"/>
              </a:solidFill>
              <a:latin typeface="Calibri"/>
              <a:ea typeface="+mn-ea"/>
              <a:cs typeface="+mn-cs"/>
            </a:rPr>
            <a:t>UW/</a:t>
          </a:r>
        </a:p>
        <a:p>
          <a:r>
            <a:rPr lang="en-US" sz="900">
              <a:solidFill>
                <a:sysClr val="windowText" lastClr="000000"/>
              </a:solidFill>
              <a:latin typeface="Calibri"/>
              <a:ea typeface="+mn-ea"/>
              <a:cs typeface="+mn-cs"/>
            </a:rPr>
            <a:t>MCRI</a:t>
          </a:r>
        </a:p>
      </dgm:t>
    </dgm:pt>
    <dgm:pt modelId="{F5AE91C1-CFCE-4C14-A7AC-6CA16A4F2317}" type="parTrans" cxnId="{AFE550AA-B0E9-45EC-A65A-67821DE2D6AB}">
      <dgm:prSet/>
      <dgm:spPr/>
      <dgm:t>
        <a:bodyPr/>
        <a:lstStyle/>
        <a:p>
          <a:endParaRPr lang="en-US"/>
        </a:p>
      </dgm:t>
    </dgm:pt>
    <dgm:pt modelId="{1AA39F40-DBF8-4F26-8664-A31F8DB62359}" type="sibTrans" cxnId="{AFE550AA-B0E9-45EC-A65A-67821DE2D6AB}">
      <dgm:prSet/>
      <dgm:spPr/>
      <dgm:t>
        <a:bodyPr/>
        <a:lstStyle/>
        <a:p>
          <a:endParaRPr lang="en-US"/>
        </a:p>
      </dgm:t>
    </dgm:pt>
    <dgm:pt modelId="{7084CC72-4DA7-4636-9FD0-15DE344E9392}">
      <dgm:prSet phldrT="[Text]" custT="1"/>
      <dgm:spPr>
        <a:xfrm rot="5400000">
          <a:off x="3111716" y="-2720269"/>
          <a:ext cx="450499" cy="5891038"/>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900" b="1">
              <a:solidFill>
                <a:sysClr val="windowText" lastClr="000000">
                  <a:hueOff val="0"/>
                  <a:satOff val="0"/>
                  <a:lumOff val="0"/>
                  <a:alphaOff val="0"/>
                </a:sysClr>
              </a:solidFill>
              <a:latin typeface="Calibri"/>
              <a:ea typeface="+mn-ea"/>
              <a:cs typeface="+mn-cs"/>
            </a:rPr>
            <a:t>Identify/enroll patients with OPMD and collect saliva for DELFI and array-based meDELFI. Collect and bank blood for future parallel study to explore feasibility of application of DELFI for detection of malignant tranformation of OPMD in blood. </a:t>
          </a:r>
        </a:p>
      </dgm:t>
    </dgm:pt>
    <dgm:pt modelId="{A1BAE299-521F-4381-8F5D-7BA73CDC6DCD}" type="parTrans" cxnId="{24B68DAB-0B6C-41A9-920D-FC89EF9C4E5F}">
      <dgm:prSet/>
      <dgm:spPr/>
      <dgm:t>
        <a:bodyPr/>
        <a:lstStyle/>
        <a:p>
          <a:endParaRPr lang="en-US"/>
        </a:p>
      </dgm:t>
    </dgm:pt>
    <dgm:pt modelId="{C09ABEE1-C5FB-4986-BF13-8B4F9F2C0AA5}" type="sibTrans" cxnId="{24B68DAB-0B6C-41A9-920D-FC89EF9C4E5F}">
      <dgm:prSet/>
      <dgm:spPr/>
      <dgm:t>
        <a:bodyPr/>
        <a:lstStyle/>
        <a:p>
          <a:endParaRPr lang="en-US"/>
        </a:p>
      </dgm:t>
    </dgm:pt>
    <dgm:pt modelId="{8A4BE14B-FD49-4676-A46F-A236489569D8}">
      <dgm:prSet phldrT="[Text]" custT="1"/>
      <dgm:spPr>
        <a:xfrm rot="5400000">
          <a:off x="-35453" y="1015122"/>
          <a:ext cx="486601" cy="378753"/>
        </a:xfrm>
        <a:prstGeom prst="chevron">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w="9525" cap="flat" cmpd="sng" algn="ctr">
          <a:solidFill>
            <a:srgbClr val="4F81BD">
              <a:hueOff val="0"/>
              <a:satOff val="0"/>
              <a:lumOff val="0"/>
              <a:alphaOff val="0"/>
            </a:srgbClr>
          </a:solidFill>
          <a:prstDash val="solid"/>
        </a:ln>
        <a:effectLst>
          <a:outerShdw blurRad="40000" dist="20000" dir="5400000" rotWithShape="0">
            <a:srgbClr val="000000">
              <a:alpha val="38000"/>
            </a:srgbClr>
          </a:outerShdw>
        </a:effectLst>
      </dgm:spPr>
      <dgm:t>
        <a:bodyPr/>
        <a:lstStyle/>
        <a:p>
          <a:endParaRPr lang="en-US" sz="900">
            <a:solidFill>
              <a:sysClr val="windowText" lastClr="000000"/>
            </a:solidFill>
            <a:latin typeface="Calibri"/>
            <a:ea typeface="+mn-ea"/>
            <a:cs typeface="+mn-cs"/>
          </a:endParaRPr>
        </a:p>
        <a:p>
          <a:r>
            <a:rPr lang="en-US" sz="900">
              <a:solidFill>
                <a:sysClr val="windowText" lastClr="000000"/>
              </a:solidFill>
              <a:latin typeface="Calibri"/>
              <a:ea typeface="+mn-ea"/>
              <a:cs typeface="+mn-cs"/>
            </a:rPr>
            <a:t>MCRI/</a:t>
          </a:r>
        </a:p>
        <a:p>
          <a:r>
            <a:rPr lang="en-US" sz="900">
              <a:solidFill>
                <a:sysClr val="windowText" lastClr="000000"/>
              </a:solidFill>
              <a:latin typeface="Calibri"/>
              <a:ea typeface="+mn-ea"/>
              <a:cs typeface="+mn-cs"/>
            </a:rPr>
            <a:t>UW</a:t>
          </a:r>
        </a:p>
      </dgm:t>
    </dgm:pt>
    <dgm:pt modelId="{9EA4A9EF-AF7D-4EE1-8514-A0CEB534EFED}" type="parTrans" cxnId="{A00A1C9E-6CC0-4D8D-8E0E-EC1A7B1BA4DB}">
      <dgm:prSet/>
      <dgm:spPr/>
      <dgm:t>
        <a:bodyPr/>
        <a:lstStyle/>
        <a:p>
          <a:endParaRPr lang="en-US"/>
        </a:p>
      </dgm:t>
    </dgm:pt>
    <dgm:pt modelId="{0FCAD87F-F8F4-4D13-9323-A56CF0363667}" type="sibTrans" cxnId="{A00A1C9E-6CC0-4D8D-8E0E-EC1A7B1BA4DB}">
      <dgm:prSet/>
      <dgm:spPr/>
      <dgm:t>
        <a:bodyPr/>
        <a:lstStyle/>
        <a:p>
          <a:endParaRPr lang="en-US"/>
        </a:p>
      </dgm:t>
    </dgm:pt>
    <dgm:pt modelId="{BDFBBB86-DE46-47A3-97E0-FB2E3215BA76}">
      <dgm:prSet phldrT="[Text]" custT="1"/>
      <dgm:spPr>
        <a:xfrm rot="5400000">
          <a:off x="3314325" y="-2464025"/>
          <a:ext cx="494777" cy="6343274"/>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900" b="1">
              <a:solidFill>
                <a:sysClr val="windowText" lastClr="000000">
                  <a:hueOff val="0"/>
                  <a:satOff val="0"/>
                  <a:lumOff val="0"/>
                  <a:alphaOff val="0"/>
                </a:sysClr>
              </a:solidFill>
              <a:latin typeface="Calibri"/>
              <a:ea typeface="+mn-ea"/>
              <a:cs typeface="+mn-cs"/>
            </a:rPr>
            <a:t>Submit Saliva to UW Gene Expression Center for DELFI and  meDELFI in two phases: month 4 and 8.  </a:t>
          </a:r>
        </a:p>
      </dgm:t>
    </dgm:pt>
    <dgm:pt modelId="{4104D8C7-61BB-4458-B0DA-9CA22ED40770}" type="parTrans" cxnId="{A9561292-FC37-4465-9CA1-E426E5B68E47}">
      <dgm:prSet/>
      <dgm:spPr/>
      <dgm:t>
        <a:bodyPr/>
        <a:lstStyle/>
        <a:p>
          <a:endParaRPr lang="en-US"/>
        </a:p>
      </dgm:t>
    </dgm:pt>
    <dgm:pt modelId="{6A6AAECE-FD9F-45FC-AB9A-CD3C8E6BB5F0}" type="sibTrans" cxnId="{A9561292-FC37-4465-9CA1-E426E5B68E47}">
      <dgm:prSet/>
      <dgm:spPr/>
      <dgm:t>
        <a:bodyPr/>
        <a:lstStyle/>
        <a:p>
          <a:endParaRPr lang="en-US"/>
        </a:p>
      </dgm:t>
    </dgm:pt>
    <dgm:pt modelId="{9CCA0C33-F21C-444A-AE93-B28F6E92CFF8}">
      <dgm:prSet phldrT="[Text]" custT="1"/>
      <dgm:spPr>
        <a:xfrm rot="5400000">
          <a:off x="3314325" y="-2464025"/>
          <a:ext cx="494777" cy="6343274"/>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sz="900" b="1">
              <a:solidFill>
                <a:sysClr val="windowText" lastClr="000000">
                  <a:hueOff val="0"/>
                  <a:satOff val="0"/>
                  <a:lumOff val="0"/>
                  <a:alphaOff val="0"/>
                </a:sysClr>
              </a:solidFill>
              <a:latin typeface="Calibri"/>
              <a:ea typeface="+mn-ea"/>
              <a:cs typeface="+mn-cs"/>
            </a:rPr>
            <a:t>Develop ML approaches and identify  profiles of genomic/epigenomic expression patterns catalogued by the The Cancer Genonic Atlas (TCGA) for normal oral cavity tissue as reference for comparison with profiles of dysplastic and malignantly transformed   tissues observed in the study </a:t>
          </a:r>
        </a:p>
      </dgm:t>
    </dgm:pt>
    <dgm:pt modelId="{A58A460F-CF84-45E9-9FFE-EB9F44441DFB}" type="parTrans" cxnId="{09A1F247-789C-4910-89D0-49D497F01494}">
      <dgm:prSet/>
      <dgm:spPr/>
      <dgm:t>
        <a:bodyPr/>
        <a:lstStyle/>
        <a:p>
          <a:endParaRPr lang="en-US"/>
        </a:p>
      </dgm:t>
    </dgm:pt>
    <dgm:pt modelId="{10905630-5604-4E79-91C7-72C9A1E7FBFA}" type="sibTrans" cxnId="{09A1F247-789C-4910-89D0-49D497F01494}">
      <dgm:prSet/>
      <dgm:spPr/>
      <dgm:t>
        <a:bodyPr/>
        <a:lstStyle/>
        <a:p>
          <a:endParaRPr lang="en-US"/>
        </a:p>
      </dgm:t>
    </dgm:pt>
    <dgm:pt modelId="{8A266FBB-E0D1-4D61-B4A8-CB8187686D9F}" type="pres">
      <dgm:prSet presAssocID="{4D429FA9-4CE5-4B34-8B98-05B2DEA00BF1}" presName="linearFlow" presStyleCnt="0">
        <dgm:presLayoutVars>
          <dgm:dir/>
          <dgm:animLvl val="lvl"/>
          <dgm:resizeHandles val="exact"/>
        </dgm:presLayoutVars>
      </dgm:prSet>
      <dgm:spPr/>
      <dgm:t>
        <a:bodyPr/>
        <a:lstStyle/>
        <a:p>
          <a:endParaRPr lang="en-US"/>
        </a:p>
      </dgm:t>
    </dgm:pt>
    <dgm:pt modelId="{0CC6D5D2-7597-4693-BEE0-C9AA8CE4F9CF}" type="pres">
      <dgm:prSet presAssocID="{F86BAC6A-AF1A-4591-8C04-947657DAA5CA}" presName="composite" presStyleCnt="0"/>
      <dgm:spPr/>
    </dgm:pt>
    <dgm:pt modelId="{359328C0-4F3A-4B86-B32A-520C60D2BAA8}" type="pres">
      <dgm:prSet presAssocID="{F86BAC6A-AF1A-4591-8C04-947657DAA5CA}" presName="parentText" presStyleLbl="alignNode1" presStyleIdx="0" presStyleCnt="3" custScaleX="104559" custScaleY="100098" custLinFactNeighborX="8118" custLinFactNeighborY="-15200">
        <dgm:presLayoutVars>
          <dgm:chMax val="1"/>
          <dgm:bulletEnabled val="1"/>
        </dgm:presLayoutVars>
      </dgm:prSet>
      <dgm:spPr/>
      <dgm:t>
        <a:bodyPr/>
        <a:lstStyle/>
        <a:p>
          <a:endParaRPr lang="en-US"/>
        </a:p>
      </dgm:t>
    </dgm:pt>
    <dgm:pt modelId="{FBC5A47C-9360-4CE9-BA9A-3071208104BA}" type="pres">
      <dgm:prSet presAssocID="{F86BAC6A-AF1A-4591-8C04-947657DAA5CA}" presName="descendantText" presStyleLbl="alignAcc1" presStyleIdx="0" presStyleCnt="3" custScaleX="100289" custScaleY="137728" custLinFactY="119181" custLinFactNeighborX="1002" custLinFactNeighborY="200000">
        <dgm:presLayoutVars>
          <dgm:bulletEnabled val="1"/>
        </dgm:presLayoutVars>
      </dgm:prSet>
      <dgm:spPr/>
      <dgm:t>
        <a:bodyPr/>
        <a:lstStyle/>
        <a:p>
          <a:endParaRPr lang="en-US"/>
        </a:p>
      </dgm:t>
    </dgm:pt>
    <dgm:pt modelId="{44C8F47E-D4A0-4652-B0EC-2953F9B4FB22}" type="pres">
      <dgm:prSet presAssocID="{64E7BBD4-3AC6-4476-8917-344EE203AF39}" presName="sp" presStyleCnt="0"/>
      <dgm:spPr/>
    </dgm:pt>
    <dgm:pt modelId="{DBBDCFFA-E73F-4336-9134-F691EBDE49DD}" type="pres">
      <dgm:prSet presAssocID="{F580DB9A-FED4-46AE-A6C3-3D324268B901}" presName="composite" presStyleCnt="0"/>
      <dgm:spPr/>
    </dgm:pt>
    <dgm:pt modelId="{08CCEC71-D89D-4946-9715-D78CF3FDD467}" type="pres">
      <dgm:prSet presAssocID="{F580DB9A-FED4-46AE-A6C3-3D324268B901}" presName="parentText" presStyleLbl="alignNode1" presStyleIdx="1" presStyleCnt="3" custScaleX="106476" custLinFactNeighborX="5597" custLinFactNeighborY="-3059">
        <dgm:presLayoutVars>
          <dgm:chMax val="1"/>
          <dgm:bulletEnabled val="1"/>
        </dgm:presLayoutVars>
      </dgm:prSet>
      <dgm:spPr/>
      <dgm:t>
        <a:bodyPr/>
        <a:lstStyle/>
        <a:p>
          <a:endParaRPr lang="en-US"/>
        </a:p>
      </dgm:t>
    </dgm:pt>
    <dgm:pt modelId="{DC7C085F-F80B-4761-9006-6EBFC779C96D}" type="pres">
      <dgm:prSet presAssocID="{F580DB9A-FED4-46AE-A6C3-3D324268B901}" presName="descendantText" presStyleLbl="alignAcc1" presStyleIdx="1" presStyleCnt="3" custScaleX="98615" custScaleY="142432" custLinFactY="-40759" custLinFactNeighborX="243" custLinFactNeighborY="-100000">
        <dgm:presLayoutVars>
          <dgm:bulletEnabled val="1"/>
        </dgm:presLayoutVars>
      </dgm:prSet>
      <dgm:spPr/>
      <dgm:t>
        <a:bodyPr/>
        <a:lstStyle/>
        <a:p>
          <a:endParaRPr lang="en-US"/>
        </a:p>
      </dgm:t>
    </dgm:pt>
    <dgm:pt modelId="{02F9CFC4-90D1-4E16-82E4-A9BB30FBA9F8}" type="pres">
      <dgm:prSet presAssocID="{1AA39F40-DBF8-4F26-8664-A31F8DB62359}" presName="sp" presStyleCnt="0"/>
      <dgm:spPr/>
    </dgm:pt>
    <dgm:pt modelId="{67BD8573-BFC3-4F19-BB12-E8B7BE34D8A9}" type="pres">
      <dgm:prSet presAssocID="{8A4BE14B-FD49-4676-A46F-A236489569D8}" presName="composite" presStyleCnt="0"/>
      <dgm:spPr/>
    </dgm:pt>
    <dgm:pt modelId="{C4C1AE64-A097-489C-BE23-AA6CAC7283AC}" type="pres">
      <dgm:prSet presAssocID="{8A4BE14B-FD49-4676-A46F-A236489569D8}" presName="parentText" presStyleLbl="alignNode1" presStyleIdx="2" presStyleCnt="3" custScaleX="111195" custLinFactNeighborX="-164" custLinFactNeighborY="13348">
        <dgm:presLayoutVars>
          <dgm:chMax val="1"/>
          <dgm:bulletEnabled val="1"/>
        </dgm:presLayoutVars>
      </dgm:prSet>
      <dgm:spPr/>
      <dgm:t>
        <a:bodyPr/>
        <a:lstStyle/>
        <a:p>
          <a:endParaRPr lang="en-US"/>
        </a:p>
      </dgm:t>
    </dgm:pt>
    <dgm:pt modelId="{47591EF7-98F4-4C5A-907D-89B4B6679860}" type="pres">
      <dgm:prSet presAssocID="{8A4BE14B-FD49-4676-A46F-A236489569D8}" presName="descendantText" presStyleLbl="alignAcc1" presStyleIdx="2" presStyleCnt="3" custScaleX="99066" custScaleY="156431" custLinFactY="-30682" custLinFactNeighborX="515" custLinFactNeighborY="-100000">
        <dgm:presLayoutVars>
          <dgm:bulletEnabled val="1"/>
        </dgm:presLayoutVars>
      </dgm:prSet>
      <dgm:spPr/>
      <dgm:t>
        <a:bodyPr/>
        <a:lstStyle/>
        <a:p>
          <a:endParaRPr lang="en-US"/>
        </a:p>
      </dgm:t>
    </dgm:pt>
  </dgm:ptLst>
  <dgm:cxnLst>
    <dgm:cxn modelId="{A9561292-FC37-4465-9CA1-E426E5B68E47}" srcId="{8A4BE14B-FD49-4676-A46F-A236489569D8}" destId="{BDFBBB86-DE46-47A3-97E0-FB2E3215BA76}" srcOrd="0" destOrd="0" parTransId="{4104D8C7-61BB-4458-B0DA-9CA22ED40770}" sibTransId="{6A6AAECE-FD9F-45FC-AB9A-CD3C8E6BB5F0}"/>
    <dgm:cxn modelId="{BD34212C-19C3-4E97-9B93-4B50AADE9BC3}" type="presOf" srcId="{BEF9F14D-DDB9-4360-8C95-702999933EBB}" destId="{FBC5A47C-9360-4CE9-BA9A-3071208104BA}" srcOrd="0" destOrd="0" presId="urn:microsoft.com/office/officeart/2005/8/layout/chevron2"/>
    <dgm:cxn modelId="{605B17A5-AF0F-4A50-A0F9-3EF7483F74CA}" type="presOf" srcId="{F86BAC6A-AF1A-4591-8C04-947657DAA5CA}" destId="{359328C0-4F3A-4B86-B32A-520C60D2BAA8}" srcOrd="0" destOrd="0" presId="urn:microsoft.com/office/officeart/2005/8/layout/chevron2"/>
    <dgm:cxn modelId="{FDF3085F-B986-447F-B64E-6EBC568148C6}" type="presOf" srcId="{F580DB9A-FED4-46AE-A6C3-3D324268B901}" destId="{08CCEC71-D89D-4946-9715-D78CF3FDD467}" srcOrd="0" destOrd="0" presId="urn:microsoft.com/office/officeart/2005/8/layout/chevron2"/>
    <dgm:cxn modelId="{CA193CE9-A6A4-4B71-BCE8-F32AF28784E4}" srcId="{F86BAC6A-AF1A-4591-8C04-947657DAA5CA}" destId="{D0CB2DCC-6079-4302-9C8C-3DC5348C3315}" srcOrd="1" destOrd="0" parTransId="{A65B0849-43A3-4E87-89F6-A741AEB84814}" sibTransId="{A21317CC-3D4F-4C75-891F-C8E149DCB21A}"/>
    <dgm:cxn modelId="{BEDF18B4-0848-4C27-ACBD-14299F643053}" type="presOf" srcId="{4D429FA9-4CE5-4B34-8B98-05B2DEA00BF1}" destId="{8A266FBB-E0D1-4D61-B4A8-CB8187686D9F}" srcOrd="0" destOrd="0" presId="urn:microsoft.com/office/officeart/2005/8/layout/chevron2"/>
    <dgm:cxn modelId="{E7E7728C-DAFD-4BE7-97F2-3B8E07EB7E0F}" srcId="{F86BAC6A-AF1A-4591-8C04-947657DAA5CA}" destId="{BEF9F14D-DDB9-4360-8C95-702999933EBB}" srcOrd="0" destOrd="0" parTransId="{E7FA4460-DB60-4BA6-B390-60B2ACB35041}" sibTransId="{77C87C1B-F42B-4B64-8071-44DA98D52874}"/>
    <dgm:cxn modelId="{0A9DA7EC-F8F0-4D4F-B5E1-00FB34A9E5AA}" srcId="{4D429FA9-4CE5-4B34-8B98-05B2DEA00BF1}" destId="{F86BAC6A-AF1A-4591-8C04-947657DAA5CA}" srcOrd="0" destOrd="0" parTransId="{0A8936BD-1E58-4A6F-B148-3C29863D1DC6}" sibTransId="{64E7BBD4-3AC6-4476-8917-344EE203AF39}"/>
    <dgm:cxn modelId="{A00A1C9E-6CC0-4D8D-8E0E-EC1A7B1BA4DB}" srcId="{4D429FA9-4CE5-4B34-8B98-05B2DEA00BF1}" destId="{8A4BE14B-FD49-4676-A46F-A236489569D8}" srcOrd="2" destOrd="0" parTransId="{9EA4A9EF-AF7D-4EE1-8514-A0CEB534EFED}" sibTransId="{0FCAD87F-F8F4-4D13-9323-A56CF0363667}"/>
    <dgm:cxn modelId="{479917F1-FDDE-4AFF-A761-290B55A5F49A}" type="presOf" srcId="{9CCA0C33-F21C-444A-AE93-B28F6E92CFF8}" destId="{47591EF7-98F4-4C5A-907D-89B4B6679860}" srcOrd="0" destOrd="1" presId="urn:microsoft.com/office/officeart/2005/8/layout/chevron2"/>
    <dgm:cxn modelId="{22B147CB-58FA-4D53-9B07-4EEE447B6778}" type="presOf" srcId="{8A4BE14B-FD49-4676-A46F-A236489569D8}" destId="{C4C1AE64-A097-489C-BE23-AA6CAC7283AC}" srcOrd="0" destOrd="0" presId="urn:microsoft.com/office/officeart/2005/8/layout/chevron2"/>
    <dgm:cxn modelId="{24B68DAB-0B6C-41A9-920D-FC89EF9C4E5F}" srcId="{F580DB9A-FED4-46AE-A6C3-3D324268B901}" destId="{7084CC72-4DA7-4636-9FD0-15DE344E9392}" srcOrd="0" destOrd="0" parTransId="{A1BAE299-521F-4381-8F5D-7BA73CDC6DCD}" sibTransId="{C09ABEE1-C5FB-4986-BF13-8B4F9F2C0AA5}"/>
    <dgm:cxn modelId="{21DC8266-E493-4B15-9E0D-C3E88821A5A0}" type="presOf" srcId="{BDFBBB86-DE46-47A3-97E0-FB2E3215BA76}" destId="{47591EF7-98F4-4C5A-907D-89B4B6679860}" srcOrd="0" destOrd="0" presId="urn:microsoft.com/office/officeart/2005/8/layout/chevron2"/>
    <dgm:cxn modelId="{CD5E0B99-4A56-4C76-B97E-EC41E7D83A1B}" type="presOf" srcId="{7084CC72-4DA7-4636-9FD0-15DE344E9392}" destId="{DC7C085F-F80B-4761-9006-6EBFC779C96D}" srcOrd="0" destOrd="0" presId="urn:microsoft.com/office/officeart/2005/8/layout/chevron2"/>
    <dgm:cxn modelId="{09A1F247-789C-4910-89D0-49D497F01494}" srcId="{8A4BE14B-FD49-4676-A46F-A236489569D8}" destId="{9CCA0C33-F21C-444A-AE93-B28F6E92CFF8}" srcOrd="1" destOrd="0" parTransId="{A58A460F-CF84-45E9-9FFE-EB9F44441DFB}" sibTransId="{10905630-5604-4E79-91C7-72C9A1E7FBFA}"/>
    <dgm:cxn modelId="{44CBAB73-7CC5-470C-8729-6B38156881B2}" type="presOf" srcId="{D0CB2DCC-6079-4302-9C8C-3DC5348C3315}" destId="{FBC5A47C-9360-4CE9-BA9A-3071208104BA}" srcOrd="0" destOrd="1" presId="urn:microsoft.com/office/officeart/2005/8/layout/chevron2"/>
    <dgm:cxn modelId="{AFE550AA-B0E9-45EC-A65A-67821DE2D6AB}" srcId="{4D429FA9-4CE5-4B34-8B98-05B2DEA00BF1}" destId="{F580DB9A-FED4-46AE-A6C3-3D324268B901}" srcOrd="1" destOrd="0" parTransId="{F5AE91C1-CFCE-4C14-A7AC-6CA16A4F2317}" sibTransId="{1AA39F40-DBF8-4F26-8664-A31F8DB62359}"/>
    <dgm:cxn modelId="{A461AA07-A0C6-4ABE-826C-3A850D3C6FE3}" type="presParOf" srcId="{8A266FBB-E0D1-4D61-B4A8-CB8187686D9F}" destId="{0CC6D5D2-7597-4693-BEE0-C9AA8CE4F9CF}" srcOrd="0" destOrd="0" presId="urn:microsoft.com/office/officeart/2005/8/layout/chevron2"/>
    <dgm:cxn modelId="{4F8F86F0-A7F2-4A46-8AB0-98ACE7209297}" type="presParOf" srcId="{0CC6D5D2-7597-4693-BEE0-C9AA8CE4F9CF}" destId="{359328C0-4F3A-4B86-B32A-520C60D2BAA8}" srcOrd="0" destOrd="0" presId="urn:microsoft.com/office/officeart/2005/8/layout/chevron2"/>
    <dgm:cxn modelId="{3B2FCC24-96EE-4EC0-9823-1105840CE228}" type="presParOf" srcId="{0CC6D5D2-7597-4693-BEE0-C9AA8CE4F9CF}" destId="{FBC5A47C-9360-4CE9-BA9A-3071208104BA}" srcOrd="1" destOrd="0" presId="urn:microsoft.com/office/officeart/2005/8/layout/chevron2"/>
    <dgm:cxn modelId="{B0EA9E6F-C091-47A2-A6B5-D8989915FD9C}" type="presParOf" srcId="{8A266FBB-E0D1-4D61-B4A8-CB8187686D9F}" destId="{44C8F47E-D4A0-4652-B0EC-2953F9B4FB22}" srcOrd="1" destOrd="0" presId="urn:microsoft.com/office/officeart/2005/8/layout/chevron2"/>
    <dgm:cxn modelId="{E807B0FA-C7EE-4D2F-858B-C036B40DFD10}" type="presParOf" srcId="{8A266FBB-E0D1-4D61-B4A8-CB8187686D9F}" destId="{DBBDCFFA-E73F-4336-9134-F691EBDE49DD}" srcOrd="2" destOrd="0" presId="urn:microsoft.com/office/officeart/2005/8/layout/chevron2"/>
    <dgm:cxn modelId="{8F4F5A64-2B90-409A-BD9C-FA53F7395549}" type="presParOf" srcId="{DBBDCFFA-E73F-4336-9134-F691EBDE49DD}" destId="{08CCEC71-D89D-4946-9715-D78CF3FDD467}" srcOrd="0" destOrd="0" presId="urn:microsoft.com/office/officeart/2005/8/layout/chevron2"/>
    <dgm:cxn modelId="{4622C02B-5317-44D5-83E9-6E8658CA5266}" type="presParOf" srcId="{DBBDCFFA-E73F-4336-9134-F691EBDE49DD}" destId="{DC7C085F-F80B-4761-9006-6EBFC779C96D}" srcOrd="1" destOrd="0" presId="urn:microsoft.com/office/officeart/2005/8/layout/chevron2"/>
    <dgm:cxn modelId="{7041316E-02AF-4A44-884F-3AFE6ADB77A8}" type="presParOf" srcId="{8A266FBB-E0D1-4D61-B4A8-CB8187686D9F}" destId="{02F9CFC4-90D1-4E16-82E4-A9BB30FBA9F8}" srcOrd="3" destOrd="0" presId="urn:microsoft.com/office/officeart/2005/8/layout/chevron2"/>
    <dgm:cxn modelId="{F435E5A4-14BC-4092-ABE6-7B1D96307C88}" type="presParOf" srcId="{8A266FBB-E0D1-4D61-B4A8-CB8187686D9F}" destId="{67BD8573-BFC3-4F19-BB12-E8B7BE34D8A9}" srcOrd="4" destOrd="0" presId="urn:microsoft.com/office/officeart/2005/8/layout/chevron2"/>
    <dgm:cxn modelId="{9E821EAE-6528-410E-9F8D-4EC68BBE45AD}" type="presParOf" srcId="{67BD8573-BFC3-4F19-BB12-E8B7BE34D8A9}" destId="{C4C1AE64-A097-489C-BE23-AA6CAC7283AC}" srcOrd="0" destOrd="0" presId="urn:microsoft.com/office/officeart/2005/8/layout/chevron2"/>
    <dgm:cxn modelId="{F85330AC-15E3-43F0-BBA1-6876C135658C}" type="presParOf" srcId="{67BD8573-BFC3-4F19-BB12-E8B7BE34D8A9}" destId="{47591EF7-98F4-4C5A-907D-89B4B6679860}"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9328C0-4F3A-4B86-B32A-520C60D2BAA8}">
      <dsp:nvSpPr>
        <dsp:cNvPr id="0" name=""/>
        <dsp:cNvSpPr/>
      </dsp:nvSpPr>
      <dsp:spPr>
        <a:xfrm rot="5400000">
          <a:off x="-47294" y="84213"/>
          <a:ext cx="626581" cy="458154"/>
        </a:xfrm>
        <a:prstGeom prst="chevron">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w="9525" cap="flat" cmpd="sng" algn="ctr">
          <a:solidFill>
            <a:srgbClr val="4F81BD">
              <a:hueOff val="0"/>
              <a:satOff val="0"/>
              <a:lumOff val="0"/>
              <a:alphaOff val="0"/>
            </a:srgb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solidFill>
              <a:sysClr val="windowText" lastClr="000000"/>
            </a:solidFill>
            <a:latin typeface="Calibri"/>
            <a:ea typeface="+mn-ea"/>
            <a:cs typeface="+mn-cs"/>
          </a:endParaRPr>
        </a:p>
        <a:p>
          <a:pPr lvl="0" algn="ctr" defTabSz="400050">
            <a:lnSpc>
              <a:spcPct val="90000"/>
            </a:lnSpc>
            <a:spcBef>
              <a:spcPct val="0"/>
            </a:spcBef>
            <a:spcAft>
              <a:spcPct val="35000"/>
            </a:spcAft>
          </a:pPr>
          <a:r>
            <a:rPr lang="en-US" sz="900" kern="1200">
              <a:solidFill>
                <a:sysClr val="windowText" lastClr="000000"/>
              </a:solidFill>
              <a:latin typeface="Calibri"/>
              <a:ea typeface="+mn-ea"/>
              <a:cs typeface="+mn-cs"/>
            </a:rPr>
            <a:t>MCRI/</a:t>
          </a:r>
        </a:p>
        <a:p>
          <a:pPr lvl="0" algn="ctr" defTabSz="400050">
            <a:lnSpc>
              <a:spcPct val="90000"/>
            </a:lnSpc>
            <a:spcBef>
              <a:spcPct val="0"/>
            </a:spcBef>
            <a:spcAft>
              <a:spcPct val="35000"/>
            </a:spcAft>
          </a:pPr>
          <a:r>
            <a:rPr lang="en-US" sz="900" kern="1200">
              <a:solidFill>
                <a:sysClr val="windowText" lastClr="000000"/>
              </a:solidFill>
              <a:latin typeface="Calibri"/>
              <a:ea typeface="+mn-ea"/>
              <a:cs typeface="+mn-cs"/>
            </a:rPr>
            <a:t>UW</a:t>
          </a:r>
        </a:p>
      </dsp:txBody>
      <dsp:txXfrm rot="-5400000">
        <a:off x="36920" y="229076"/>
        <a:ext cx="458154" cy="168427"/>
      </dsp:txXfrm>
    </dsp:sp>
    <dsp:sp modelId="{FBC5A47C-9360-4CE9-BA9A-3071208104BA}">
      <dsp:nvSpPr>
        <dsp:cNvPr id="0" name=""/>
        <dsp:cNvSpPr/>
      </dsp:nvSpPr>
      <dsp:spPr>
        <a:xfrm rot="5400000">
          <a:off x="2927478" y="-1131764"/>
          <a:ext cx="560386" cy="5423569"/>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solidFill>
                <a:sysClr val="windowText" lastClr="000000">
                  <a:hueOff val="0"/>
                  <a:satOff val="0"/>
                  <a:lumOff val="0"/>
                  <a:alphaOff val="0"/>
                </a:sysClr>
              </a:solidFill>
              <a:latin typeface="Calibri"/>
              <a:ea typeface="+mn-ea"/>
              <a:cs typeface="+mn-cs"/>
            </a:rPr>
            <a:t>Conduct molecular analysis and profile genes  potentially associated with oncogenetic processes and changes in methylation</a:t>
          </a:r>
        </a:p>
        <a:p>
          <a:pPr marL="57150" lvl="1" indent="-57150" algn="l" defTabSz="400050">
            <a:lnSpc>
              <a:spcPct val="90000"/>
            </a:lnSpc>
            <a:spcBef>
              <a:spcPct val="0"/>
            </a:spcBef>
            <a:spcAft>
              <a:spcPct val="15000"/>
            </a:spcAft>
            <a:buChar char="••"/>
          </a:pPr>
          <a:r>
            <a:rPr lang="en-US" sz="900" b="1" kern="1200">
              <a:solidFill>
                <a:sysClr val="windowText" lastClr="000000">
                  <a:hueOff val="0"/>
                  <a:satOff val="0"/>
                  <a:lumOff val="0"/>
                  <a:alphaOff val="0"/>
                </a:sysClr>
              </a:solidFill>
              <a:latin typeface="Calibri"/>
              <a:ea typeface="+mn-ea"/>
              <a:cs typeface="+mn-cs"/>
            </a:rPr>
            <a:t>Draft manuscript and leverage preliminary data to support grant development for a larger externally funded study</a:t>
          </a:r>
        </a:p>
      </dsp:txBody>
      <dsp:txXfrm rot="-5400000">
        <a:off x="495887" y="1327183"/>
        <a:ext cx="5396213" cy="505674"/>
      </dsp:txXfrm>
    </dsp:sp>
    <dsp:sp modelId="{08CCEC71-D89D-4946-9715-D78CF3FDD467}">
      <dsp:nvSpPr>
        <dsp:cNvPr id="0" name=""/>
        <dsp:cNvSpPr/>
      </dsp:nvSpPr>
      <dsp:spPr>
        <a:xfrm rot="5400000">
          <a:off x="-53834" y="719602"/>
          <a:ext cx="625968" cy="466554"/>
        </a:xfrm>
        <a:prstGeom prst="chevron">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w="9525" cap="flat" cmpd="sng" algn="ctr">
          <a:solidFill>
            <a:srgbClr val="4F81BD">
              <a:hueOff val="0"/>
              <a:satOff val="0"/>
              <a:lumOff val="0"/>
              <a:alphaOff val="0"/>
            </a:srgb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en-US" sz="700" kern="1200">
            <a:solidFill>
              <a:sysClr val="windowText" lastClr="000000"/>
            </a:solidFill>
            <a:latin typeface="Calibri"/>
            <a:ea typeface="+mn-ea"/>
            <a:cs typeface="+mn-cs"/>
          </a:endParaRPr>
        </a:p>
        <a:p>
          <a:pPr lvl="0" algn="ctr" defTabSz="311150">
            <a:lnSpc>
              <a:spcPct val="90000"/>
            </a:lnSpc>
            <a:spcBef>
              <a:spcPct val="0"/>
            </a:spcBef>
            <a:spcAft>
              <a:spcPct val="35000"/>
            </a:spcAft>
          </a:pPr>
          <a:r>
            <a:rPr lang="en-US" sz="900" kern="1200">
              <a:solidFill>
                <a:sysClr val="windowText" lastClr="000000"/>
              </a:solidFill>
              <a:latin typeface="Calibri"/>
              <a:ea typeface="+mn-ea"/>
              <a:cs typeface="+mn-cs"/>
            </a:rPr>
            <a:t>UW/</a:t>
          </a:r>
        </a:p>
        <a:p>
          <a:pPr lvl="0" algn="ctr" defTabSz="311150">
            <a:lnSpc>
              <a:spcPct val="90000"/>
            </a:lnSpc>
            <a:spcBef>
              <a:spcPct val="0"/>
            </a:spcBef>
            <a:spcAft>
              <a:spcPct val="35000"/>
            </a:spcAft>
          </a:pPr>
          <a:r>
            <a:rPr lang="en-US" sz="900" kern="1200">
              <a:solidFill>
                <a:sysClr val="windowText" lastClr="000000"/>
              </a:solidFill>
              <a:latin typeface="Calibri"/>
              <a:ea typeface="+mn-ea"/>
              <a:cs typeface="+mn-cs"/>
            </a:rPr>
            <a:t>MCRI</a:t>
          </a:r>
        </a:p>
      </dsp:txBody>
      <dsp:txXfrm rot="-5400000">
        <a:off x="25873" y="873172"/>
        <a:ext cx="466554" cy="159414"/>
      </dsp:txXfrm>
    </dsp:sp>
    <dsp:sp modelId="{DC7C085F-F80B-4761-9006-6EBFC779C96D}">
      <dsp:nvSpPr>
        <dsp:cNvPr id="0" name=""/>
        <dsp:cNvSpPr/>
      </dsp:nvSpPr>
      <dsp:spPr>
        <a:xfrm rot="5400000">
          <a:off x="2832034" y="-2328641"/>
          <a:ext cx="579526" cy="5236810"/>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solidFill>
                <a:sysClr val="windowText" lastClr="000000">
                  <a:hueOff val="0"/>
                  <a:satOff val="0"/>
                  <a:lumOff val="0"/>
                  <a:alphaOff val="0"/>
                </a:sysClr>
              </a:solidFill>
              <a:latin typeface="Calibri"/>
              <a:ea typeface="+mn-ea"/>
              <a:cs typeface="+mn-cs"/>
            </a:rPr>
            <a:t>Identify/enroll patients with OPMD and collect saliva for DELFI and array-based meDELFI. Collect and bank blood for future parallel study to explore feasibility of application of DELFI for detection of malignant tranformation of OPMD in blood. </a:t>
          </a:r>
        </a:p>
      </dsp:txBody>
      <dsp:txXfrm rot="-5400000">
        <a:off x="503392" y="28291"/>
        <a:ext cx="5208520" cy="522946"/>
      </dsp:txXfrm>
    </dsp:sp>
    <dsp:sp modelId="{C4C1AE64-A097-489C-BE23-AA6CAC7283AC}">
      <dsp:nvSpPr>
        <dsp:cNvPr id="0" name=""/>
        <dsp:cNvSpPr/>
      </dsp:nvSpPr>
      <dsp:spPr>
        <a:xfrm rot="5400000">
          <a:off x="-68739" y="1338874"/>
          <a:ext cx="625968" cy="487231"/>
        </a:xfrm>
        <a:prstGeom prst="chevron">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w="9525" cap="flat" cmpd="sng" algn="ctr">
          <a:solidFill>
            <a:srgbClr val="4F81BD">
              <a:hueOff val="0"/>
              <a:satOff val="0"/>
              <a:lumOff val="0"/>
              <a:alphaOff val="0"/>
            </a:srgb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solidFill>
              <a:sysClr val="windowText" lastClr="000000"/>
            </a:solidFill>
            <a:latin typeface="Calibri"/>
            <a:ea typeface="+mn-ea"/>
            <a:cs typeface="+mn-cs"/>
          </a:endParaRPr>
        </a:p>
        <a:p>
          <a:pPr lvl="0" algn="ctr" defTabSz="400050">
            <a:lnSpc>
              <a:spcPct val="90000"/>
            </a:lnSpc>
            <a:spcBef>
              <a:spcPct val="0"/>
            </a:spcBef>
            <a:spcAft>
              <a:spcPct val="35000"/>
            </a:spcAft>
          </a:pPr>
          <a:r>
            <a:rPr lang="en-US" sz="900" kern="1200">
              <a:solidFill>
                <a:sysClr val="windowText" lastClr="000000"/>
              </a:solidFill>
              <a:latin typeface="Calibri"/>
              <a:ea typeface="+mn-ea"/>
              <a:cs typeface="+mn-cs"/>
            </a:rPr>
            <a:t>MCRI/</a:t>
          </a:r>
        </a:p>
        <a:p>
          <a:pPr lvl="0" algn="ctr" defTabSz="400050">
            <a:lnSpc>
              <a:spcPct val="90000"/>
            </a:lnSpc>
            <a:spcBef>
              <a:spcPct val="0"/>
            </a:spcBef>
            <a:spcAft>
              <a:spcPct val="35000"/>
            </a:spcAft>
          </a:pPr>
          <a:r>
            <a:rPr lang="en-US" sz="900" kern="1200">
              <a:solidFill>
                <a:sysClr val="windowText" lastClr="000000"/>
              </a:solidFill>
              <a:latin typeface="Calibri"/>
              <a:ea typeface="+mn-ea"/>
              <a:cs typeface="+mn-cs"/>
            </a:rPr>
            <a:t>UW</a:t>
          </a:r>
        </a:p>
      </dsp:txBody>
      <dsp:txXfrm rot="-5400000">
        <a:off x="630" y="1513122"/>
        <a:ext cx="487231" cy="138737"/>
      </dsp:txXfrm>
    </dsp:sp>
    <dsp:sp modelId="{47591EF7-98F4-4C5A-907D-89B4B6679860}">
      <dsp:nvSpPr>
        <dsp:cNvPr id="0" name=""/>
        <dsp:cNvSpPr/>
      </dsp:nvSpPr>
      <dsp:spPr>
        <a:xfrm rot="5400000">
          <a:off x="3061793" y="-1947329"/>
          <a:ext cx="636485" cy="5774826"/>
        </a:xfrm>
        <a:prstGeom prst="round2SameRect">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solidFill>
                <a:sysClr val="windowText" lastClr="000000">
                  <a:hueOff val="0"/>
                  <a:satOff val="0"/>
                  <a:lumOff val="0"/>
                  <a:alphaOff val="0"/>
                </a:sysClr>
              </a:solidFill>
              <a:latin typeface="Calibri"/>
              <a:ea typeface="+mn-ea"/>
              <a:cs typeface="+mn-cs"/>
            </a:rPr>
            <a:t>Submit Saliva to UW Gene Expression Center for DELFI and  meDELFI in two phases: month 4 and 8.  </a:t>
          </a:r>
        </a:p>
        <a:p>
          <a:pPr marL="57150" lvl="1" indent="-57150" algn="l" defTabSz="400050">
            <a:lnSpc>
              <a:spcPct val="90000"/>
            </a:lnSpc>
            <a:spcBef>
              <a:spcPct val="0"/>
            </a:spcBef>
            <a:spcAft>
              <a:spcPct val="15000"/>
            </a:spcAft>
            <a:buChar char="••"/>
          </a:pPr>
          <a:r>
            <a:rPr lang="en-US" sz="900" b="1" kern="1200">
              <a:solidFill>
                <a:sysClr val="windowText" lastClr="000000">
                  <a:hueOff val="0"/>
                  <a:satOff val="0"/>
                  <a:lumOff val="0"/>
                  <a:alphaOff val="0"/>
                </a:sysClr>
              </a:solidFill>
              <a:latin typeface="Calibri"/>
              <a:ea typeface="+mn-ea"/>
              <a:cs typeface="+mn-cs"/>
            </a:rPr>
            <a:t>Develop ML approaches and identify  profiles of genomic/epigenomic expression patterns catalogued by the The Cancer Genonic Atlas (TCGA) for normal oral cavity tissue as reference for comparison with profiles of dysplastic and malignantly transformed   tissues observed in the study </a:t>
          </a:r>
        </a:p>
      </dsp:txBody>
      <dsp:txXfrm rot="-5400000">
        <a:off x="492623" y="652912"/>
        <a:ext cx="5743755" cy="57434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44E18B31.dotm</Template>
  <TotalTime>13838</TotalTime>
  <Pages>1</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Glurich, Ingrid</dc:creator>
  <cp:keywords/>
  <dc:description/>
  <cp:lastModifiedBy>Glurich, Ingrid</cp:lastModifiedBy>
  <cp:revision>81</cp:revision>
  <cp:lastPrinted>2019-11-11T19:55:00Z</cp:lastPrinted>
  <dcterms:created xsi:type="dcterms:W3CDTF">2019-11-21T20:47:00Z</dcterms:created>
  <dcterms:modified xsi:type="dcterms:W3CDTF">2019-12-03T01:00:00Z</dcterms:modified>
</cp:coreProperties>
</file>