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F8" w:rsidRDefault="000632F8" w:rsidP="000632F8">
      <w:pPr>
        <w:rPr>
          <w:rFonts w:ascii="Arial" w:hAnsi="Arial" w:cs="Arial"/>
          <w:sz w:val="22"/>
        </w:rPr>
      </w:pPr>
    </w:p>
    <w:p w:rsidR="000632F8" w:rsidRPr="00463D66" w:rsidRDefault="000632F8" w:rsidP="000632F8">
      <w:pPr>
        <w:rPr>
          <w:rFonts w:ascii="Arial" w:hAnsi="Arial" w:cs="Arial"/>
          <w:sz w:val="22"/>
        </w:rPr>
      </w:pPr>
    </w:p>
    <w:p w:rsidR="000632F8" w:rsidRPr="006C7FF0" w:rsidRDefault="000632F8" w:rsidP="000632F8">
      <w:pPr>
        <w:snapToGrid w:val="0"/>
        <w:spacing w:line="360" w:lineRule="auto"/>
        <w:outlineLvl w:val="0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Table 2</w:t>
      </w:r>
      <w:r w:rsidRPr="006C7FF0">
        <w:rPr>
          <w:rFonts w:ascii="Arial" w:hAnsi="Arial" w:cs="Arial"/>
          <w:b/>
          <w:color w:val="000000" w:themeColor="text1"/>
          <w:sz w:val="22"/>
        </w:rPr>
        <w:t xml:space="preserve"> </w:t>
      </w:r>
      <w:proofErr w:type="gramStart"/>
      <w:r w:rsidRPr="006C7FF0">
        <w:rPr>
          <w:rFonts w:ascii="Arial" w:hAnsi="Arial" w:cs="Arial"/>
          <w:b/>
          <w:color w:val="000000" w:themeColor="text1"/>
          <w:sz w:val="22"/>
        </w:rPr>
        <w:t>The</w:t>
      </w:r>
      <w:proofErr w:type="gramEnd"/>
      <w:r w:rsidRPr="006C7FF0">
        <w:rPr>
          <w:rFonts w:ascii="Arial" w:hAnsi="Arial" w:cs="Arial"/>
          <w:b/>
          <w:color w:val="000000" w:themeColor="text1"/>
          <w:sz w:val="22"/>
        </w:rPr>
        <w:t xml:space="preserve"> methylation of ZNF132 gene and control gene in ESCC</w:t>
      </w:r>
    </w:p>
    <w:tbl>
      <w:tblPr>
        <w:tblW w:w="8913" w:type="dxa"/>
        <w:jc w:val="center"/>
        <w:tblInd w:w="-173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040"/>
        <w:gridCol w:w="1222"/>
        <w:gridCol w:w="1170"/>
        <w:gridCol w:w="1169"/>
        <w:gridCol w:w="1039"/>
        <w:gridCol w:w="1039"/>
        <w:gridCol w:w="1247"/>
      </w:tblGrid>
      <w:tr w:rsidR="000632F8" w:rsidRPr="00F90BFC" w:rsidTr="00060D25">
        <w:trPr>
          <w:trHeight w:val="1517"/>
          <w:jc w:val="center"/>
        </w:trPr>
        <w:tc>
          <w:tcPr>
            <w:tcW w:w="987" w:type="dxa"/>
            <w:tcBorders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sz w:val="20"/>
              </w:rPr>
              <w:t>Gene name</w:t>
            </w:r>
          </w:p>
        </w:tc>
        <w:tc>
          <w:tcPr>
            <w:tcW w:w="10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Mean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（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Case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）</w:t>
            </w:r>
          </w:p>
        </w:tc>
        <w:tc>
          <w:tcPr>
            <w:tcW w:w="122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Mean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（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Control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）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center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 xml:space="preserve">P </w:t>
            </w:r>
            <w:proofErr w:type="spellStart"/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value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  <w:vertAlign w:val="superscript"/>
              </w:rPr>
              <w:t>a</w:t>
            </w:r>
            <w:proofErr w:type="spellEnd"/>
          </w:p>
        </w:tc>
        <w:tc>
          <w:tcPr>
            <w:tcW w:w="116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 xml:space="preserve">P </w:t>
            </w:r>
            <w:proofErr w:type="spellStart"/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value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  <w:vertAlign w:val="superscript"/>
              </w:rPr>
              <w:t>b</w:t>
            </w:r>
            <w:proofErr w:type="spellEnd"/>
          </w:p>
        </w:tc>
        <w:tc>
          <w:tcPr>
            <w:tcW w:w="10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Sensitivity</w:t>
            </w:r>
          </w:p>
        </w:tc>
        <w:tc>
          <w:tcPr>
            <w:tcW w:w="10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Specificity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sz w:val="20"/>
              </w:rPr>
              <w:t>Area Under Curve</w:t>
            </w:r>
            <w:r w:rsidRPr="00F90BFC">
              <w:rPr>
                <w:rFonts w:ascii="Arial" w:hAnsi="Arial" w:cs="Arial"/>
                <w:color w:val="000000" w:themeColor="text1"/>
                <w:sz w:val="20"/>
              </w:rPr>
              <w:t>（</w:t>
            </w:r>
            <w:r w:rsidRPr="00F90BFC">
              <w:rPr>
                <w:rFonts w:ascii="Arial" w:hAnsi="Arial" w:cs="Arial"/>
                <w:color w:val="000000" w:themeColor="text1"/>
                <w:sz w:val="20"/>
              </w:rPr>
              <w:t>AUC</w:t>
            </w:r>
            <w:r w:rsidRPr="00F90BFC">
              <w:rPr>
                <w:rFonts w:ascii="Arial" w:hAnsi="Arial" w:cs="Arial"/>
                <w:color w:val="000000" w:themeColor="text1"/>
                <w:sz w:val="20"/>
              </w:rPr>
              <w:t>）</w:t>
            </w:r>
          </w:p>
        </w:tc>
      </w:tr>
      <w:tr w:rsidR="000632F8" w:rsidRPr="00F90BFC" w:rsidTr="00060D25">
        <w:trPr>
          <w:trHeight w:val="1017"/>
          <w:jc w:val="center"/>
        </w:trPr>
        <w:tc>
          <w:tcPr>
            <w:tcW w:w="987" w:type="dxa"/>
            <w:tcBorders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ZNF132</w:t>
            </w: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0.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36</w:t>
            </w:r>
          </w:p>
        </w:tc>
        <w:tc>
          <w:tcPr>
            <w:tcW w:w="1222" w:type="dxa"/>
            <w:tcBorders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0.1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2.2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×10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  <w:vertAlign w:val="superscript"/>
              </w:rPr>
              <w:t>-16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2.2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×10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  <w:vertAlign w:val="superscript"/>
              </w:rPr>
              <w:t>-16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70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.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8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%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80.</w:t>
            </w: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6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%</w:t>
            </w:r>
          </w:p>
        </w:tc>
        <w:tc>
          <w:tcPr>
            <w:tcW w:w="1247" w:type="dxa"/>
            <w:tcBorders>
              <w:left w:val="nil"/>
              <w:bottom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</w:rPr>
              <w:t>0.82</w:t>
            </w:r>
          </w:p>
        </w:tc>
      </w:tr>
      <w:tr w:rsidR="000632F8" w:rsidRPr="00F90BFC" w:rsidTr="00060D25">
        <w:trPr>
          <w:trHeight w:val="520"/>
          <w:jc w:val="center"/>
        </w:trPr>
        <w:tc>
          <w:tcPr>
            <w:tcW w:w="987" w:type="dxa"/>
            <w:tcBorders>
              <w:top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LINE-1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0.</w:t>
            </w:r>
            <w:r w:rsidRPr="00F90BFC">
              <w:rPr>
                <w:rFonts w:ascii="Arial" w:hAnsi="Arial" w:cs="Arial" w:hint="eastAsia"/>
                <w:color w:val="000000" w:themeColor="text1"/>
                <w:kern w:val="0"/>
                <w:sz w:val="20"/>
              </w:rPr>
              <w:t>55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0.</w:t>
            </w:r>
            <w:r w:rsidRPr="00F90BFC">
              <w:rPr>
                <w:rFonts w:ascii="Arial" w:hAnsi="Arial" w:cs="Arial" w:hint="eastAsia"/>
                <w:color w:val="000000" w:themeColor="text1"/>
                <w:kern w:val="0"/>
                <w:sz w:val="20"/>
              </w:rPr>
              <w:t>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sz w:val="20"/>
              </w:rPr>
              <w:t>2.16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×10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  <w:vertAlign w:val="superscript"/>
              </w:rPr>
              <w:t>-8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</w:tr>
      <w:tr w:rsidR="000632F8" w:rsidRPr="00F90BFC" w:rsidTr="00060D25">
        <w:trPr>
          <w:trHeight w:val="541"/>
          <w:jc w:val="center"/>
        </w:trPr>
        <w:tc>
          <w:tcPr>
            <w:tcW w:w="987" w:type="dxa"/>
            <w:tcBorders>
              <w:top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proofErr w:type="spellStart"/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ChrM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0.03</w:t>
            </w:r>
          </w:p>
        </w:tc>
        <w:tc>
          <w:tcPr>
            <w:tcW w:w="1222" w:type="dxa"/>
            <w:tcBorders>
              <w:top w:val="nil"/>
              <w:left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0.02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90BFC">
              <w:rPr>
                <w:rFonts w:ascii="Arial" w:hAnsi="Arial" w:cs="Arial"/>
                <w:color w:val="000000" w:themeColor="text1"/>
                <w:sz w:val="20"/>
              </w:rPr>
              <w:t>2.59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</w:rPr>
              <w:t>×10</w:t>
            </w:r>
            <w:r w:rsidRPr="00F90BFC">
              <w:rPr>
                <w:rFonts w:ascii="Arial" w:hAnsi="Arial" w:cs="Arial"/>
                <w:color w:val="000000" w:themeColor="text1"/>
                <w:kern w:val="0"/>
                <w:sz w:val="20"/>
                <w:vertAlign w:val="superscript"/>
              </w:rPr>
              <w:t>-1</w:t>
            </w: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nil"/>
              <w:left w:val="nil"/>
            </w:tcBorders>
            <w:vAlign w:val="center"/>
          </w:tcPr>
          <w:p w:rsidR="000632F8" w:rsidRPr="00F90BFC" w:rsidRDefault="000632F8" w:rsidP="00060D25">
            <w:pPr>
              <w:widowControl/>
              <w:jc w:val="left"/>
              <w:textAlignment w:val="center"/>
              <w:rPr>
                <w:rFonts w:ascii="Arial" w:hAnsi="Arial" w:cs="Arial"/>
                <w:color w:val="000000" w:themeColor="text1"/>
                <w:kern w:val="0"/>
                <w:sz w:val="20"/>
              </w:rPr>
            </w:pPr>
          </w:p>
        </w:tc>
      </w:tr>
    </w:tbl>
    <w:p w:rsidR="000632F8" w:rsidRDefault="000632F8" w:rsidP="000632F8">
      <w:pPr>
        <w:snapToGrid w:val="0"/>
        <w:spacing w:line="360" w:lineRule="auto"/>
        <w:outlineLvl w:val="0"/>
        <w:rPr>
          <w:rFonts w:ascii="Arial" w:hAnsi="Arial" w:cs="Arial"/>
          <w:b/>
          <w:color w:val="000000" w:themeColor="text1"/>
          <w:sz w:val="22"/>
        </w:rPr>
      </w:pPr>
    </w:p>
    <w:p w:rsidR="000632F8" w:rsidRPr="006C7FF0" w:rsidRDefault="000632F8" w:rsidP="000632F8">
      <w:pPr>
        <w:snapToGrid w:val="0"/>
        <w:spacing w:line="360" w:lineRule="auto"/>
        <w:outlineLvl w:val="0"/>
        <w:rPr>
          <w:rFonts w:ascii="Arial" w:hAnsi="Arial" w:cs="Arial"/>
          <w:b/>
          <w:color w:val="000000" w:themeColor="text1"/>
          <w:sz w:val="22"/>
        </w:rPr>
      </w:pPr>
    </w:p>
    <w:p w:rsidR="000632F8" w:rsidRPr="00F65447" w:rsidRDefault="000632F8" w:rsidP="000632F8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</w:rPr>
      </w:pPr>
      <w:proofErr w:type="gramStart"/>
      <w:r w:rsidRPr="006C7FF0">
        <w:rPr>
          <w:rFonts w:ascii="Arial" w:hAnsi="Arial" w:cs="Arial"/>
          <w:b/>
          <w:bCs/>
          <w:color w:val="000000" w:themeColor="text1"/>
          <w:sz w:val="22"/>
        </w:rPr>
        <w:t>Figure 1.</w:t>
      </w:r>
      <w:proofErr w:type="gramEnd"/>
      <w:r w:rsidRPr="006C7FF0">
        <w:rPr>
          <w:rFonts w:ascii="Arial" w:hAnsi="Arial" w:cs="Arial"/>
          <w:b/>
          <w:bCs/>
          <w:color w:val="000000" w:themeColor="text1"/>
          <w:sz w:val="22"/>
        </w:rPr>
        <w:t xml:space="preserve"> </w:t>
      </w:r>
      <w:proofErr w:type="spellStart"/>
      <w:r w:rsidRPr="00F65447">
        <w:rPr>
          <w:rFonts w:ascii="Arial" w:hAnsi="Arial" w:cs="Arial"/>
          <w:b/>
          <w:bCs/>
          <w:color w:val="000000" w:themeColor="text1"/>
          <w:sz w:val="22"/>
        </w:rPr>
        <w:t>Hypermethylationof</w:t>
      </w:r>
      <w:proofErr w:type="spellEnd"/>
      <w:r w:rsidRPr="00F65447">
        <w:rPr>
          <w:rFonts w:ascii="Arial" w:hAnsi="Arial" w:cs="Arial"/>
          <w:b/>
          <w:bCs/>
          <w:color w:val="000000" w:themeColor="text1"/>
          <w:sz w:val="22"/>
        </w:rPr>
        <w:t xml:space="preserve"> ZNF132 in esophageal squamous cell carcinoma</w:t>
      </w:r>
    </w:p>
    <w:p w:rsidR="000632F8" w:rsidRPr="006C7FF0" w:rsidRDefault="000632F8" w:rsidP="000632F8">
      <w:pPr>
        <w:spacing w:line="360" w:lineRule="auto"/>
        <w:rPr>
          <w:rFonts w:ascii="Arial" w:hAnsi="Arial" w:cs="Arial"/>
          <w:color w:val="000000" w:themeColor="text1"/>
          <w:sz w:val="22"/>
        </w:rPr>
      </w:pPr>
      <w:r w:rsidRPr="00F65447">
        <w:rPr>
          <w:rFonts w:ascii="Arial" w:hAnsi="Arial" w:cs="Arial" w:hint="eastAsia"/>
          <w:b/>
          <w:color w:val="000000" w:themeColor="text1"/>
          <w:sz w:val="22"/>
        </w:rPr>
        <w:t>A</w:t>
      </w:r>
      <w:r w:rsidRPr="00F65447">
        <w:rPr>
          <w:rFonts w:ascii="Arial" w:hAnsi="Arial" w:cs="Arial" w:hint="eastAsia"/>
          <w:b/>
          <w:color w:val="000000" w:themeColor="text1"/>
          <w:sz w:val="22"/>
        </w:rPr>
        <w:t>．</w:t>
      </w:r>
      <w:r w:rsidRPr="00F65447">
        <w:rPr>
          <w:rFonts w:ascii="Arial" w:hAnsi="Arial" w:cs="Arial"/>
          <w:color w:val="000000" w:themeColor="text1"/>
          <w:sz w:val="22"/>
        </w:rPr>
        <w:t xml:space="preserve">Median % methylation values of </w:t>
      </w:r>
      <w:r>
        <w:rPr>
          <w:rFonts w:ascii="Arial" w:hAnsi="Arial" w:cs="Arial" w:hint="eastAsia"/>
          <w:color w:val="000000" w:themeColor="text1"/>
          <w:sz w:val="22"/>
        </w:rPr>
        <w:t>21</w:t>
      </w:r>
      <w:r w:rsidRPr="00F65447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F65447">
        <w:rPr>
          <w:rFonts w:ascii="Arial" w:hAnsi="Arial" w:cs="Arial"/>
          <w:color w:val="000000" w:themeColor="text1"/>
          <w:sz w:val="22"/>
        </w:rPr>
        <w:t>CpG</w:t>
      </w:r>
      <w:proofErr w:type="spellEnd"/>
      <w:r w:rsidRPr="00F65447">
        <w:rPr>
          <w:rFonts w:ascii="Arial" w:hAnsi="Arial" w:cs="Arial"/>
          <w:color w:val="000000" w:themeColor="text1"/>
          <w:sz w:val="22"/>
        </w:rPr>
        <w:t xml:space="preserve"> site of LINE-1. </w:t>
      </w:r>
      <w:r w:rsidRPr="00F65447">
        <w:rPr>
          <w:rFonts w:ascii="Arial" w:hAnsi="Arial" w:cs="Arial"/>
          <w:b/>
          <w:bCs/>
          <w:color w:val="000000" w:themeColor="text1"/>
          <w:sz w:val="22"/>
        </w:rPr>
        <w:t>B.</w:t>
      </w:r>
      <w:r w:rsidRPr="00F65447">
        <w:rPr>
          <w:rFonts w:ascii="Arial" w:hAnsi="Arial" w:cs="Arial"/>
          <w:color w:val="000000" w:themeColor="text1"/>
          <w:sz w:val="22"/>
        </w:rPr>
        <w:t xml:space="preserve"> Median % methylation of 11 </w:t>
      </w:r>
      <w:proofErr w:type="spellStart"/>
      <w:r w:rsidRPr="00F65447">
        <w:rPr>
          <w:rFonts w:ascii="Arial" w:hAnsi="Arial" w:cs="Arial"/>
          <w:color w:val="000000" w:themeColor="text1"/>
          <w:sz w:val="22"/>
        </w:rPr>
        <w:t>CpG</w:t>
      </w:r>
      <w:proofErr w:type="spellEnd"/>
      <w:r w:rsidRPr="00F65447">
        <w:rPr>
          <w:rFonts w:ascii="Arial" w:hAnsi="Arial" w:cs="Arial"/>
          <w:color w:val="000000" w:themeColor="text1"/>
          <w:sz w:val="22"/>
        </w:rPr>
        <w:t xml:space="preserve"> sites of </w:t>
      </w:r>
      <w:proofErr w:type="spellStart"/>
      <w:r w:rsidRPr="00F65447">
        <w:rPr>
          <w:rFonts w:ascii="Arial" w:hAnsi="Arial" w:cs="Arial"/>
          <w:color w:val="000000" w:themeColor="text1"/>
          <w:sz w:val="22"/>
        </w:rPr>
        <w:t>ChrM</w:t>
      </w:r>
      <w:proofErr w:type="spellEnd"/>
      <w:r w:rsidRPr="00F65447">
        <w:rPr>
          <w:rFonts w:ascii="Arial" w:hAnsi="Arial" w:cs="Arial"/>
          <w:color w:val="000000" w:themeColor="text1"/>
          <w:sz w:val="22"/>
        </w:rPr>
        <w:t>.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F65447">
        <w:rPr>
          <w:rFonts w:ascii="Arial" w:hAnsi="Arial" w:cs="Arial"/>
          <w:b/>
          <w:bCs/>
          <w:color w:val="000000" w:themeColor="text1"/>
          <w:sz w:val="22"/>
        </w:rPr>
        <w:t>C.</w:t>
      </w:r>
      <w:r w:rsidRPr="00F65447">
        <w:rPr>
          <w:rFonts w:ascii="Arial" w:hAnsi="Arial" w:cs="Arial"/>
          <w:color w:val="000000" w:themeColor="text1"/>
          <w:sz w:val="22"/>
        </w:rPr>
        <w:t xml:space="preserve"> Median % methylation in ESCC an</w:t>
      </w:r>
      <w:r>
        <w:rPr>
          <w:rFonts w:ascii="Arial" w:hAnsi="Arial" w:cs="Arial"/>
          <w:color w:val="000000" w:themeColor="text1"/>
          <w:sz w:val="22"/>
        </w:rPr>
        <w:t>d adjacent control tissues of 14</w:t>
      </w:r>
      <w:r w:rsidRPr="00F65447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F65447">
        <w:rPr>
          <w:rFonts w:ascii="Arial" w:hAnsi="Arial" w:cs="Arial"/>
          <w:color w:val="000000" w:themeColor="text1"/>
          <w:sz w:val="22"/>
        </w:rPr>
        <w:t>CpG</w:t>
      </w:r>
      <w:proofErr w:type="spellEnd"/>
      <w:r w:rsidRPr="00F65447">
        <w:rPr>
          <w:rFonts w:ascii="Arial" w:hAnsi="Arial" w:cs="Arial"/>
          <w:color w:val="000000" w:themeColor="text1"/>
          <w:sz w:val="22"/>
        </w:rPr>
        <w:t xml:space="preserve"> sites of ZNF132 promoter region</w:t>
      </w:r>
      <w:r>
        <w:rPr>
          <w:rFonts w:ascii="Arial" w:hAnsi="Arial" w:cs="Arial"/>
          <w:color w:val="000000" w:themeColor="text1"/>
          <w:sz w:val="22"/>
        </w:rPr>
        <w:t xml:space="preserve"> (without the last one which is </w:t>
      </w:r>
      <w:proofErr w:type="spellStart"/>
      <w:r>
        <w:rPr>
          <w:rFonts w:ascii="Arial" w:hAnsi="Arial" w:cs="Arial"/>
          <w:color w:val="000000" w:themeColor="text1"/>
          <w:sz w:val="22"/>
        </w:rPr>
        <w:t>hypermethylated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in normal)</w:t>
      </w:r>
      <w:r w:rsidRPr="00F65447">
        <w:rPr>
          <w:rFonts w:ascii="Arial" w:hAnsi="Arial" w:cs="Arial"/>
          <w:color w:val="000000" w:themeColor="text1"/>
          <w:sz w:val="22"/>
        </w:rPr>
        <w:t>.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>
        <w:rPr>
          <w:rFonts w:ascii="Arial" w:hAnsi="Arial" w:cs="Arial" w:hint="eastAsia"/>
          <w:b/>
          <w:color w:val="000000" w:themeColor="text1"/>
          <w:sz w:val="22"/>
        </w:rPr>
        <w:t>D</w:t>
      </w:r>
      <w:r w:rsidRPr="006C7FF0">
        <w:rPr>
          <w:rFonts w:ascii="Arial" w:hAnsi="Arial" w:cs="Arial"/>
          <w:b/>
          <w:color w:val="000000" w:themeColor="text1"/>
          <w:sz w:val="22"/>
        </w:rPr>
        <w:t xml:space="preserve">. </w:t>
      </w:r>
      <w:r w:rsidRPr="006C7FF0">
        <w:rPr>
          <w:rFonts w:ascii="Arial" w:hAnsi="Arial" w:cs="Arial"/>
          <w:color w:val="000000" w:themeColor="text1"/>
          <w:sz w:val="22"/>
        </w:rPr>
        <w:t xml:space="preserve">The methylation of ZNF132 in the 94 cases of ESCC tissues and adjacent tissues (each point represents the absolute ratio of methylation in each tissue) </w:t>
      </w:r>
      <w:r>
        <w:rPr>
          <w:rFonts w:ascii="Arial" w:hAnsi="Arial" w:cs="Arial" w:hint="eastAsia"/>
          <w:b/>
          <w:color w:val="000000" w:themeColor="text1"/>
          <w:sz w:val="22"/>
        </w:rPr>
        <w:t>E</w:t>
      </w:r>
      <w:r w:rsidRPr="006C7FF0">
        <w:rPr>
          <w:rFonts w:ascii="Arial" w:hAnsi="Arial" w:cs="Arial"/>
          <w:b/>
          <w:color w:val="000000" w:themeColor="text1"/>
          <w:sz w:val="22"/>
        </w:rPr>
        <w:t xml:space="preserve">. </w:t>
      </w:r>
      <w:r w:rsidRPr="006C7FF0">
        <w:rPr>
          <w:rFonts w:ascii="Arial" w:hAnsi="Arial" w:cs="Arial"/>
          <w:color w:val="000000" w:themeColor="text1"/>
          <w:sz w:val="22"/>
        </w:rPr>
        <w:t xml:space="preserve">Represents the overall ROC (Receiver Operating </w:t>
      </w:r>
      <w:proofErr w:type="spellStart"/>
      <w:r w:rsidRPr="006C7FF0">
        <w:rPr>
          <w:rFonts w:ascii="Arial" w:hAnsi="Arial" w:cs="Arial"/>
          <w:color w:val="000000" w:themeColor="text1"/>
          <w:sz w:val="22"/>
        </w:rPr>
        <w:t>chara</w:t>
      </w:r>
      <w:bookmarkStart w:id="0" w:name="_GoBack"/>
      <w:bookmarkEnd w:id="0"/>
      <w:r w:rsidRPr="006C7FF0">
        <w:rPr>
          <w:rFonts w:ascii="Arial" w:hAnsi="Arial" w:cs="Arial"/>
          <w:color w:val="000000" w:themeColor="text1"/>
          <w:sz w:val="22"/>
        </w:rPr>
        <w:t>cterstics</w:t>
      </w:r>
      <w:proofErr w:type="spellEnd"/>
      <w:r w:rsidRPr="006C7FF0">
        <w:rPr>
          <w:rFonts w:ascii="Arial" w:hAnsi="Arial" w:cs="Arial"/>
          <w:color w:val="000000" w:themeColor="text1"/>
          <w:sz w:val="22"/>
        </w:rPr>
        <w:t>) curve, which was calculated through a logistic regression model, incorporating the mean methylation percentage of the five genomic regions as the variables, and with</w:t>
      </w:r>
      <w:r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6C7FF0">
        <w:rPr>
          <w:rFonts w:ascii="Arial" w:hAnsi="Arial" w:cs="Arial"/>
          <w:color w:val="000000" w:themeColor="text1"/>
          <w:sz w:val="22"/>
        </w:rPr>
        <w:t xml:space="preserve">the adjustment for gender, age, </w:t>
      </w:r>
      <w:r w:rsidRPr="00BA1359">
        <w:rPr>
          <w:rFonts w:ascii="Arial" w:hAnsi="Arial" w:cs="Arial"/>
          <w:color w:val="000000" w:themeColor="text1"/>
          <w:sz w:val="22"/>
        </w:rPr>
        <w:t>smoking and alcohol consumption</w:t>
      </w:r>
      <w:r w:rsidRPr="006C7FF0">
        <w:rPr>
          <w:rFonts w:ascii="Arial" w:hAnsi="Arial" w:cs="Arial"/>
          <w:color w:val="000000" w:themeColor="text1"/>
          <w:sz w:val="22"/>
        </w:rPr>
        <w:t xml:space="preserve">. </w:t>
      </w:r>
    </w:p>
    <w:p w:rsidR="00CC4424" w:rsidRDefault="00CC4424"/>
    <w:sectPr w:rsidR="00CC44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F8"/>
    <w:rsid w:val="000632F8"/>
    <w:rsid w:val="00495D58"/>
    <w:rsid w:val="005B5098"/>
    <w:rsid w:val="00C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2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2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30D9BCEB.dotm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1</cp:revision>
  <dcterms:created xsi:type="dcterms:W3CDTF">2018-05-17T02:50:00Z</dcterms:created>
  <dcterms:modified xsi:type="dcterms:W3CDTF">2018-05-17T02:51:00Z</dcterms:modified>
</cp:coreProperties>
</file>