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26" w:rsidRPr="006D6F5B" w:rsidRDefault="000B6526" w:rsidP="000B6526">
      <w:pPr>
        <w:rPr>
          <w:rFonts w:ascii="Arial" w:hAnsi="Arial" w:cs="Arial"/>
          <w:sz w:val="22"/>
        </w:rPr>
      </w:pPr>
      <w:r w:rsidRPr="006D6F5B">
        <w:rPr>
          <w:rFonts w:ascii="Arial" w:hAnsi="Arial" w:cs="Arial"/>
          <w:sz w:val="22"/>
        </w:rPr>
        <w:t>Title: Identification and Validation of Cell-free DNA Methylation Biomarkers for Human Brain Cancers</w:t>
      </w:r>
    </w:p>
    <w:p w:rsidR="000B6526" w:rsidRDefault="000B6526" w:rsidP="000B6526">
      <w:pPr>
        <w:tabs>
          <w:tab w:val="left" w:pos="720"/>
        </w:tabs>
        <w:rPr>
          <w:rFonts w:ascii="Arial" w:hAnsi="Arial" w:cs="Arial"/>
        </w:rPr>
      </w:pPr>
    </w:p>
    <w:p w:rsidR="000B6526" w:rsidRDefault="000B6526" w:rsidP="000B6526">
      <w:pPr>
        <w:numPr>
          <w:ilvl w:val="0"/>
          <w:numId w:val="1"/>
        </w:numPr>
        <w:jc w:val="both"/>
        <w:rPr>
          <w:rFonts w:ascii="Arial" w:hAnsi="Arial" w:cs="Arial"/>
        </w:rPr>
      </w:pPr>
      <w:r>
        <w:rPr>
          <w:rFonts w:ascii="Arial" w:hAnsi="Arial" w:cs="Arial"/>
        </w:rPr>
        <w:t xml:space="preserve">Detailed </w:t>
      </w:r>
      <w:r>
        <w:rPr>
          <w:rFonts w:ascii="Arial" w:hAnsi="Arial" w:cs="Arial"/>
          <w:i/>
          <w:iCs/>
          <w:vertAlign w:val="superscript"/>
        </w:rPr>
        <w:t>m</w:t>
      </w:r>
      <w:r>
        <w:rPr>
          <w:rFonts w:ascii="Arial" w:hAnsi="Arial" w:cs="Arial"/>
        </w:rPr>
        <w:t>SEPT9 Assay Protocol:</w:t>
      </w:r>
    </w:p>
    <w:p w:rsidR="000B6526" w:rsidRDefault="000B6526" w:rsidP="000B6526">
      <w:pPr>
        <w:rPr>
          <w:rFonts w:ascii="Arial" w:hAnsi="Arial" w:cs="Arial"/>
        </w:rPr>
      </w:pPr>
    </w:p>
    <w:p w:rsidR="000B6526" w:rsidRDefault="000B6526" w:rsidP="000B6526">
      <w:pPr>
        <w:rPr>
          <w:rFonts w:ascii="Arial" w:hAnsi="Arial" w:cs="Arial"/>
          <w:sz w:val="22"/>
        </w:rPr>
      </w:pPr>
      <w:r>
        <w:rPr>
          <w:rFonts w:ascii="Arial" w:hAnsi="Arial" w:cs="Arial"/>
          <w:sz w:val="22"/>
          <w:u w:val="single"/>
        </w:rPr>
        <w:t>DNA Extraction</w:t>
      </w:r>
      <w:r>
        <w:rPr>
          <w:rFonts w:ascii="Arial" w:hAnsi="Arial" w:cs="Arial"/>
          <w:sz w:val="22"/>
        </w:rPr>
        <w:t xml:space="preserve">:  DNA was extracted from 5 mL of blood plasma using a modified viral DNA/RNA extraction kit (chemagen AG, </w:t>
      </w:r>
      <w:r>
        <w:rPr>
          <w:rFonts w:ascii="Arial" w:hAnsi="Arial" w:cs="Arial"/>
        </w:rPr>
        <w:t>Baesweiler Germany</w:t>
      </w:r>
      <w:r>
        <w:rPr>
          <w:rFonts w:ascii="Arial" w:hAnsi="Arial" w:cs="Arial"/>
          <w:sz w:val="22"/>
        </w:rPr>
        <w:t>).  Plasma samples were thawed at room temperature and extracted following the directions of the kit with modifications.  Samples were lysed and treated with protease at 56</w:t>
      </w:r>
      <w:r>
        <w:rPr>
          <w:rFonts w:ascii="Arial" w:hAnsi="Arial" w:cs="Arial"/>
          <w:sz w:val="22"/>
        </w:rPr>
        <w:sym w:font="Symbol" w:char="F0B0"/>
      </w:r>
      <w:r>
        <w:rPr>
          <w:rFonts w:ascii="Arial" w:hAnsi="Arial" w:cs="Arial"/>
          <w:sz w:val="22"/>
        </w:rPr>
        <w:t xml:space="preserve">C for 10 min in a 50 mL Falcon tube.  100 </w:t>
      </w:r>
      <w:r>
        <w:rPr>
          <w:rFonts w:ascii="Arial" w:hAnsi="Arial" w:cs="Arial"/>
          <w:sz w:val="22"/>
        </w:rPr>
        <w:sym w:font="Symbol" w:char="F06D"/>
      </w:r>
      <w:r>
        <w:rPr>
          <w:rFonts w:ascii="Arial" w:hAnsi="Arial" w:cs="Arial"/>
          <w:sz w:val="22"/>
        </w:rPr>
        <w:t>L of magnetic particles and 15 mL of binding buffer were then added, and binding was performed for 60 min at room temperature on a rotator.  Magnetic particles were captured for 4 min, the supernatant discarded and the pellet was resuspended in 3 mL of wash buffer.  1.5 mL of particle solution were transferred to a 2 mL SafeLock, the beads captured and the supernatant discarded. This was repeated to complete the 3 mL transfer.  Tubes were briefly centrifuged and the residual wash buffer was removed by pipetting after bead separation.  The tubes were then placed in a 56</w:t>
      </w:r>
      <w:r>
        <w:rPr>
          <w:rFonts w:ascii="Arial" w:hAnsi="Arial" w:cs="Arial"/>
          <w:sz w:val="22"/>
        </w:rPr>
        <w:sym w:font="Symbol" w:char="F0B0"/>
      </w:r>
      <w:r>
        <w:rPr>
          <w:rFonts w:ascii="Arial" w:hAnsi="Arial" w:cs="Arial"/>
          <w:sz w:val="22"/>
        </w:rPr>
        <w:t xml:space="preserve">C dry block for 5 min, 100 </w:t>
      </w:r>
      <w:r>
        <w:rPr>
          <w:rFonts w:ascii="Arial" w:hAnsi="Arial" w:cs="Arial"/>
          <w:sz w:val="22"/>
        </w:rPr>
        <w:sym w:font="Symbol" w:char="F06D"/>
      </w:r>
      <w:r>
        <w:rPr>
          <w:rFonts w:ascii="Arial" w:hAnsi="Arial" w:cs="Arial"/>
          <w:sz w:val="22"/>
        </w:rPr>
        <w:t>l of elution buffer was added, the tubes incubated at 65</w:t>
      </w:r>
      <w:r>
        <w:rPr>
          <w:rFonts w:ascii="Arial" w:hAnsi="Arial" w:cs="Arial"/>
          <w:sz w:val="22"/>
        </w:rPr>
        <w:sym w:font="Symbol" w:char="F0B0"/>
      </w:r>
      <w:r>
        <w:rPr>
          <w:rFonts w:ascii="Arial" w:hAnsi="Arial" w:cs="Arial"/>
          <w:sz w:val="22"/>
        </w:rPr>
        <w:t>C with shaking on a thermomixer for 15 min, the particles separated on a magnetic stand and the eluted DNA transferred to a 0.5 mL SafeLock tube (Eppendorf).   A 5</w:t>
      </w:r>
      <w:r>
        <w:rPr>
          <w:rFonts w:ascii="Arial" w:hAnsi="Arial" w:cs="Arial"/>
          <w:sz w:val="22"/>
        </w:rPr>
        <w:sym w:font="Symbol" w:char="F06D"/>
      </w:r>
      <w:r>
        <w:rPr>
          <w:rFonts w:ascii="Arial" w:hAnsi="Arial" w:cs="Arial"/>
          <w:sz w:val="22"/>
        </w:rPr>
        <w:t xml:space="preserve">l aliquot of the DNA sample was transferred to 45 </w:t>
      </w:r>
      <w:r>
        <w:rPr>
          <w:rFonts w:ascii="Arial" w:hAnsi="Arial" w:cs="Arial"/>
          <w:sz w:val="22"/>
        </w:rPr>
        <w:sym w:font="Symbol" w:char="F06D"/>
      </w:r>
      <w:r>
        <w:rPr>
          <w:rFonts w:ascii="Arial" w:hAnsi="Arial" w:cs="Arial"/>
          <w:sz w:val="22"/>
        </w:rPr>
        <w:t>l of elution buffer for the measurement of genomic DNA.</w:t>
      </w:r>
    </w:p>
    <w:p w:rsidR="000B6526" w:rsidRDefault="000B6526" w:rsidP="000B6526">
      <w:pPr>
        <w:rPr>
          <w:rFonts w:ascii="Arial" w:hAnsi="Arial" w:cs="Arial"/>
          <w:sz w:val="22"/>
        </w:rPr>
      </w:pPr>
    </w:p>
    <w:p w:rsidR="000B6526" w:rsidRDefault="000B6526" w:rsidP="000B6526">
      <w:pPr>
        <w:autoSpaceDE w:val="0"/>
        <w:rPr>
          <w:rFonts w:ascii="Arial" w:hAnsi="Arial" w:cs="Arial"/>
          <w:sz w:val="22"/>
        </w:rPr>
      </w:pPr>
      <w:r>
        <w:rPr>
          <w:rFonts w:ascii="Arial" w:hAnsi="Arial" w:cs="Arial"/>
          <w:sz w:val="22"/>
          <w:u w:val="single"/>
        </w:rPr>
        <w:t>Bisulfite Conversion</w:t>
      </w:r>
      <w:r>
        <w:rPr>
          <w:rFonts w:ascii="Arial" w:hAnsi="Arial" w:cs="Arial"/>
          <w:sz w:val="22"/>
        </w:rPr>
        <w:t xml:space="preserve">: The sample input for bisulfite treatment was 95-100 </w:t>
      </w:r>
      <w:r>
        <w:rPr>
          <w:rFonts w:ascii="Arial" w:hAnsi="Arial" w:cs="Arial"/>
          <w:sz w:val="22"/>
        </w:rPr>
        <w:sym w:font="Symbol" w:char="F06D"/>
      </w:r>
      <w:r>
        <w:rPr>
          <w:rFonts w:ascii="Arial" w:hAnsi="Arial" w:cs="Arial"/>
          <w:sz w:val="22"/>
        </w:rPr>
        <w:t xml:space="preserve">l of extracted DNA in elution buffer.  The bisulfite reagents (for 25 reactions) were prepared as follows. </w:t>
      </w:r>
    </w:p>
    <w:p w:rsidR="000B6526" w:rsidRDefault="000B6526" w:rsidP="000B6526">
      <w:pPr>
        <w:autoSpaceDE w:val="0"/>
        <w:rPr>
          <w:rFonts w:ascii="Arial" w:hAnsi="Arial" w:cs="Arial"/>
          <w:sz w:val="22"/>
        </w:rPr>
      </w:pPr>
      <w:r>
        <w:rPr>
          <w:rFonts w:ascii="Arial" w:hAnsi="Arial" w:cs="Arial"/>
          <w:sz w:val="22"/>
          <w:u w:val="single"/>
        </w:rPr>
        <w:t>Bisulfite solution</w:t>
      </w:r>
      <w:r>
        <w:rPr>
          <w:rFonts w:ascii="Arial" w:hAnsi="Arial" w:cs="Arial"/>
          <w:sz w:val="22"/>
        </w:rPr>
        <w:t>: Sodium bisulfite (4.71gm) and sodium sulfite (1.13gm) were dissolved in 10 mL of ddH2O in a falcon tube, by vigorous shaking and heating to 50</w:t>
      </w:r>
      <w:r>
        <w:rPr>
          <w:rFonts w:ascii="Arial" w:hAnsi="Arial" w:cs="Arial"/>
          <w:sz w:val="22"/>
        </w:rPr>
        <w:sym w:font="Symbol" w:char="F0B0"/>
      </w:r>
      <w:r>
        <w:rPr>
          <w:rFonts w:ascii="Arial" w:hAnsi="Arial" w:cs="Arial"/>
          <w:sz w:val="22"/>
        </w:rPr>
        <w:t xml:space="preserve">C if required, and the pH adjusted to 5.4-5.5 with 0.2M NaOH as necessary.  </w:t>
      </w:r>
      <w:r>
        <w:rPr>
          <w:rFonts w:ascii="Arial" w:hAnsi="Arial" w:cs="Arial"/>
          <w:sz w:val="22"/>
          <w:u w:val="single"/>
        </w:rPr>
        <w:t>DME-radical scavenger solution</w:t>
      </w:r>
      <w:r>
        <w:rPr>
          <w:rFonts w:ascii="Arial" w:hAnsi="Arial" w:cs="Arial"/>
          <w:sz w:val="22"/>
        </w:rPr>
        <w:t>: 188 mg of 6-hydroxy-2</w:t>
      </w:r>
      <w:r>
        <w:rPr>
          <w:rFonts w:ascii="Arial" w:hAnsi="Arial" w:cs="Arial"/>
          <w:sz w:val="22"/>
        </w:rPr>
        <w:t>, 5, 7, 8</w:t>
      </w:r>
      <w:r>
        <w:rPr>
          <w:rFonts w:ascii="Arial" w:hAnsi="Arial" w:cs="Arial"/>
          <w:sz w:val="22"/>
        </w:rPr>
        <w:t>-tetramethyl-chroman-2-carboxylic acid was dissolved in 1.5 mL diethyleneglycoldimethylether (DME</w:t>
      </w:r>
      <w:r>
        <w:rPr>
          <w:rFonts w:ascii="Arial" w:eastAsia="Helvetica" w:hAnsi="Arial" w:cs="Helvetica"/>
          <w:color w:val="000000"/>
          <w:sz w:val="22"/>
        </w:rPr>
        <w:t>), v</w:t>
      </w:r>
      <w:r>
        <w:rPr>
          <w:rFonts w:ascii="Arial" w:hAnsi="Arial" w:cs="Arial"/>
          <w:sz w:val="22"/>
        </w:rPr>
        <w:t xml:space="preserve">ortexing to ensure an uniform solution. </w:t>
      </w:r>
    </w:p>
    <w:p w:rsidR="000B6526" w:rsidRDefault="000B6526" w:rsidP="000B6526">
      <w:pPr>
        <w:autoSpaceDE w:val="0"/>
        <w:rPr>
          <w:rFonts w:ascii="Arial" w:hAnsi="Arial" w:cs="Arial"/>
          <w:sz w:val="22"/>
        </w:rPr>
      </w:pPr>
      <w:r>
        <w:rPr>
          <w:rFonts w:ascii="Arial" w:hAnsi="Arial" w:cs="Arial"/>
          <w:sz w:val="22"/>
          <w:u w:val="single"/>
        </w:rPr>
        <w:t xml:space="preserve">Bisulfite Reaction: </w:t>
      </w:r>
      <w:r>
        <w:rPr>
          <w:rFonts w:ascii="Arial" w:hAnsi="Arial" w:cs="Arial"/>
          <w:sz w:val="22"/>
        </w:rPr>
        <w:t xml:space="preserve">190 </w:t>
      </w:r>
      <w:r>
        <w:rPr>
          <w:rFonts w:ascii="Arial" w:hAnsi="Arial" w:cs="Arial"/>
          <w:sz w:val="22"/>
        </w:rPr>
        <w:sym w:font="Symbol" w:char="F06D"/>
      </w:r>
      <w:r>
        <w:rPr>
          <w:rFonts w:ascii="Arial" w:hAnsi="Arial" w:cs="Arial"/>
          <w:sz w:val="22"/>
        </w:rPr>
        <w:t>L of bisulfite solution and 30</w:t>
      </w:r>
      <w:r>
        <w:rPr>
          <w:rFonts w:ascii="Arial" w:hAnsi="Arial" w:cs="Arial"/>
          <w:sz w:val="22"/>
        </w:rPr>
        <w:sym w:font="Symbol" w:char="F06D"/>
      </w:r>
      <w:r>
        <w:rPr>
          <w:rFonts w:ascii="Arial" w:hAnsi="Arial" w:cs="Arial"/>
          <w:sz w:val="22"/>
        </w:rPr>
        <w:t xml:space="preserve">l DME-radical scavenger solution were added to the 95-100 </w:t>
      </w:r>
      <w:r>
        <w:rPr>
          <w:rFonts w:ascii="Arial" w:hAnsi="Arial" w:cs="Arial"/>
          <w:sz w:val="22"/>
        </w:rPr>
        <w:sym w:font="Symbol" w:char="F06D"/>
      </w:r>
      <w:r>
        <w:rPr>
          <w:rFonts w:ascii="Arial" w:hAnsi="Arial" w:cs="Arial"/>
          <w:sz w:val="22"/>
        </w:rPr>
        <w:t>l DNA sample in 0.5 mL SafeLock tubes. The tubes were incubated in a Eppend</w:t>
      </w:r>
      <w:bookmarkStart w:id="0" w:name="_GoBack"/>
      <w:bookmarkEnd w:id="0"/>
      <w:r>
        <w:rPr>
          <w:rFonts w:ascii="Arial" w:hAnsi="Arial" w:cs="Arial"/>
          <w:sz w:val="22"/>
        </w:rPr>
        <w:t>orf Mastercycler (Eppendorf)</w:t>
      </w:r>
      <w:r>
        <w:rPr>
          <w:rFonts w:ascii="Arial" w:hAnsi="Arial" w:cs="Arial"/>
        </w:rPr>
        <w:t xml:space="preserve"> </w:t>
      </w:r>
      <w:r>
        <w:rPr>
          <w:rFonts w:ascii="Arial" w:hAnsi="Arial" w:cs="Arial"/>
          <w:sz w:val="22"/>
        </w:rPr>
        <w:t>according to the following protocol: 5 min 99°C, 25min 50°C, 5 min 99°C, 1h 25min 50°C, 5 min 99°C, 4h 55min 50°C, hold 20°C.  This protocol allowed overnight bisulfite conversion.</w:t>
      </w:r>
    </w:p>
    <w:p w:rsidR="000B6526" w:rsidRDefault="000B6526" w:rsidP="000B6526">
      <w:pPr>
        <w:autoSpaceDE w:val="0"/>
        <w:rPr>
          <w:rFonts w:ascii="Arial" w:hAnsi="Arial" w:cs="Arial"/>
          <w:sz w:val="22"/>
        </w:rPr>
      </w:pPr>
    </w:p>
    <w:p w:rsidR="000B6526" w:rsidRDefault="000B6526" w:rsidP="000B6526">
      <w:pPr>
        <w:autoSpaceDE w:val="0"/>
        <w:rPr>
          <w:rFonts w:ascii="Arial" w:hAnsi="Arial" w:cs="Arial"/>
          <w:sz w:val="22"/>
        </w:rPr>
      </w:pPr>
      <w:r>
        <w:rPr>
          <w:rFonts w:ascii="Arial" w:hAnsi="Arial" w:cs="Arial"/>
          <w:sz w:val="22"/>
          <w:u w:val="single"/>
        </w:rPr>
        <w:t>Bisulfite Purification</w:t>
      </w:r>
      <w:r>
        <w:rPr>
          <w:rFonts w:ascii="Arial" w:hAnsi="Arial" w:cs="Arial"/>
          <w:sz w:val="22"/>
        </w:rPr>
        <w:t xml:space="preserve">:  Following bisulfite conversion, DNA was purified using a customized kit from chemagen AG.  The bisulfite reaction (320 </w:t>
      </w:r>
      <w:r>
        <w:rPr>
          <w:rFonts w:ascii="Arial" w:hAnsi="Arial" w:cs="Arial"/>
          <w:sz w:val="22"/>
        </w:rPr>
        <w:sym w:font="Symbol" w:char="F06D"/>
      </w:r>
      <w:r>
        <w:rPr>
          <w:rFonts w:ascii="Arial" w:hAnsi="Arial" w:cs="Arial"/>
          <w:sz w:val="22"/>
        </w:rPr>
        <w:t xml:space="preserve">L) was transferred to a 2 mL SafeLock tube, and 1 </w:t>
      </w:r>
      <w:r>
        <w:rPr>
          <w:rFonts w:ascii="Arial" w:hAnsi="Arial" w:cs="Arial"/>
          <w:sz w:val="22"/>
        </w:rPr>
        <w:sym w:font="Symbol" w:char="F06D"/>
      </w:r>
      <w:r>
        <w:rPr>
          <w:rFonts w:ascii="Arial" w:hAnsi="Arial" w:cs="Arial"/>
          <w:sz w:val="22"/>
        </w:rPr>
        <w:t>Lof polyA (500 ng/</w:t>
      </w:r>
      <w:r>
        <w:rPr>
          <w:rFonts w:ascii="Arial" w:hAnsi="Arial" w:cs="Arial"/>
          <w:sz w:val="22"/>
        </w:rPr>
        <w:sym w:font="Symbol" w:char="F06D"/>
      </w:r>
      <w:r>
        <w:rPr>
          <w:rFonts w:ascii="Arial" w:hAnsi="Arial" w:cs="Arial"/>
          <w:sz w:val="22"/>
        </w:rPr>
        <w:t xml:space="preserve">L) and 1.5 mL of binding buffer were added.  10 </w:t>
      </w:r>
      <w:r>
        <w:rPr>
          <w:rFonts w:ascii="Arial" w:hAnsi="Arial" w:cs="Arial"/>
          <w:sz w:val="22"/>
        </w:rPr>
        <w:sym w:font="Symbol" w:char="F06D"/>
      </w:r>
      <w:r>
        <w:rPr>
          <w:rFonts w:ascii="Arial" w:hAnsi="Arial" w:cs="Arial"/>
          <w:sz w:val="22"/>
        </w:rPr>
        <w:t>L chemagen magnetic particles were added and the sample was mixed by vortexing.   The samples were incubated at room temperature on a thermal mixer at a rotation of 1000 rpm for 60 min.  Magnetic particles were separated on a magnetic stand, the liquid discarded, the tubes briefly centrifuged and the residual liquid removed following magnetic separation.  The particles were washed twice with wash buffer II from the kit, and once with 70% ethanol.  Following the ethanol wash, the tubes were centrifuged again, and the residual liquid removed following magnetic separation.  The particles were dried by placing open tubes in a 55</w:t>
      </w:r>
      <w:r>
        <w:rPr>
          <w:rFonts w:ascii="Arial" w:hAnsi="Arial" w:cs="Arial"/>
          <w:sz w:val="22"/>
        </w:rPr>
        <w:sym w:font="Symbol" w:char="F0B0"/>
      </w:r>
      <w:r>
        <w:rPr>
          <w:rFonts w:ascii="Arial" w:hAnsi="Arial" w:cs="Arial"/>
          <w:sz w:val="22"/>
        </w:rPr>
        <w:t xml:space="preserve">C heat block, and 55 </w:t>
      </w:r>
      <w:r>
        <w:rPr>
          <w:rFonts w:ascii="Arial" w:hAnsi="Arial" w:cs="Arial"/>
          <w:sz w:val="22"/>
        </w:rPr>
        <w:sym w:font="Symbol" w:char="F06D"/>
      </w:r>
      <w:r>
        <w:rPr>
          <w:rFonts w:ascii="Arial" w:hAnsi="Arial" w:cs="Arial"/>
          <w:sz w:val="22"/>
        </w:rPr>
        <w:t>L elution buffer (10 mM Tris pH 7.2) added.  Samples were incubated at 55</w:t>
      </w:r>
      <w:r>
        <w:rPr>
          <w:rFonts w:ascii="Arial" w:hAnsi="Arial" w:cs="Arial"/>
          <w:sz w:val="22"/>
        </w:rPr>
        <w:sym w:font="Symbol" w:char="F0B0"/>
      </w:r>
      <w:r>
        <w:rPr>
          <w:rFonts w:ascii="Arial" w:hAnsi="Arial" w:cs="Arial"/>
          <w:sz w:val="22"/>
        </w:rPr>
        <w:t>C for 15 min on a thermal mixer with rotation set to 1000 rpm, placed on a magnetic separator and the eluate containing DNA transferred to a new tube.  A 5 µL aliquot of bis-DNA was added to 45 µL of elution buffer for the measurement of a 10 fold diluted sample.  This purification method leaves out the desulfonation step following bisulfite conversion, to make the DNA amenable to carry over prevention by UNGase treatment as describe previously.</w:t>
      </w:r>
      <w:r>
        <w:rPr>
          <w:rFonts w:ascii="Arial" w:hAnsi="Arial" w:cs="Arial"/>
        </w:rPr>
        <w:fldChar w:fldCharType="begin"/>
      </w:r>
      <w:r>
        <w:rPr>
          <w:rFonts w:ascii="Arial" w:hAnsi="Arial" w:cs="Arial"/>
        </w:rPr>
        <w:instrText xml:space="preserve"> ADDIN EN.CITE &lt;EndNote&gt;&lt;Cite&gt;&lt;Author&gt;Tetzner&lt;/Author&gt;&lt;Year&gt;2007&lt;/Year&gt;&lt;RecNum&gt;7293&lt;/RecNum&gt;&lt;record&gt;&lt;rec-number&gt;7293&lt;/rec-number&gt;&lt;ref-type name="Journal Article"&gt;17&lt;/ref-type&gt;&lt;contributors&gt;&lt;authors&gt;&lt;author&gt;Tetzner, R.&lt;/author&gt;&lt;author&gt;Dietrich, D.&lt;/author&gt;&lt;author&gt;Distler, J.&lt;/author&gt;&lt;/authors&gt;&lt;/contributors&gt;&lt;auth-address&gt;Epigenomics AG, Kleine Praesidentenstrasse 1, 10178 Berlin, Germany.&lt;/auth-address&gt;&lt;titles&gt;&lt;title&gt;Control of carry-over contamination for PCR-based DNA methylation quantification using bisulfite treated DNA&lt;/title&gt;&lt;secondary-title&gt;Nucleic Acids Res&lt;/secondary-title&gt;&lt;/titles&gt;&lt;periodical&gt;&lt;full-title&gt;Nucleic Acids Res&lt;/full-title&gt;&lt;abbr-1&gt;Nucleic Acids Res&lt;/abbr-1&gt;&lt;abbr-2&gt;Nucleic Acids Res&lt;/abbr-2&gt;&lt;/periodical&gt;&lt;pages&gt;e4&lt;/pages&gt;&lt;volume&gt;35&lt;/volume&gt;&lt;number&gt;1&lt;/number&gt;&lt;keywords&gt;&lt;keyword&gt;Colonic Neoplasms/genetics&lt;/keyword&gt;&lt;keyword&gt;DNA/*chemistry&lt;/keyword&gt;&lt;keyword&gt;*DNA Methylation&lt;/keyword&gt;&lt;keyword&gt;DNA, Neoplasm/chemistry&lt;/keyword&gt;&lt;keyword&gt;Female&lt;/keyword&gt;&lt;keyword&gt;Humans&lt;/keyword&gt;&lt;keyword&gt;Male&lt;/keyword&gt;&lt;keyword&gt;Polymerase Chain Reaction/*methods&lt;/keyword&gt;&lt;keyword&gt;Sulfites/*chemistry&lt;/keyword&gt;&lt;keyword&gt;Uracil/chemistry&lt;/keyword&gt;&lt;keyword&gt;Uracil-DNA Glycosidase&lt;/keyword&gt;&lt;/keywords&gt;&lt;dates&gt;&lt;year&gt;2007&lt;/year&gt;&lt;/dates&gt;&lt;accession-num&gt;17135186&lt;/accession-num&gt;&lt;urls&gt;&lt;related-urls&gt;&lt;url&gt;http://www.ncbi.nlm.nih.gov/entrez/query.fcgi?cmd=Retrieve&amp;amp;db=PubMed&amp;amp;dopt=Citation&amp;amp;list_uids=17135186 &lt;/url&gt;&lt;/related-urls&gt;&lt;/urls&gt;&lt;/record&gt;&lt;/Cite&gt;&lt;/EndNote&gt;</w:instrText>
      </w:r>
      <w:r>
        <w:rPr>
          <w:rFonts w:ascii="Arial" w:hAnsi="Arial" w:cs="Arial"/>
        </w:rPr>
        <w:fldChar w:fldCharType="separate"/>
      </w:r>
      <w:r>
        <w:rPr>
          <w:rFonts w:ascii="Arial" w:hAnsi="Arial" w:cs="Arial"/>
        </w:rPr>
        <w:t>(</w:t>
      </w:r>
      <w:r>
        <w:rPr>
          <w:rFonts w:ascii="Arial" w:hAnsi="Arial" w:cs="Arial"/>
          <w:u w:val="single"/>
        </w:rPr>
        <w:t>1</w:t>
      </w:r>
      <w:r>
        <w:rPr>
          <w:rFonts w:ascii="Arial" w:hAnsi="Arial" w:cs="Arial"/>
        </w:rPr>
        <w:t>)</w:t>
      </w:r>
      <w:r>
        <w:rPr>
          <w:rFonts w:ascii="Arial" w:hAnsi="Arial" w:cs="Arial"/>
        </w:rPr>
        <w:fldChar w:fldCharType="end"/>
      </w:r>
      <w:r>
        <w:rPr>
          <w:rFonts w:ascii="Arial" w:hAnsi="Arial" w:cs="Arial"/>
          <w:sz w:val="22"/>
        </w:rPr>
        <w:t xml:space="preserve">  PCR amplification of sulfonated DNA requires an extended activation time to allow desulfonation to occur prior to amplification. </w:t>
      </w:r>
    </w:p>
    <w:p w:rsidR="000B6526" w:rsidRDefault="000B6526" w:rsidP="000B6526">
      <w:pPr>
        <w:autoSpaceDE w:val="0"/>
        <w:rPr>
          <w:rFonts w:ascii="Arial" w:hAnsi="Arial" w:cs="Arial"/>
          <w:sz w:val="22"/>
        </w:rPr>
      </w:pPr>
    </w:p>
    <w:p w:rsidR="000B6526" w:rsidRDefault="000B6526" w:rsidP="000B6526">
      <w:pPr>
        <w:autoSpaceDE w:val="0"/>
        <w:rPr>
          <w:rFonts w:ascii="Arial" w:hAnsi="Arial" w:cs="Arial"/>
          <w:sz w:val="22"/>
        </w:rPr>
      </w:pPr>
    </w:p>
    <w:p w:rsidR="000B6526" w:rsidRDefault="000B6526" w:rsidP="000B6526">
      <w:pPr>
        <w:rPr>
          <w:rFonts w:ascii="Arial" w:hAnsi="Arial" w:cs="Arial"/>
          <w:sz w:val="22"/>
        </w:rPr>
      </w:pPr>
      <w:r>
        <w:rPr>
          <w:rFonts w:ascii="Arial" w:hAnsi="Arial" w:cs="Arial"/>
          <w:sz w:val="22"/>
          <w:u w:val="single"/>
        </w:rPr>
        <w:t>PCR Analysis</w:t>
      </w:r>
      <w:r>
        <w:rPr>
          <w:rFonts w:ascii="Arial" w:hAnsi="Arial" w:cs="Arial"/>
          <w:sz w:val="22"/>
        </w:rPr>
        <w:t xml:space="preserve">: The oligonucleotide sequences and assay information are outlined in the Table below.  </w:t>
      </w:r>
    </w:p>
    <w:p w:rsidR="000B6526" w:rsidRDefault="000B6526" w:rsidP="000B6526">
      <w:pPr>
        <w:rPr>
          <w:rFonts w:ascii="Arial" w:hAnsi="Arial" w:cs="Arial"/>
          <w:sz w:val="22"/>
        </w:rPr>
      </w:pP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Supplemental Table 1.  Oligonucleotide sequences, concentrations and cycling conditions for the real time PCR assays used in this study.</w:t>
      </w:r>
    </w:p>
    <w:p w:rsidR="000B6526" w:rsidRDefault="000B6526" w:rsidP="000B6526">
      <w:pPr>
        <w:rPr>
          <w:rFonts w:ascii="Arial" w:hAnsi="Arial" w:cs="Arial"/>
          <w:sz w:val="22"/>
        </w:rPr>
      </w:pPr>
      <w:r>
        <w:rPr>
          <w:rFonts w:ascii="Arial" w:hAnsi="Arial" w:cs="Arial"/>
          <w:sz w:val="22"/>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514"/>
        <w:gridCol w:w="1686"/>
        <w:gridCol w:w="1574"/>
        <w:gridCol w:w="1942"/>
        <w:gridCol w:w="1942"/>
      </w:tblGrid>
      <w:tr w:rsidR="000B6526" w:rsidTr="006D6F5B">
        <w:tblPrEx>
          <w:tblCellMar>
            <w:top w:w="0" w:type="dxa"/>
            <w:bottom w:w="0" w:type="dxa"/>
          </w:tblCellMar>
        </w:tblPrEx>
        <w:tc>
          <w:tcPr>
            <w:tcW w:w="918" w:type="dxa"/>
          </w:tcPr>
          <w:p w:rsidR="000B6526" w:rsidRDefault="000B6526" w:rsidP="006D6F5B">
            <w:pPr>
              <w:rPr>
                <w:rFonts w:ascii="Arial" w:hAnsi="Arial" w:cs="Arial"/>
                <w:b/>
                <w:sz w:val="22"/>
                <w:szCs w:val="22"/>
                <w:lang w:val="en-GB"/>
              </w:rPr>
            </w:pPr>
            <w:r>
              <w:rPr>
                <w:rFonts w:ascii="Arial" w:hAnsi="Arial" w:cs="Arial"/>
                <w:b/>
                <w:sz w:val="22"/>
                <w:szCs w:val="22"/>
                <w:lang w:val="en-GB"/>
              </w:rPr>
              <w:t>PCR</w:t>
            </w:r>
          </w:p>
        </w:tc>
        <w:tc>
          <w:tcPr>
            <w:tcW w:w="1514" w:type="dxa"/>
          </w:tcPr>
          <w:p w:rsidR="000B6526" w:rsidRDefault="000B6526" w:rsidP="006D6F5B">
            <w:pPr>
              <w:rPr>
                <w:rFonts w:ascii="Arial" w:hAnsi="Arial" w:cs="Arial"/>
                <w:b/>
                <w:sz w:val="22"/>
                <w:szCs w:val="22"/>
                <w:lang w:val="en-GB"/>
              </w:rPr>
            </w:pPr>
            <w:r>
              <w:rPr>
                <w:rFonts w:ascii="Arial" w:hAnsi="Arial" w:cs="Arial"/>
                <w:b/>
                <w:sz w:val="22"/>
                <w:szCs w:val="22"/>
                <w:lang w:val="en-GB"/>
              </w:rPr>
              <w:t>Forward Primer</w:t>
            </w:r>
          </w:p>
        </w:tc>
        <w:tc>
          <w:tcPr>
            <w:tcW w:w="1686" w:type="dxa"/>
          </w:tcPr>
          <w:p w:rsidR="000B6526" w:rsidRDefault="000B6526" w:rsidP="006D6F5B">
            <w:pPr>
              <w:rPr>
                <w:rFonts w:ascii="Arial" w:hAnsi="Arial" w:cs="Arial"/>
                <w:b/>
                <w:sz w:val="22"/>
                <w:szCs w:val="22"/>
                <w:lang w:val="en-GB"/>
              </w:rPr>
            </w:pPr>
            <w:r>
              <w:rPr>
                <w:rFonts w:ascii="Arial" w:hAnsi="Arial" w:cs="Arial"/>
                <w:b/>
                <w:sz w:val="22"/>
                <w:szCs w:val="22"/>
                <w:lang w:val="en-GB"/>
              </w:rPr>
              <w:t>Reverse Primer</w:t>
            </w:r>
          </w:p>
        </w:tc>
        <w:tc>
          <w:tcPr>
            <w:tcW w:w="1574" w:type="dxa"/>
          </w:tcPr>
          <w:p w:rsidR="000B6526" w:rsidRDefault="000B6526" w:rsidP="006D6F5B">
            <w:pPr>
              <w:rPr>
                <w:rFonts w:ascii="Arial" w:hAnsi="Arial" w:cs="Arial"/>
                <w:b/>
                <w:sz w:val="22"/>
                <w:szCs w:val="22"/>
                <w:lang w:val="en-GB"/>
              </w:rPr>
            </w:pPr>
            <w:r>
              <w:rPr>
                <w:rFonts w:ascii="Arial" w:hAnsi="Arial" w:cs="Arial"/>
                <w:b/>
                <w:sz w:val="22"/>
                <w:szCs w:val="22"/>
                <w:lang w:val="en-GB"/>
              </w:rPr>
              <w:t>Blocker</w:t>
            </w:r>
          </w:p>
        </w:tc>
        <w:tc>
          <w:tcPr>
            <w:tcW w:w="1942" w:type="dxa"/>
          </w:tcPr>
          <w:p w:rsidR="000B6526" w:rsidRDefault="000B6526" w:rsidP="006D6F5B">
            <w:pPr>
              <w:rPr>
                <w:rFonts w:ascii="Arial" w:hAnsi="Arial" w:cs="Arial"/>
                <w:b/>
                <w:sz w:val="22"/>
                <w:szCs w:val="22"/>
                <w:lang w:val="en-GB"/>
              </w:rPr>
            </w:pPr>
            <w:r>
              <w:rPr>
                <w:rFonts w:ascii="Arial" w:hAnsi="Arial" w:cs="Arial"/>
                <w:b/>
                <w:sz w:val="22"/>
                <w:szCs w:val="22"/>
                <w:lang w:val="en-GB"/>
              </w:rPr>
              <w:t>Probe</w:t>
            </w:r>
          </w:p>
        </w:tc>
        <w:tc>
          <w:tcPr>
            <w:tcW w:w="1942" w:type="dxa"/>
          </w:tcPr>
          <w:p w:rsidR="000B6526" w:rsidRDefault="000B6526" w:rsidP="006D6F5B">
            <w:pPr>
              <w:rPr>
                <w:rFonts w:ascii="Arial" w:hAnsi="Arial" w:cs="Arial"/>
                <w:b/>
                <w:sz w:val="22"/>
                <w:szCs w:val="22"/>
                <w:lang w:val="en-GB"/>
              </w:rPr>
            </w:pPr>
            <w:r>
              <w:rPr>
                <w:rFonts w:ascii="Arial" w:hAnsi="Arial" w:cs="Arial"/>
                <w:b/>
                <w:sz w:val="22"/>
                <w:szCs w:val="22"/>
                <w:lang w:val="en-GB"/>
              </w:rPr>
              <w:t>Cycling Conditions</w:t>
            </w:r>
          </w:p>
        </w:tc>
      </w:tr>
      <w:tr w:rsidR="000B6526" w:rsidTr="006D6F5B">
        <w:tblPrEx>
          <w:tblCellMar>
            <w:top w:w="0" w:type="dxa"/>
            <w:bottom w:w="0" w:type="dxa"/>
          </w:tblCellMar>
        </w:tblPrEx>
        <w:tc>
          <w:tcPr>
            <w:tcW w:w="918" w:type="dxa"/>
            <w:vAlign w:val="center"/>
          </w:tcPr>
          <w:p w:rsidR="000B6526" w:rsidRDefault="000B6526" w:rsidP="006D6F5B">
            <w:pPr>
              <w:pStyle w:val="BodyText2"/>
              <w:jc w:val="center"/>
              <w:rPr>
                <w:caps w:val="0"/>
                <w:sz w:val="18"/>
              </w:rPr>
            </w:pPr>
            <w:r>
              <w:rPr>
                <w:caps w:val="0"/>
                <w:sz w:val="18"/>
              </w:rPr>
              <w:lastRenderedPageBreak/>
              <w:t>SEPT9</w:t>
            </w:r>
          </w:p>
          <w:p w:rsidR="000B6526" w:rsidRDefault="000B6526" w:rsidP="006D6F5B">
            <w:pPr>
              <w:pStyle w:val="BodyText2"/>
              <w:jc w:val="center"/>
              <w:rPr>
                <w:sz w:val="18"/>
              </w:rPr>
            </w:pPr>
          </w:p>
          <w:p w:rsidR="000B6526" w:rsidRDefault="000B6526" w:rsidP="006D6F5B">
            <w:pPr>
              <w:pStyle w:val="BodyText2"/>
              <w:jc w:val="center"/>
              <w:rPr>
                <w:sz w:val="18"/>
              </w:rPr>
            </w:pPr>
          </w:p>
          <w:p w:rsidR="000B6526" w:rsidRDefault="000B6526" w:rsidP="006D6F5B">
            <w:pPr>
              <w:pStyle w:val="BodyText2"/>
              <w:jc w:val="center"/>
              <w:rPr>
                <w:sz w:val="18"/>
              </w:rPr>
            </w:pPr>
          </w:p>
          <w:p w:rsidR="000B6526" w:rsidRDefault="000B6526" w:rsidP="006D6F5B">
            <w:pPr>
              <w:pStyle w:val="BodyText2"/>
              <w:jc w:val="center"/>
              <w:rPr>
                <w:sz w:val="18"/>
              </w:rPr>
            </w:pPr>
            <w:r>
              <w:rPr>
                <w:sz w:val="18"/>
              </w:rPr>
              <w:t>ASSAY conc</w:t>
            </w:r>
          </w:p>
        </w:tc>
        <w:tc>
          <w:tcPr>
            <w:tcW w:w="1514" w:type="dxa"/>
            <w:vAlign w:val="center"/>
          </w:tcPr>
          <w:p w:rsidR="000B6526" w:rsidRDefault="000B6526" w:rsidP="006D6F5B">
            <w:pPr>
              <w:pStyle w:val="BodyText2"/>
              <w:rPr>
                <w:sz w:val="18"/>
              </w:rPr>
            </w:pPr>
            <w:r>
              <w:rPr>
                <w:sz w:val="18"/>
              </w:rPr>
              <w:t>aaataatcccatccaacta</w:t>
            </w:r>
          </w:p>
          <w:p w:rsidR="000B6526" w:rsidRDefault="000B6526" w:rsidP="006D6F5B">
            <w:pPr>
              <w:rPr>
                <w:rFonts w:ascii="Arial" w:hAnsi="Arial" w:cs="Arial"/>
                <w:caps/>
                <w:sz w:val="18"/>
                <w:lang w:val="en-GB"/>
              </w:rPr>
            </w:pPr>
          </w:p>
          <w:p w:rsidR="000B6526" w:rsidRDefault="000B6526" w:rsidP="006D6F5B">
            <w:pPr>
              <w:rPr>
                <w:rFonts w:ascii="Arial" w:hAnsi="Arial" w:cs="Arial"/>
                <w:caps/>
                <w:sz w:val="18"/>
                <w:lang w:val="en-GB"/>
              </w:rPr>
            </w:pPr>
          </w:p>
          <w:p w:rsidR="000B6526" w:rsidRDefault="000B6526" w:rsidP="006D6F5B">
            <w:pPr>
              <w:rPr>
                <w:rFonts w:ascii="Arial" w:hAnsi="Arial" w:cs="Arial"/>
                <w:caps/>
                <w:sz w:val="18"/>
                <w:lang w:val="en-GB"/>
              </w:rPr>
            </w:pPr>
          </w:p>
          <w:p w:rsidR="000B6526" w:rsidRDefault="000B6526" w:rsidP="006D6F5B">
            <w:pPr>
              <w:rPr>
                <w:rFonts w:ascii="Arial" w:hAnsi="Arial" w:cs="Arial"/>
                <w:caps/>
                <w:sz w:val="18"/>
                <w:lang w:val="en-GB"/>
              </w:rPr>
            </w:pPr>
            <w:r>
              <w:rPr>
                <w:rFonts w:ascii="Arial" w:hAnsi="Arial" w:cs="Arial"/>
                <w:caps/>
                <w:sz w:val="18"/>
                <w:lang w:val="en-GB"/>
              </w:rPr>
              <w:t>0.3</w:t>
            </w:r>
            <w:r>
              <w:rPr>
                <w:rFonts w:ascii="Arial" w:hAnsi="Arial" w:cs="Arial"/>
                <w:caps/>
                <w:sz w:val="18"/>
                <w:lang w:val="en-GB"/>
              </w:rPr>
              <w:sym w:font="Symbol" w:char="F06D"/>
            </w:r>
            <w:r>
              <w:rPr>
                <w:rFonts w:ascii="Arial" w:hAnsi="Arial" w:cs="Arial"/>
                <w:caps/>
                <w:sz w:val="18"/>
                <w:lang w:val="en-GB"/>
              </w:rPr>
              <w:t>M</w:t>
            </w:r>
          </w:p>
        </w:tc>
        <w:tc>
          <w:tcPr>
            <w:tcW w:w="1686" w:type="dxa"/>
            <w:vAlign w:val="center"/>
          </w:tcPr>
          <w:p w:rsidR="000B6526" w:rsidRDefault="000B6526" w:rsidP="006D6F5B">
            <w:pPr>
              <w:rPr>
                <w:rFonts w:ascii="Arial" w:hAnsi="Arial" w:cs="Arial"/>
                <w:caps/>
                <w:sz w:val="18"/>
                <w:lang w:val="de-DE"/>
              </w:rPr>
            </w:pPr>
            <w:r>
              <w:rPr>
                <w:rFonts w:ascii="Arial" w:hAnsi="Arial" w:cs="Arial"/>
                <w:caps/>
                <w:sz w:val="18"/>
                <w:lang w:val="de-DE"/>
              </w:rPr>
              <w:t>Gatt-</w:t>
            </w:r>
            <w:r>
              <w:rPr>
                <w:rFonts w:ascii="Arial" w:hAnsi="Arial" w:cs="Arial"/>
                <w:caps/>
                <w:sz w:val="18"/>
                <w:u w:val="single"/>
                <w:lang w:val="de-DE"/>
              </w:rPr>
              <w:t>dS</w:t>
            </w:r>
            <w:r>
              <w:rPr>
                <w:rFonts w:ascii="Arial" w:hAnsi="Arial" w:cs="Arial"/>
                <w:caps/>
                <w:sz w:val="18"/>
                <w:lang w:val="de-DE"/>
              </w:rPr>
              <w:t>-GtTGtttAttAGttATtATGT</w:t>
            </w:r>
          </w:p>
          <w:p w:rsidR="000B6526" w:rsidRDefault="000B6526" w:rsidP="006D6F5B">
            <w:pPr>
              <w:rPr>
                <w:rFonts w:ascii="Arial" w:hAnsi="Arial" w:cs="Arial"/>
                <w:sz w:val="18"/>
                <w:lang w:val="de-DE"/>
              </w:rPr>
            </w:pPr>
          </w:p>
          <w:p w:rsidR="000B6526" w:rsidRDefault="000B6526" w:rsidP="006D6F5B">
            <w:pPr>
              <w:rPr>
                <w:rFonts w:ascii="Arial" w:hAnsi="Arial" w:cs="Arial"/>
                <w:caps/>
                <w:sz w:val="18"/>
                <w:lang w:val="en-GB"/>
              </w:rPr>
            </w:pPr>
          </w:p>
          <w:p w:rsidR="000B6526" w:rsidRDefault="000B6526" w:rsidP="006D6F5B">
            <w:pPr>
              <w:rPr>
                <w:rFonts w:ascii="Arial" w:hAnsi="Arial" w:cs="Arial"/>
                <w:sz w:val="18"/>
                <w:lang w:val="de-DE"/>
              </w:rPr>
            </w:pPr>
            <w:r>
              <w:rPr>
                <w:rFonts w:ascii="Arial" w:hAnsi="Arial" w:cs="Arial"/>
                <w:caps/>
                <w:sz w:val="18"/>
                <w:lang w:val="en-GB"/>
              </w:rPr>
              <w:t>0.3</w:t>
            </w:r>
            <w:r>
              <w:rPr>
                <w:rFonts w:ascii="Arial" w:hAnsi="Arial" w:cs="Arial"/>
                <w:caps/>
                <w:sz w:val="18"/>
                <w:lang w:val="en-GB"/>
              </w:rPr>
              <w:sym w:font="Symbol" w:char="F06D"/>
            </w:r>
            <w:r>
              <w:rPr>
                <w:rFonts w:ascii="Arial" w:hAnsi="Arial" w:cs="Arial"/>
                <w:caps/>
                <w:sz w:val="18"/>
                <w:lang w:val="en-GB"/>
              </w:rPr>
              <w:t>M</w:t>
            </w:r>
          </w:p>
        </w:tc>
        <w:tc>
          <w:tcPr>
            <w:tcW w:w="1574" w:type="dxa"/>
            <w:vAlign w:val="center"/>
          </w:tcPr>
          <w:p w:rsidR="000B6526" w:rsidRDefault="000B6526" w:rsidP="006D6F5B">
            <w:pPr>
              <w:rPr>
                <w:rFonts w:ascii="Arial" w:hAnsi="Arial" w:cs="Arial"/>
                <w:caps/>
                <w:sz w:val="18"/>
                <w:u w:val="single"/>
                <w:lang w:val="de-DE"/>
              </w:rPr>
            </w:pPr>
            <w:r>
              <w:rPr>
                <w:rFonts w:ascii="Arial" w:hAnsi="Arial" w:cs="Arial"/>
                <w:caps/>
                <w:sz w:val="18"/>
                <w:lang w:val="de-DE"/>
              </w:rPr>
              <w:t>gttattatgttggattttgtggttaatgtgtag-</w:t>
            </w:r>
            <w:r>
              <w:rPr>
                <w:rFonts w:ascii="Arial" w:hAnsi="Arial" w:cs="Arial"/>
                <w:caps/>
                <w:sz w:val="18"/>
                <w:u w:val="single"/>
                <w:lang w:val="de-DE"/>
              </w:rPr>
              <w:t>C3</w:t>
            </w:r>
          </w:p>
          <w:p w:rsidR="000B6526" w:rsidRDefault="000B6526" w:rsidP="006D6F5B">
            <w:pPr>
              <w:rPr>
                <w:rFonts w:ascii="Arial" w:hAnsi="Arial" w:cs="Arial"/>
                <w:caps/>
                <w:sz w:val="18"/>
                <w:u w:val="single"/>
                <w:lang w:val="de-DE"/>
              </w:rPr>
            </w:pPr>
          </w:p>
          <w:p w:rsidR="000B6526" w:rsidRDefault="000B6526" w:rsidP="006D6F5B">
            <w:pPr>
              <w:rPr>
                <w:rFonts w:ascii="Arial" w:hAnsi="Arial" w:cs="Arial"/>
                <w:sz w:val="18"/>
                <w:lang w:val="de-DE"/>
              </w:rPr>
            </w:pPr>
            <w:r>
              <w:rPr>
                <w:rFonts w:ascii="Arial" w:hAnsi="Arial" w:cs="Arial"/>
                <w:caps/>
                <w:sz w:val="18"/>
                <w:lang w:val="de-DE"/>
              </w:rPr>
              <w:t xml:space="preserve">1.0 </w:t>
            </w:r>
            <w:r>
              <w:rPr>
                <w:rFonts w:ascii="Arial" w:hAnsi="Arial" w:cs="Arial"/>
                <w:caps/>
                <w:sz w:val="18"/>
                <w:lang w:val="de-DE"/>
              </w:rPr>
              <w:sym w:font="Symbol" w:char="F06D"/>
            </w:r>
            <w:r>
              <w:rPr>
                <w:rFonts w:ascii="Arial" w:hAnsi="Arial" w:cs="Arial"/>
                <w:caps/>
                <w:sz w:val="18"/>
                <w:lang w:val="de-DE"/>
              </w:rPr>
              <w:t>M</w:t>
            </w:r>
          </w:p>
        </w:tc>
        <w:tc>
          <w:tcPr>
            <w:tcW w:w="1942" w:type="dxa"/>
            <w:vAlign w:val="center"/>
          </w:tcPr>
          <w:p w:rsidR="000B6526" w:rsidRDefault="000B6526" w:rsidP="006D6F5B">
            <w:pPr>
              <w:rPr>
                <w:rFonts w:ascii="Arial" w:hAnsi="Arial" w:cs="Arial"/>
                <w:caps/>
                <w:sz w:val="18"/>
                <w:lang w:val="de-DE" w:eastAsia="ar-SA"/>
              </w:rPr>
            </w:pPr>
            <w:r>
              <w:rPr>
                <w:rFonts w:ascii="Arial" w:hAnsi="Arial" w:cs="Arial"/>
                <w:caps/>
                <w:sz w:val="18"/>
                <w:lang w:val="de-DE" w:eastAsia="ar-SA"/>
              </w:rPr>
              <w:t>FAM-ttaaccgcgaaatccgac-BHQ1</w:t>
            </w:r>
          </w:p>
          <w:p w:rsidR="000B6526" w:rsidRDefault="000B6526" w:rsidP="006D6F5B">
            <w:pPr>
              <w:rPr>
                <w:rFonts w:ascii="Arial" w:hAnsi="Arial" w:cs="Arial"/>
                <w:caps/>
                <w:sz w:val="18"/>
                <w:lang w:val="de-DE" w:eastAsia="ar-SA"/>
              </w:rPr>
            </w:pPr>
          </w:p>
          <w:p w:rsidR="000B6526" w:rsidRDefault="000B6526" w:rsidP="006D6F5B">
            <w:pPr>
              <w:rPr>
                <w:rFonts w:ascii="Arial" w:hAnsi="Arial" w:cs="Arial"/>
                <w:caps/>
                <w:sz w:val="18"/>
                <w:lang w:val="de-DE" w:eastAsia="ar-SA"/>
              </w:rPr>
            </w:pPr>
          </w:p>
          <w:p w:rsidR="000B6526" w:rsidRDefault="000B6526" w:rsidP="006D6F5B">
            <w:pPr>
              <w:rPr>
                <w:rFonts w:ascii="Arial" w:hAnsi="Arial" w:cs="Arial"/>
                <w:caps/>
                <w:sz w:val="18"/>
                <w:lang w:val="en-GB" w:eastAsia="ar-SA"/>
              </w:rPr>
            </w:pPr>
            <w:r>
              <w:rPr>
                <w:rFonts w:ascii="Arial" w:hAnsi="Arial" w:cs="Arial"/>
                <w:caps/>
                <w:sz w:val="18"/>
                <w:lang w:val="en-GB" w:eastAsia="ar-SA"/>
              </w:rPr>
              <w:t xml:space="preserve">0.1 </w:t>
            </w:r>
            <w:r>
              <w:rPr>
                <w:rFonts w:ascii="Arial" w:hAnsi="Arial" w:cs="Arial"/>
                <w:caps/>
                <w:sz w:val="18"/>
                <w:lang w:val="de-DE" w:eastAsia="ar-SA"/>
              </w:rPr>
              <w:sym w:font="Symbol" w:char="F06D"/>
            </w:r>
            <w:r>
              <w:rPr>
                <w:rFonts w:ascii="Arial" w:hAnsi="Arial" w:cs="Arial"/>
                <w:caps/>
                <w:sz w:val="18"/>
                <w:lang w:val="en-GB" w:eastAsia="ar-SA"/>
              </w:rPr>
              <w:t>M</w:t>
            </w:r>
          </w:p>
        </w:tc>
        <w:tc>
          <w:tcPr>
            <w:tcW w:w="1942" w:type="dxa"/>
          </w:tcPr>
          <w:p w:rsidR="000B6526" w:rsidRDefault="000B6526" w:rsidP="006D6F5B">
            <w:pPr>
              <w:rPr>
                <w:rFonts w:ascii="Arial" w:hAnsi="Arial" w:cs="Arial"/>
                <w:sz w:val="18"/>
                <w:lang w:val="en-GB" w:eastAsia="ar-SA"/>
              </w:rPr>
            </w:pPr>
            <w:r>
              <w:rPr>
                <w:rFonts w:ascii="Arial" w:hAnsi="Arial" w:cs="Arial"/>
                <w:sz w:val="18"/>
                <w:u w:val="single"/>
                <w:lang w:val="en-GB" w:eastAsia="ar-SA"/>
              </w:rPr>
              <w:t>Activation</w:t>
            </w:r>
            <w:r>
              <w:rPr>
                <w:rFonts w:ascii="Arial" w:hAnsi="Arial" w:cs="Arial"/>
                <w:sz w:val="18"/>
                <w:lang w:val="en-GB" w:eastAsia="ar-SA"/>
              </w:rPr>
              <w:t xml:space="preserve"> - 95</w:t>
            </w:r>
            <w:r>
              <w:rPr>
                <w:rFonts w:ascii="Arial" w:hAnsi="Arial" w:cs="Arial"/>
                <w:sz w:val="18"/>
                <w:lang w:val="de-DE" w:eastAsia="ar-SA"/>
              </w:rPr>
              <w:sym w:font="Symbol" w:char="F0B0"/>
            </w:r>
            <w:r>
              <w:rPr>
                <w:rFonts w:ascii="Arial" w:hAnsi="Arial" w:cs="Arial"/>
                <w:sz w:val="18"/>
                <w:lang w:val="en-GB" w:eastAsia="ar-SA"/>
              </w:rPr>
              <w:t>C 30 min.</w:t>
            </w:r>
          </w:p>
          <w:p w:rsidR="000B6526" w:rsidRDefault="000B6526" w:rsidP="006D6F5B">
            <w:pPr>
              <w:rPr>
                <w:rFonts w:ascii="Arial" w:hAnsi="Arial" w:cs="Arial"/>
                <w:sz w:val="18"/>
                <w:lang w:val="en-GB" w:eastAsia="ar-SA"/>
              </w:rPr>
            </w:pPr>
            <w:r>
              <w:rPr>
                <w:rFonts w:ascii="Arial" w:hAnsi="Arial" w:cs="Arial"/>
                <w:sz w:val="18"/>
                <w:u w:val="single"/>
                <w:lang w:val="en-GB" w:eastAsia="ar-SA"/>
              </w:rPr>
              <w:t>55 Cycles</w:t>
            </w:r>
            <w:r>
              <w:rPr>
                <w:rFonts w:ascii="Arial" w:hAnsi="Arial" w:cs="Arial"/>
                <w:sz w:val="18"/>
                <w:lang w:val="en-GB" w:eastAsia="ar-SA"/>
              </w:rPr>
              <w:t>: 95</w:t>
            </w:r>
            <w:r>
              <w:rPr>
                <w:rFonts w:ascii="Arial" w:hAnsi="Arial" w:cs="Arial"/>
                <w:sz w:val="18"/>
                <w:lang w:val="en-GB" w:eastAsia="ar-SA"/>
              </w:rPr>
              <w:sym w:font="Symbol" w:char="F0B0"/>
            </w:r>
            <w:r>
              <w:rPr>
                <w:rFonts w:ascii="Arial" w:hAnsi="Arial" w:cs="Arial"/>
                <w:sz w:val="18"/>
                <w:lang w:val="en-GB" w:eastAsia="ar-SA"/>
              </w:rPr>
              <w:t>C 10 sec (4.4</w:t>
            </w:r>
            <w:r>
              <w:rPr>
                <w:rFonts w:ascii="Arial" w:hAnsi="Arial" w:cs="Arial"/>
                <w:sz w:val="18"/>
                <w:lang w:val="en-GB" w:eastAsia="ar-SA"/>
              </w:rPr>
              <w:sym w:font="Symbol" w:char="F0B0"/>
            </w:r>
            <w:r>
              <w:rPr>
                <w:rFonts w:ascii="Arial" w:hAnsi="Arial" w:cs="Arial"/>
                <w:sz w:val="18"/>
                <w:lang w:val="en-GB" w:eastAsia="ar-SA"/>
              </w:rPr>
              <w:t>C/sec), 56</w:t>
            </w:r>
            <w:r>
              <w:rPr>
                <w:rFonts w:ascii="Arial" w:hAnsi="Arial" w:cs="Arial"/>
                <w:sz w:val="18"/>
                <w:lang w:val="en-GB" w:eastAsia="ar-SA"/>
              </w:rPr>
              <w:sym w:font="Symbol" w:char="F0B0"/>
            </w:r>
            <w:r>
              <w:rPr>
                <w:rFonts w:ascii="Arial" w:hAnsi="Arial" w:cs="Arial"/>
                <w:sz w:val="18"/>
                <w:lang w:val="en-GB" w:eastAsia="ar-SA"/>
              </w:rPr>
              <w:t>C 30 sec (2.2</w:t>
            </w:r>
            <w:r>
              <w:rPr>
                <w:rFonts w:ascii="Arial" w:hAnsi="Arial" w:cs="Arial"/>
                <w:sz w:val="18"/>
                <w:lang w:val="en-GB" w:eastAsia="ar-SA"/>
              </w:rPr>
              <w:sym w:font="Symbol" w:char="F0B0"/>
            </w:r>
            <w:r>
              <w:rPr>
                <w:rFonts w:ascii="Arial" w:hAnsi="Arial" w:cs="Arial"/>
                <w:sz w:val="18"/>
                <w:lang w:val="en-GB" w:eastAsia="ar-SA"/>
              </w:rPr>
              <w:t>C/sec)</w:t>
            </w:r>
          </w:p>
          <w:p w:rsidR="000B6526" w:rsidRDefault="000B6526" w:rsidP="006D6F5B">
            <w:pPr>
              <w:rPr>
                <w:rFonts w:ascii="Arial" w:hAnsi="Arial" w:cs="Arial"/>
                <w:sz w:val="18"/>
                <w:lang w:val="en-GB" w:eastAsia="ar-SA"/>
              </w:rPr>
            </w:pPr>
            <w:r>
              <w:rPr>
                <w:rFonts w:ascii="Arial" w:hAnsi="Arial" w:cs="Arial"/>
                <w:sz w:val="18"/>
                <w:u w:val="single"/>
                <w:lang w:val="en-GB" w:eastAsia="ar-SA"/>
              </w:rPr>
              <w:t>cooling</w:t>
            </w:r>
            <w:r>
              <w:rPr>
                <w:rFonts w:ascii="Arial" w:hAnsi="Arial" w:cs="Arial"/>
                <w:sz w:val="18"/>
                <w:lang w:val="en-GB" w:eastAsia="ar-SA"/>
              </w:rPr>
              <w:t xml:space="preserve"> - 40</w:t>
            </w:r>
            <w:r>
              <w:rPr>
                <w:rFonts w:ascii="Arial" w:hAnsi="Arial" w:cs="Arial"/>
                <w:sz w:val="18"/>
                <w:lang w:val="en-GB" w:eastAsia="ar-SA"/>
              </w:rPr>
              <w:sym w:font="Symbol" w:char="F0B0"/>
            </w:r>
            <w:r>
              <w:rPr>
                <w:rFonts w:ascii="Arial" w:hAnsi="Arial" w:cs="Arial"/>
                <w:sz w:val="18"/>
                <w:lang w:val="en-GB" w:eastAsia="ar-SA"/>
              </w:rPr>
              <w:t>C 5sec (2.2</w:t>
            </w:r>
            <w:r>
              <w:rPr>
                <w:rFonts w:ascii="Arial" w:hAnsi="Arial" w:cs="Arial"/>
                <w:sz w:val="18"/>
                <w:lang w:val="en-GB" w:eastAsia="ar-SA"/>
              </w:rPr>
              <w:sym w:font="Symbol" w:char="F0B0"/>
            </w:r>
            <w:r>
              <w:rPr>
                <w:rFonts w:ascii="Arial" w:hAnsi="Arial" w:cs="Arial"/>
                <w:sz w:val="18"/>
                <w:lang w:val="en-GB" w:eastAsia="ar-SA"/>
              </w:rPr>
              <w:t>C/sec).</w:t>
            </w:r>
          </w:p>
        </w:tc>
      </w:tr>
      <w:tr w:rsidR="000B6526" w:rsidTr="006D6F5B">
        <w:tblPrEx>
          <w:tblCellMar>
            <w:top w:w="0" w:type="dxa"/>
            <w:bottom w:w="0" w:type="dxa"/>
          </w:tblCellMar>
        </w:tblPrEx>
        <w:tc>
          <w:tcPr>
            <w:tcW w:w="918" w:type="dxa"/>
            <w:vAlign w:val="center"/>
          </w:tcPr>
          <w:p w:rsidR="000B6526" w:rsidRDefault="000B6526" w:rsidP="006D6F5B">
            <w:pPr>
              <w:jc w:val="center"/>
              <w:rPr>
                <w:rFonts w:ascii="Arial" w:hAnsi="Arial" w:cs="Arial"/>
                <w:sz w:val="18"/>
                <w:lang w:val="en-GB"/>
              </w:rPr>
            </w:pPr>
            <w:r>
              <w:rPr>
                <w:rFonts w:ascii="Arial" w:hAnsi="Arial" w:cs="Arial"/>
                <w:sz w:val="18"/>
                <w:lang w:val="en-GB"/>
              </w:rPr>
              <w:t>CFF1</w:t>
            </w:r>
          </w:p>
          <w:p w:rsidR="000B6526" w:rsidRDefault="000B6526" w:rsidP="006D6F5B">
            <w:pPr>
              <w:jc w:val="center"/>
              <w:rPr>
                <w:rFonts w:ascii="Arial" w:hAnsi="Arial" w:cs="Arial"/>
                <w:sz w:val="18"/>
                <w:lang w:val="en-GB"/>
              </w:rPr>
            </w:pPr>
            <w:r>
              <w:rPr>
                <w:rFonts w:ascii="Arial" w:hAnsi="Arial" w:cs="Arial"/>
                <w:sz w:val="18"/>
                <w:lang w:val="en-GB"/>
              </w:rPr>
              <w:t>(genomic assay)</w:t>
            </w:r>
          </w:p>
          <w:p w:rsidR="000B6526" w:rsidRDefault="000B6526" w:rsidP="006D6F5B">
            <w:pPr>
              <w:jc w:val="center"/>
              <w:rPr>
                <w:rFonts w:ascii="Arial" w:hAnsi="Arial" w:cs="Arial"/>
                <w:sz w:val="18"/>
                <w:lang w:val="en-GB"/>
              </w:rPr>
            </w:pPr>
          </w:p>
          <w:p w:rsidR="000B6526" w:rsidRDefault="000B6526" w:rsidP="006D6F5B">
            <w:pPr>
              <w:jc w:val="center"/>
              <w:rPr>
                <w:rFonts w:ascii="Arial" w:hAnsi="Arial" w:cs="Arial"/>
                <w:sz w:val="18"/>
                <w:lang w:val="en-GB"/>
              </w:rPr>
            </w:pPr>
          </w:p>
          <w:p w:rsidR="000B6526" w:rsidRDefault="000B6526" w:rsidP="006D6F5B">
            <w:pPr>
              <w:jc w:val="center"/>
              <w:rPr>
                <w:rFonts w:ascii="Arial" w:hAnsi="Arial" w:cs="Arial"/>
                <w:sz w:val="18"/>
                <w:lang w:val="en-GB"/>
              </w:rPr>
            </w:pPr>
            <w:r>
              <w:rPr>
                <w:rFonts w:ascii="Arial" w:hAnsi="Arial" w:cs="Arial"/>
                <w:sz w:val="18"/>
                <w:lang w:val="en-GB"/>
              </w:rPr>
              <w:t>ASSAY CONC</w:t>
            </w:r>
          </w:p>
          <w:p w:rsidR="000B6526" w:rsidRDefault="000B6526" w:rsidP="006D6F5B">
            <w:pPr>
              <w:rPr>
                <w:rFonts w:ascii="Arial" w:hAnsi="Arial" w:cs="Arial"/>
                <w:sz w:val="18"/>
                <w:lang w:val="en-GB"/>
              </w:rPr>
            </w:pPr>
          </w:p>
        </w:tc>
        <w:tc>
          <w:tcPr>
            <w:tcW w:w="1514" w:type="dxa"/>
            <w:vAlign w:val="center"/>
          </w:tcPr>
          <w:p w:rsidR="000B6526" w:rsidRDefault="000B6526" w:rsidP="006D6F5B">
            <w:pPr>
              <w:rPr>
                <w:rFonts w:ascii="Arial" w:hAnsi="Arial" w:cs="Arial"/>
                <w:sz w:val="18"/>
                <w:lang w:val="en-GB"/>
              </w:rPr>
            </w:pPr>
            <w:r>
              <w:rPr>
                <w:rFonts w:ascii="Arial" w:hAnsi="Arial" w:cs="Arial"/>
                <w:sz w:val="18"/>
                <w:lang w:val="en-GB"/>
              </w:rPr>
              <w:t>TAAGAGTAATAATGGATGGATGATG</w:t>
            </w: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r>
              <w:rPr>
                <w:rFonts w:ascii="Arial" w:hAnsi="Arial" w:cs="Arial"/>
                <w:sz w:val="18"/>
                <w:lang w:val="en-GB"/>
              </w:rPr>
              <w:t xml:space="preserve">0.63 </w:t>
            </w:r>
            <w:r>
              <w:rPr>
                <w:rFonts w:ascii="Arial" w:hAnsi="Arial" w:cs="Arial"/>
                <w:sz w:val="18"/>
                <w:lang w:val="en-GB"/>
              </w:rPr>
              <w:sym w:font="Symbol" w:char="F06D"/>
            </w:r>
            <w:r>
              <w:rPr>
                <w:rFonts w:ascii="Arial" w:hAnsi="Arial" w:cs="Arial"/>
                <w:sz w:val="18"/>
                <w:lang w:val="en-GB"/>
              </w:rPr>
              <w:t>M</w:t>
            </w:r>
          </w:p>
        </w:tc>
        <w:tc>
          <w:tcPr>
            <w:tcW w:w="1686" w:type="dxa"/>
            <w:vAlign w:val="center"/>
          </w:tcPr>
          <w:p w:rsidR="000B6526" w:rsidRDefault="000B6526" w:rsidP="006D6F5B">
            <w:pPr>
              <w:rPr>
                <w:rFonts w:ascii="Arial" w:hAnsi="Arial" w:cs="Arial"/>
                <w:sz w:val="18"/>
                <w:lang w:val="en-GB"/>
              </w:rPr>
            </w:pPr>
            <w:r>
              <w:rPr>
                <w:rFonts w:ascii="Arial" w:hAnsi="Arial" w:cs="Arial"/>
                <w:sz w:val="18"/>
                <w:lang w:val="en-GB"/>
              </w:rPr>
              <w:t>CCTCCCATCTCCCTTCC</w:t>
            </w: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r>
              <w:rPr>
                <w:rFonts w:ascii="Arial" w:hAnsi="Arial" w:cs="Arial"/>
                <w:sz w:val="18"/>
                <w:lang w:val="en-GB"/>
              </w:rPr>
              <w:t xml:space="preserve">0.63 </w:t>
            </w:r>
            <w:r>
              <w:rPr>
                <w:rFonts w:ascii="Arial" w:hAnsi="Arial" w:cs="Arial"/>
                <w:sz w:val="18"/>
                <w:lang w:val="en-GB"/>
              </w:rPr>
              <w:sym w:font="Symbol" w:char="F06D"/>
            </w:r>
            <w:r>
              <w:rPr>
                <w:rFonts w:ascii="Arial" w:hAnsi="Arial" w:cs="Arial"/>
                <w:sz w:val="18"/>
                <w:lang w:val="en-GB"/>
              </w:rPr>
              <w:t>M</w:t>
            </w:r>
          </w:p>
        </w:tc>
        <w:tc>
          <w:tcPr>
            <w:tcW w:w="1574" w:type="dxa"/>
            <w:vAlign w:val="center"/>
          </w:tcPr>
          <w:p w:rsidR="000B6526" w:rsidRDefault="000B6526" w:rsidP="006D6F5B">
            <w:pPr>
              <w:rPr>
                <w:rFonts w:ascii="Arial" w:hAnsi="Arial" w:cs="Arial"/>
                <w:sz w:val="18"/>
                <w:lang w:val="en-GB"/>
              </w:rPr>
            </w:pPr>
            <w:r>
              <w:rPr>
                <w:rFonts w:ascii="Arial" w:hAnsi="Arial" w:cs="Arial"/>
                <w:sz w:val="18"/>
                <w:lang w:val="en-GB"/>
              </w:rPr>
              <w:t>N/A</w:t>
            </w:r>
          </w:p>
        </w:tc>
        <w:tc>
          <w:tcPr>
            <w:tcW w:w="1942" w:type="dxa"/>
            <w:vAlign w:val="center"/>
          </w:tcPr>
          <w:p w:rsidR="000B6526" w:rsidRDefault="000B6526" w:rsidP="006D6F5B">
            <w:pPr>
              <w:rPr>
                <w:rFonts w:ascii="Arial" w:hAnsi="Arial" w:cs="Arial"/>
                <w:sz w:val="18"/>
                <w:lang w:val="en-GB"/>
              </w:rPr>
            </w:pPr>
            <w:r>
              <w:rPr>
                <w:rFonts w:ascii="Arial" w:hAnsi="Arial" w:cs="Arial"/>
                <w:sz w:val="18"/>
                <w:lang w:val="en-GB"/>
              </w:rPr>
              <w:t>6FAM-ATGGATGAAGAAAGAAAGGATGAGT-BHQ-1</w:t>
            </w: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r>
              <w:rPr>
                <w:rFonts w:ascii="Arial" w:hAnsi="Arial" w:cs="Arial"/>
                <w:sz w:val="18"/>
                <w:lang w:val="en-GB"/>
              </w:rPr>
              <w:t xml:space="preserve">0.2 </w:t>
            </w:r>
            <w:r>
              <w:rPr>
                <w:rFonts w:ascii="Arial" w:hAnsi="Arial" w:cs="Arial"/>
                <w:sz w:val="18"/>
                <w:lang w:val="en-GB"/>
              </w:rPr>
              <w:sym w:font="Symbol" w:char="F06D"/>
            </w:r>
            <w:r>
              <w:rPr>
                <w:rFonts w:ascii="Arial" w:hAnsi="Arial" w:cs="Arial"/>
                <w:sz w:val="18"/>
                <w:lang w:val="en-GB"/>
              </w:rPr>
              <w:t>M</w:t>
            </w:r>
          </w:p>
        </w:tc>
        <w:tc>
          <w:tcPr>
            <w:tcW w:w="1942" w:type="dxa"/>
          </w:tcPr>
          <w:p w:rsidR="000B6526" w:rsidRDefault="000B6526" w:rsidP="006D6F5B">
            <w:pPr>
              <w:rPr>
                <w:rFonts w:ascii="Arial" w:hAnsi="Arial" w:cs="Arial"/>
                <w:sz w:val="18"/>
                <w:lang w:val="en-GB" w:eastAsia="ar-SA"/>
              </w:rPr>
            </w:pPr>
            <w:r>
              <w:rPr>
                <w:rFonts w:ascii="Arial" w:hAnsi="Arial" w:cs="Arial"/>
                <w:sz w:val="18"/>
                <w:u w:val="single"/>
                <w:lang w:val="en-GB" w:eastAsia="ar-SA"/>
              </w:rPr>
              <w:t>Activation</w:t>
            </w:r>
            <w:r>
              <w:rPr>
                <w:rFonts w:ascii="Arial" w:hAnsi="Arial" w:cs="Arial"/>
                <w:sz w:val="18"/>
                <w:lang w:val="en-GB" w:eastAsia="ar-SA"/>
              </w:rPr>
              <w:t xml:space="preserve"> - 95</w:t>
            </w:r>
            <w:r>
              <w:rPr>
                <w:rFonts w:ascii="Arial" w:hAnsi="Arial" w:cs="Arial"/>
                <w:sz w:val="18"/>
                <w:lang w:val="de-DE" w:eastAsia="ar-SA"/>
              </w:rPr>
              <w:sym w:font="Symbol" w:char="F0B0"/>
            </w:r>
            <w:r>
              <w:rPr>
                <w:rFonts w:ascii="Arial" w:hAnsi="Arial" w:cs="Arial"/>
                <w:sz w:val="18"/>
                <w:lang w:val="en-GB" w:eastAsia="ar-SA"/>
              </w:rPr>
              <w:t>C 15 min.</w:t>
            </w:r>
          </w:p>
          <w:p w:rsidR="000B6526" w:rsidRDefault="000B6526" w:rsidP="006D6F5B">
            <w:pPr>
              <w:rPr>
                <w:rFonts w:ascii="Arial" w:hAnsi="Arial" w:cs="Arial"/>
                <w:sz w:val="18"/>
                <w:lang w:val="en-GB" w:eastAsia="ar-SA"/>
              </w:rPr>
            </w:pPr>
            <w:r>
              <w:rPr>
                <w:rFonts w:ascii="Arial" w:hAnsi="Arial" w:cs="Arial"/>
                <w:sz w:val="18"/>
                <w:u w:val="single"/>
                <w:lang w:val="en-GB" w:eastAsia="ar-SA"/>
              </w:rPr>
              <w:t>50 Cycles</w:t>
            </w:r>
            <w:r>
              <w:rPr>
                <w:rFonts w:ascii="Arial" w:hAnsi="Arial" w:cs="Arial"/>
                <w:sz w:val="18"/>
                <w:lang w:val="en-GB" w:eastAsia="ar-SA"/>
              </w:rPr>
              <w:t>: 95</w:t>
            </w:r>
            <w:r>
              <w:rPr>
                <w:rFonts w:ascii="Arial" w:hAnsi="Arial" w:cs="Arial"/>
                <w:sz w:val="18"/>
                <w:lang w:val="en-GB" w:eastAsia="ar-SA"/>
              </w:rPr>
              <w:sym w:font="Symbol" w:char="F0B0"/>
            </w:r>
            <w:r>
              <w:rPr>
                <w:rFonts w:ascii="Arial" w:hAnsi="Arial" w:cs="Arial"/>
                <w:sz w:val="18"/>
                <w:lang w:val="en-GB" w:eastAsia="ar-SA"/>
              </w:rPr>
              <w:t>C 10 sec (4.4</w:t>
            </w:r>
            <w:r>
              <w:rPr>
                <w:rFonts w:ascii="Arial" w:hAnsi="Arial" w:cs="Arial"/>
                <w:sz w:val="18"/>
                <w:lang w:val="en-GB" w:eastAsia="ar-SA"/>
              </w:rPr>
              <w:sym w:font="Symbol" w:char="F0B0"/>
            </w:r>
            <w:r>
              <w:rPr>
                <w:rFonts w:ascii="Arial" w:hAnsi="Arial" w:cs="Arial"/>
                <w:sz w:val="18"/>
                <w:lang w:val="en-GB" w:eastAsia="ar-SA"/>
              </w:rPr>
              <w:t>C/sec), 58</w:t>
            </w:r>
            <w:r>
              <w:rPr>
                <w:rFonts w:ascii="Arial" w:hAnsi="Arial" w:cs="Arial"/>
                <w:sz w:val="18"/>
                <w:lang w:val="en-GB" w:eastAsia="ar-SA"/>
              </w:rPr>
              <w:sym w:font="Symbol" w:char="F0B0"/>
            </w:r>
            <w:r>
              <w:rPr>
                <w:rFonts w:ascii="Arial" w:hAnsi="Arial" w:cs="Arial"/>
                <w:sz w:val="18"/>
                <w:lang w:val="en-GB" w:eastAsia="ar-SA"/>
              </w:rPr>
              <w:t>C 60 sec (2.2</w:t>
            </w:r>
            <w:r>
              <w:rPr>
                <w:rFonts w:ascii="Arial" w:hAnsi="Arial" w:cs="Arial"/>
                <w:sz w:val="18"/>
                <w:lang w:val="en-GB" w:eastAsia="ar-SA"/>
              </w:rPr>
              <w:sym w:font="Symbol" w:char="F0B0"/>
            </w:r>
            <w:r>
              <w:rPr>
                <w:rFonts w:ascii="Arial" w:hAnsi="Arial" w:cs="Arial"/>
                <w:sz w:val="18"/>
                <w:lang w:val="en-GB" w:eastAsia="ar-SA"/>
              </w:rPr>
              <w:t>C/sec)</w:t>
            </w:r>
          </w:p>
          <w:p w:rsidR="000B6526" w:rsidRDefault="000B6526" w:rsidP="006D6F5B">
            <w:pPr>
              <w:rPr>
                <w:rFonts w:ascii="Arial" w:hAnsi="Arial" w:cs="Arial"/>
                <w:sz w:val="18"/>
                <w:lang w:val="en-GB"/>
              </w:rPr>
            </w:pPr>
            <w:r>
              <w:rPr>
                <w:rFonts w:ascii="Arial" w:hAnsi="Arial" w:cs="Arial"/>
                <w:sz w:val="18"/>
                <w:u w:val="single"/>
                <w:lang w:val="en-GB" w:eastAsia="ar-SA"/>
              </w:rPr>
              <w:t>cooling</w:t>
            </w:r>
            <w:r>
              <w:rPr>
                <w:rFonts w:ascii="Arial" w:hAnsi="Arial" w:cs="Arial"/>
                <w:sz w:val="18"/>
                <w:lang w:val="en-GB" w:eastAsia="ar-SA"/>
              </w:rPr>
              <w:t xml:space="preserve"> - 40</w:t>
            </w:r>
            <w:r>
              <w:rPr>
                <w:rFonts w:ascii="Arial" w:hAnsi="Arial" w:cs="Arial"/>
                <w:sz w:val="18"/>
                <w:lang w:val="en-GB" w:eastAsia="ar-SA"/>
              </w:rPr>
              <w:sym w:font="Symbol" w:char="F0B0"/>
            </w:r>
            <w:r>
              <w:rPr>
                <w:rFonts w:ascii="Arial" w:hAnsi="Arial" w:cs="Arial"/>
                <w:sz w:val="18"/>
                <w:lang w:val="en-GB" w:eastAsia="ar-SA"/>
              </w:rPr>
              <w:t>C 5sec (2.2</w:t>
            </w:r>
            <w:r>
              <w:rPr>
                <w:rFonts w:ascii="Arial" w:hAnsi="Arial" w:cs="Arial"/>
                <w:sz w:val="18"/>
                <w:lang w:val="en-GB" w:eastAsia="ar-SA"/>
              </w:rPr>
              <w:sym w:font="Symbol" w:char="F0B0"/>
            </w:r>
            <w:r>
              <w:rPr>
                <w:rFonts w:ascii="Arial" w:hAnsi="Arial" w:cs="Arial"/>
                <w:sz w:val="18"/>
                <w:lang w:val="en-GB" w:eastAsia="ar-SA"/>
              </w:rPr>
              <w:t>C/sec).</w:t>
            </w:r>
          </w:p>
        </w:tc>
      </w:tr>
      <w:tr w:rsidR="000B6526" w:rsidTr="006D6F5B">
        <w:tblPrEx>
          <w:tblCellMar>
            <w:top w:w="0" w:type="dxa"/>
            <w:bottom w:w="0" w:type="dxa"/>
          </w:tblCellMar>
        </w:tblPrEx>
        <w:tc>
          <w:tcPr>
            <w:tcW w:w="918" w:type="dxa"/>
            <w:vAlign w:val="center"/>
          </w:tcPr>
          <w:p w:rsidR="000B6526" w:rsidRDefault="000B6526" w:rsidP="006D6F5B">
            <w:pPr>
              <w:jc w:val="center"/>
              <w:rPr>
                <w:rFonts w:ascii="Arial" w:hAnsi="Arial" w:cs="Arial"/>
                <w:sz w:val="18"/>
                <w:lang w:val="en-GB"/>
              </w:rPr>
            </w:pPr>
            <w:r>
              <w:rPr>
                <w:rFonts w:ascii="Arial" w:hAnsi="Arial" w:cs="Arial"/>
              </w:rPr>
              <w:sym w:font="Symbol" w:char="F062"/>
            </w:r>
            <w:r>
              <w:rPr>
                <w:rFonts w:ascii="Arial" w:hAnsi="Arial" w:cs="Arial"/>
              </w:rPr>
              <w:t>-actin</w:t>
            </w:r>
          </w:p>
          <w:p w:rsidR="000B6526" w:rsidRDefault="000B6526" w:rsidP="006D6F5B">
            <w:pPr>
              <w:jc w:val="center"/>
              <w:rPr>
                <w:rFonts w:ascii="Arial" w:hAnsi="Arial" w:cs="Arial"/>
                <w:sz w:val="18"/>
                <w:lang w:val="en-GB"/>
              </w:rPr>
            </w:pPr>
            <w:r>
              <w:rPr>
                <w:rFonts w:ascii="Arial" w:hAnsi="Arial" w:cs="Arial"/>
                <w:sz w:val="18"/>
                <w:lang w:val="en-GB"/>
              </w:rPr>
              <w:t>(bisulfite assay)</w:t>
            </w:r>
          </w:p>
          <w:p w:rsidR="000B6526" w:rsidRDefault="000B6526" w:rsidP="006D6F5B">
            <w:pPr>
              <w:jc w:val="center"/>
              <w:rPr>
                <w:rFonts w:ascii="Arial" w:hAnsi="Arial" w:cs="Arial"/>
                <w:sz w:val="18"/>
                <w:lang w:val="en-GB"/>
              </w:rPr>
            </w:pPr>
          </w:p>
          <w:p w:rsidR="000B6526" w:rsidRDefault="000B6526" w:rsidP="006D6F5B">
            <w:pPr>
              <w:jc w:val="center"/>
              <w:rPr>
                <w:rFonts w:ascii="Arial" w:hAnsi="Arial" w:cs="Arial"/>
                <w:sz w:val="18"/>
                <w:lang w:val="en-GB"/>
              </w:rPr>
            </w:pPr>
          </w:p>
          <w:p w:rsidR="000B6526" w:rsidRDefault="000B6526" w:rsidP="006D6F5B">
            <w:pPr>
              <w:jc w:val="center"/>
              <w:rPr>
                <w:rFonts w:ascii="Arial" w:hAnsi="Arial" w:cs="Arial"/>
                <w:sz w:val="18"/>
                <w:lang w:val="en-GB"/>
              </w:rPr>
            </w:pPr>
            <w:r>
              <w:rPr>
                <w:rFonts w:ascii="Arial" w:hAnsi="Arial" w:cs="Arial"/>
                <w:sz w:val="18"/>
                <w:lang w:val="en-GB"/>
              </w:rPr>
              <w:t>ASSAY CONC</w:t>
            </w:r>
          </w:p>
        </w:tc>
        <w:tc>
          <w:tcPr>
            <w:tcW w:w="1514" w:type="dxa"/>
            <w:vAlign w:val="center"/>
          </w:tcPr>
          <w:p w:rsidR="000B6526" w:rsidRDefault="000B6526" w:rsidP="006D6F5B">
            <w:pPr>
              <w:rPr>
                <w:rFonts w:ascii="Arial" w:hAnsi="Arial" w:cs="Arial"/>
                <w:caps/>
                <w:sz w:val="18"/>
                <w:lang w:val="en-GB"/>
              </w:rPr>
            </w:pPr>
            <w:r>
              <w:rPr>
                <w:rFonts w:ascii="Arial" w:hAnsi="Arial" w:cs="Arial"/>
                <w:caps/>
                <w:sz w:val="18"/>
                <w:lang w:val="en-GB"/>
              </w:rPr>
              <w:t>gtgatggaggaggtttagtaagtt</w:t>
            </w:r>
          </w:p>
          <w:p w:rsidR="000B6526" w:rsidRDefault="000B6526" w:rsidP="006D6F5B">
            <w:pPr>
              <w:rPr>
                <w:rFonts w:ascii="Arial" w:hAnsi="Arial" w:cs="Arial"/>
                <w:caps/>
                <w:sz w:val="18"/>
                <w:lang w:val="en-GB"/>
              </w:rPr>
            </w:pPr>
          </w:p>
          <w:p w:rsidR="000B6526" w:rsidRDefault="000B6526" w:rsidP="006D6F5B">
            <w:pPr>
              <w:rPr>
                <w:rFonts w:ascii="Arial" w:hAnsi="Arial" w:cs="Arial"/>
                <w:caps/>
                <w:sz w:val="18"/>
                <w:lang w:val="en-GB"/>
              </w:rPr>
            </w:pPr>
          </w:p>
          <w:p w:rsidR="000B6526" w:rsidRDefault="000B6526" w:rsidP="006D6F5B">
            <w:pPr>
              <w:rPr>
                <w:rFonts w:ascii="Arial" w:hAnsi="Arial" w:cs="Arial"/>
                <w:sz w:val="18"/>
                <w:lang w:val="en-GB"/>
              </w:rPr>
            </w:pPr>
            <w:r>
              <w:rPr>
                <w:rFonts w:ascii="Arial" w:hAnsi="Arial" w:cs="Arial"/>
                <w:caps/>
                <w:sz w:val="18"/>
                <w:lang w:val="en-GB"/>
              </w:rPr>
              <w:t xml:space="preserve">0.9 </w:t>
            </w:r>
            <w:r>
              <w:rPr>
                <w:rFonts w:ascii="Arial" w:hAnsi="Arial" w:cs="Arial"/>
                <w:caps/>
                <w:sz w:val="18"/>
                <w:lang w:val="en-GB"/>
              </w:rPr>
              <w:sym w:font="Symbol" w:char="F06D"/>
            </w:r>
            <w:r>
              <w:rPr>
                <w:rFonts w:ascii="Arial" w:hAnsi="Arial" w:cs="Arial"/>
                <w:caps/>
                <w:sz w:val="18"/>
                <w:lang w:val="en-GB"/>
              </w:rPr>
              <w:t>M</w:t>
            </w:r>
          </w:p>
        </w:tc>
        <w:tc>
          <w:tcPr>
            <w:tcW w:w="1686" w:type="dxa"/>
            <w:vAlign w:val="center"/>
          </w:tcPr>
          <w:p w:rsidR="000B6526" w:rsidRDefault="000B6526" w:rsidP="006D6F5B">
            <w:pPr>
              <w:rPr>
                <w:rFonts w:ascii="Arial" w:hAnsi="Arial" w:cs="Arial"/>
                <w:caps/>
                <w:sz w:val="18"/>
                <w:lang w:val="en-GB" w:eastAsia="ar-SA"/>
              </w:rPr>
            </w:pPr>
            <w:r>
              <w:rPr>
                <w:rFonts w:ascii="Arial" w:hAnsi="Arial" w:cs="Arial"/>
                <w:caps/>
                <w:sz w:val="18"/>
                <w:lang w:val="en-GB" w:eastAsia="ar-SA"/>
              </w:rPr>
              <w:t>ccaataaaacctactcctcccttaa</w:t>
            </w:r>
          </w:p>
          <w:p w:rsidR="000B6526" w:rsidRDefault="000B6526" w:rsidP="006D6F5B">
            <w:pPr>
              <w:rPr>
                <w:rFonts w:ascii="Arial" w:hAnsi="Arial" w:cs="Arial"/>
                <w:caps/>
                <w:sz w:val="18"/>
                <w:lang w:val="en-GB" w:eastAsia="ar-SA"/>
              </w:rPr>
            </w:pPr>
          </w:p>
          <w:p w:rsidR="000B6526" w:rsidRDefault="000B6526" w:rsidP="006D6F5B">
            <w:pPr>
              <w:rPr>
                <w:rFonts w:ascii="Arial" w:hAnsi="Arial" w:cs="Arial"/>
                <w:caps/>
                <w:sz w:val="18"/>
                <w:lang w:val="en-GB" w:eastAsia="ar-SA"/>
              </w:rPr>
            </w:pPr>
          </w:p>
          <w:p w:rsidR="000B6526" w:rsidRDefault="000B6526" w:rsidP="006D6F5B">
            <w:pPr>
              <w:rPr>
                <w:rFonts w:ascii="Arial" w:hAnsi="Arial" w:cs="Arial"/>
                <w:caps/>
                <w:sz w:val="18"/>
                <w:lang w:val="en-GB" w:eastAsia="ar-SA"/>
              </w:rPr>
            </w:pPr>
            <w:r>
              <w:rPr>
                <w:rFonts w:ascii="Arial" w:hAnsi="Arial" w:cs="Arial"/>
                <w:caps/>
                <w:sz w:val="18"/>
                <w:lang w:val="en-GB"/>
              </w:rPr>
              <w:t xml:space="preserve">0.9 </w:t>
            </w:r>
            <w:r>
              <w:rPr>
                <w:rFonts w:ascii="Arial" w:hAnsi="Arial" w:cs="Arial"/>
                <w:caps/>
                <w:sz w:val="18"/>
                <w:lang w:val="en-GB"/>
              </w:rPr>
              <w:sym w:font="Symbol" w:char="F06D"/>
            </w:r>
            <w:r>
              <w:rPr>
                <w:rFonts w:ascii="Arial" w:hAnsi="Arial" w:cs="Arial"/>
                <w:caps/>
                <w:sz w:val="18"/>
                <w:lang w:val="en-GB"/>
              </w:rPr>
              <w:t>M</w:t>
            </w:r>
          </w:p>
        </w:tc>
        <w:tc>
          <w:tcPr>
            <w:tcW w:w="1574" w:type="dxa"/>
            <w:vAlign w:val="center"/>
          </w:tcPr>
          <w:p w:rsidR="000B6526" w:rsidRDefault="000B6526" w:rsidP="006D6F5B">
            <w:pPr>
              <w:rPr>
                <w:rFonts w:ascii="Arial" w:hAnsi="Arial" w:cs="Arial"/>
                <w:sz w:val="18"/>
                <w:lang w:val="en-GB"/>
              </w:rPr>
            </w:pPr>
            <w:r>
              <w:rPr>
                <w:rFonts w:ascii="Arial" w:hAnsi="Arial" w:cs="Arial"/>
                <w:sz w:val="18"/>
                <w:lang w:val="en-GB"/>
              </w:rPr>
              <w:t>N/A</w:t>
            </w:r>
          </w:p>
        </w:tc>
        <w:tc>
          <w:tcPr>
            <w:tcW w:w="1942" w:type="dxa"/>
            <w:vAlign w:val="center"/>
          </w:tcPr>
          <w:p w:rsidR="000B6526" w:rsidRDefault="000B6526" w:rsidP="006D6F5B">
            <w:pPr>
              <w:rPr>
                <w:rFonts w:ascii="Arial" w:hAnsi="Arial" w:cs="Arial"/>
                <w:sz w:val="18"/>
                <w:lang w:val="en-GB"/>
              </w:rPr>
            </w:pPr>
            <w:r>
              <w:rPr>
                <w:rFonts w:ascii="Arial" w:hAnsi="Arial" w:cs="Arial"/>
                <w:sz w:val="18"/>
                <w:lang w:val="en-GB"/>
              </w:rPr>
              <w:t>FAM-</w:t>
            </w:r>
            <w:r>
              <w:rPr>
                <w:rFonts w:ascii="Arial" w:hAnsi="Arial" w:cs="Arial"/>
                <w:caps/>
                <w:sz w:val="18"/>
                <w:lang w:val="en-GB" w:eastAsia="ar-SA"/>
              </w:rPr>
              <w:t>accaccacccaacacacaataacaaacaca</w:t>
            </w:r>
            <w:r>
              <w:rPr>
                <w:rFonts w:ascii="Arial" w:hAnsi="Arial" w:cs="Arial"/>
                <w:sz w:val="18"/>
                <w:lang w:val="en-GB"/>
              </w:rPr>
              <w:t>-BHQ1a</w:t>
            </w:r>
          </w:p>
          <w:p w:rsidR="000B6526" w:rsidRDefault="000B6526" w:rsidP="006D6F5B">
            <w:pPr>
              <w:rPr>
                <w:rFonts w:ascii="Arial" w:hAnsi="Arial" w:cs="Arial"/>
                <w:sz w:val="18"/>
                <w:lang w:val="en-GB"/>
              </w:rPr>
            </w:pPr>
          </w:p>
          <w:p w:rsidR="000B6526" w:rsidRDefault="000B6526" w:rsidP="006D6F5B">
            <w:pPr>
              <w:rPr>
                <w:rFonts w:ascii="Arial" w:hAnsi="Arial" w:cs="Arial"/>
                <w:sz w:val="18"/>
                <w:lang w:val="en-GB"/>
              </w:rPr>
            </w:pPr>
            <w:r>
              <w:rPr>
                <w:rFonts w:ascii="Arial" w:hAnsi="Arial" w:cs="Arial"/>
                <w:sz w:val="18"/>
                <w:lang w:val="en-GB"/>
              </w:rPr>
              <w:t xml:space="preserve">0.1 </w:t>
            </w:r>
            <w:r>
              <w:rPr>
                <w:rFonts w:ascii="Arial" w:hAnsi="Arial" w:cs="Arial"/>
                <w:sz w:val="18"/>
                <w:lang w:val="en-GB"/>
              </w:rPr>
              <w:sym w:font="Symbol" w:char="F06D"/>
            </w:r>
            <w:r>
              <w:rPr>
                <w:rFonts w:ascii="Arial" w:hAnsi="Arial" w:cs="Arial"/>
                <w:sz w:val="18"/>
                <w:lang w:val="en-GB"/>
              </w:rPr>
              <w:t>M</w:t>
            </w:r>
          </w:p>
        </w:tc>
        <w:tc>
          <w:tcPr>
            <w:tcW w:w="1942" w:type="dxa"/>
          </w:tcPr>
          <w:p w:rsidR="000B6526" w:rsidRDefault="000B6526" w:rsidP="006D6F5B">
            <w:pPr>
              <w:rPr>
                <w:rFonts w:ascii="Arial" w:hAnsi="Arial" w:cs="Arial"/>
                <w:sz w:val="18"/>
                <w:lang w:val="en-GB" w:eastAsia="ar-SA"/>
              </w:rPr>
            </w:pPr>
            <w:r>
              <w:rPr>
                <w:rFonts w:ascii="Arial" w:hAnsi="Arial" w:cs="Arial"/>
                <w:sz w:val="18"/>
                <w:u w:val="single"/>
                <w:lang w:val="en-GB" w:eastAsia="ar-SA"/>
              </w:rPr>
              <w:t>Activation</w:t>
            </w:r>
            <w:r>
              <w:rPr>
                <w:rFonts w:ascii="Arial" w:hAnsi="Arial" w:cs="Arial"/>
                <w:sz w:val="18"/>
                <w:lang w:val="en-GB" w:eastAsia="ar-SA"/>
              </w:rPr>
              <w:t xml:space="preserve"> - 95</w:t>
            </w:r>
            <w:r>
              <w:rPr>
                <w:rFonts w:ascii="Arial" w:hAnsi="Arial" w:cs="Arial"/>
                <w:sz w:val="18"/>
                <w:lang w:val="de-DE" w:eastAsia="ar-SA"/>
              </w:rPr>
              <w:sym w:font="Symbol" w:char="F0B0"/>
            </w:r>
            <w:r>
              <w:rPr>
                <w:rFonts w:ascii="Arial" w:hAnsi="Arial" w:cs="Arial"/>
                <w:sz w:val="18"/>
                <w:lang w:val="en-GB" w:eastAsia="ar-SA"/>
              </w:rPr>
              <w:t>C 30 min.</w:t>
            </w:r>
          </w:p>
          <w:p w:rsidR="000B6526" w:rsidRDefault="000B6526" w:rsidP="006D6F5B">
            <w:pPr>
              <w:rPr>
                <w:rFonts w:ascii="Arial" w:hAnsi="Arial" w:cs="Arial"/>
                <w:sz w:val="18"/>
                <w:lang w:val="en-GB" w:eastAsia="ar-SA"/>
              </w:rPr>
            </w:pPr>
            <w:r>
              <w:rPr>
                <w:rFonts w:ascii="Arial" w:hAnsi="Arial" w:cs="Arial"/>
                <w:sz w:val="18"/>
                <w:u w:val="single"/>
                <w:lang w:val="en-GB" w:eastAsia="ar-SA"/>
              </w:rPr>
              <w:t>50 Cycles</w:t>
            </w:r>
            <w:r>
              <w:rPr>
                <w:rFonts w:ascii="Arial" w:hAnsi="Arial" w:cs="Arial"/>
                <w:sz w:val="18"/>
                <w:lang w:val="en-GB" w:eastAsia="ar-SA"/>
              </w:rPr>
              <w:t>: 95</w:t>
            </w:r>
            <w:r>
              <w:rPr>
                <w:rFonts w:ascii="Arial" w:hAnsi="Arial" w:cs="Arial"/>
                <w:sz w:val="18"/>
                <w:lang w:val="en-GB" w:eastAsia="ar-SA"/>
              </w:rPr>
              <w:sym w:font="Symbol" w:char="F0B0"/>
            </w:r>
            <w:r>
              <w:rPr>
                <w:rFonts w:ascii="Arial" w:hAnsi="Arial" w:cs="Arial"/>
                <w:sz w:val="18"/>
                <w:lang w:val="en-GB" w:eastAsia="ar-SA"/>
              </w:rPr>
              <w:t>C 10 sec (4.4</w:t>
            </w:r>
            <w:r>
              <w:rPr>
                <w:rFonts w:ascii="Arial" w:hAnsi="Arial" w:cs="Arial"/>
                <w:sz w:val="18"/>
                <w:lang w:val="en-GB" w:eastAsia="ar-SA"/>
              </w:rPr>
              <w:sym w:font="Symbol" w:char="F0B0"/>
            </w:r>
            <w:r>
              <w:rPr>
                <w:rFonts w:ascii="Arial" w:hAnsi="Arial" w:cs="Arial"/>
                <w:sz w:val="18"/>
                <w:lang w:val="en-GB" w:eastAsia="ar-SA"/>
              </w:rPr>
              <w:t>C/sec), 57</w:t>
            </w:r>
            <w:r>
              <w:rPr>
                <w:rFonts w:ascii="Arial" w:hAnsi="Arial" w:cs="Arial"/>
                <w:sz w:val="18"/>
                <w:lang w:val="en-GB" w:eastAsia="ar-SA"/>
              </w:rPr>
              <w:sym w:font="Symbol" w:char="F0B0"/>
            </w:r>
            <w:r>
              <w:rPr>
                <w:rFonts w:ascii="Arial" w:hAnsi="Arial" w:cs="Arial"/>
                <w:sz w:val="18"/>
                <w:lang w:val="en-GB" w:eastAsia="ar-SA"/>
              </w:rPr>
              <w:t>C 30 sec (2.2</w:t>
            </w:r>
            <w:r>
              <w:rPr>
                <w:rFonts w:ascii="Arial" w:hAnsi="Arial" w:cs="Arial"/>
                <w:sz w:val="18"/>
                <w:lang w:val="en-GB" w:eastAsia="ar-SA"/>
              </w:rPr>
              <w:sym w:font="Symbol" w:char="F0B0"/>
            </w:r>
            <w:r>
              <w:rPr>
                <w:rFonts w:ascii="Arial" w:hAnsi="Arial" w:cs="Arial"/>
                <w:sz w:val="18"/>
                <w:lang w:val="en-GB" w:eastAsia="ar-SA"/>
              </w:rPr>
              <w:t>C/sec), 72</w:t>
            </w:r>
            <w:r>
              <w:rPr>
                <w:rFonts w:ascii="Arial" w:hAnsi="Arial" w:cs="Arial"/>
                <w:sz w:val="18"/>
                <w:lang w:val="en-GB" w:eastAsia="ar-SA"/>
              </w:rPr>
              <w:sym w:font="Symbol" w:char="F0B0"/>
            </w:r>
            <w:r>
              <w:rPr>
                <w:rFonts w:ascii="Arial" w:hAnsi="Arial" w:cs="Arial"/>
                <w:sz w:val="18"/>
                <w:lang w:val="en-GB" w:eastAsia="ar-SA"/>
              </w:rPr>
              <w:t>C 10sec (4.4</w:t>
            </w:r>
            <w:r>
              <w:rPr>
                <w:rFonts w:ascii="Arial" w:hAnsi="Arial" w:cs="Arial"/>
                <w:sz w:val="18"/>
                <w:lang w:val="en-GB" w:eastAsia="ar-SA"/>
              </w:rPr>
              <w:sym w:font="Symbol" w:char="F0B0"/>
            </w:r>
            <w:r>
              <w:rPr>
                <w:rFonts w:ascii="Arial" w:hAnsi="Arial" w:cs="Arial"/>
                <w:sz w:val="18"/>
                <w:lang w:val="en-GB" w:eastAsia="ar-SA"/>
              </w:rPr>
              <w:t>C/sec)</w:t>
            </w:r>
          </w:p>
          <w:p w:rsidR="000B6526" w:rsidRDefault="000B6526" w:rsidP="006D6F5B">
            <w:pPr>
              <w:rPr>
                <w:rFonts w:ascii="Arial" w:hAnsi="Arial" w:cs="Arial"/>
                <w:sz w:val="18"/>
                <w:lang w:val="en-GB"/>
              </w:rPr>
            </w:pPr>
            <w:r>
              <w:rPr>
                <w:rFonts w:ascii="Arial" w:hAnsi="Arial" w:cs="Arial"/>
                <w:sz w:val="18"/>
                <w:u w:val="single"/>
                <w:lang w:val="en-GB" w:eastAsia="ar-SA"/>
              </w:rPr>
              <w:t>cooling</w:t>
            </w:r>
            <w:r>
              <w:rPr>
                <w:rFonts w:ascii="Arial" w:hAnsi="Arial" w:cs="Arial"/>
                <w:sz w:val="18"/>
                <w:lang w:val="en-GB" w:eastAsia="ar-SA"/>
              </w:rPr>
              <w:t xml:space="preserve"> - 40</w:t>
            </w:r>
            <w:r>
              <w:rPr>
                <w:rFonts w:ascii="Arial" w:hAnsi="Arial" w:cs="Arial"/>
                <w:sz w:val="18"/>
                <w:lang w:val="en-GB" w:eastAsia="ar-SA"/>
              </w:rPr>
              <w:sym w:font="Symbol" w:char="F0B0"/>
            </w:r>
            <w:r>
              <w:rPr>
                <w:rFonts w:ascii="Arial" w:hAnsi="Arial" w:cs="Arial"/>
                <w:sz w:val="18"/>
                <w:lang w:val="en-GB" w:eastAsia="ar-SA"/>
              </w:rPr>
              <w:t>C 5sec (2.2</w:t>
            </w:r>
            <w:r>
              <w:rPr>
                <w:rFonts w:ascii="Arial" w:hAnsi="Arial" w:cs="Arial"/>
                <w:sz w:val="18"/>
                <w:lang w:val="en-GB" w:eastAsia="ar-SA"/>
              </w:rPr>
              <w:sym w:font="Symbol" w:char="F0B0"/>
            </w:r>
            <w:r>
              <w:rPr>
                <w:rFonts w:ascii="Arial" w:hAnsi="Arial" w:cs="Arial"/>
                <w:sz w:val="18"/>
                <w:lang w:val="en-GB" w:eastAsia="ar-SA"/>
              </w:rPr>
              <w:t>C/sec).</w:t>
            </w:r>
          </w:p>
        </w:tc>
      </w:tr>
    </w:tbl>
    <w:p w:rsidR="000B6526" w:rsidRDefault="000B6526" w:rsidP="000B6526">
      <w:pPr>
        <w:rPr>
          <w:rFonts w:ascii="Arial" w:hAnsi="Arial" w:cs="Arial"/>
          <w:sz w:val="20"/>
          <w:lang w:val="en-GB"/>
        </w:rPr>
      </w:pPr>
    </w:p>
    <w:p w:rsidR="000B6526" w:rsidRDefault="000B6526" w:rsidP="000B6526">
      <w:pPr>
        <w:rPr>
          <w:rFonts w:ascii="Arial" w:hAnsi="Arial" w:cs="Arial"/>
          <w:sz w:val="22"/>
        </w:rPr>
      </w:pPr>
      <w:r>
        <w:rPr>
          <w:rFonts w:ascii="Arial" w:hAnsi="Arial" w:cs="Arial"/>
          <w:sz w:val="22"/>
        </w:rPr>
        <w:t xml:space="preserve">For the </w:t>
      </w:r>
      <w:r>
        <w:rPr>
          <w:rFonts w:ascii="Arial" w:hAnsi="Arial" w:cs="Arial"/>
          <w:i/>
          <w:iCs/>
          <w:sz w:val="22"/>
        </w:rPr>
        <w:t>SEPT9</w:t>
      </w:r>
      <w:r>
        <w:rPr>
          <w:rFonts w:ascii="Arial" w:hAnsi="Arial" w:cs="Arial"/>
          <w:sz w:val="22"/>
        </w:rPr>
        <w:t xml:space="preserve"> PCR, the reverse primer contained an abasic d-spacer base in the 5</w:t>
      </w:r>
      <w:r>
        <w:rPr>
          <w:rFonts w:ascii="Arial" w:hAnsi="Arial" w:cs="Arial"/>
          <w:sz w:val="22"/>
          <w:vertAlign w:val="superscript"/>
        </w:rPr>
        <w:t>th</w:t>
      </w:r>
      <w:r>
        <w:rPr>
          <w:rFonts w:ascii="Arial" w:hAnsi="Arial" w:cs="Arial"/>
          <w:sz w:val="22"/>
        </w:rPr>
        <w:t xml:space="preserve"> position.  The blocker was terminated with a C3 spacer at the 3’ end to prevent extension.  The </w:t>
      </w:r>
      <w:r>
        <w:rPr>
          <w:rFonts w:ascii="Arial" w:hAnsi="Arial" w:cs="Arial"/>
          <w:i/>
          <w:iCs/>
          <w:sz w:val="22"/>
        </w:rPr>
        <w:t>SEPT9</w:t>
      </w:r>
      <w:r>
        <w:rPr>
          <w:rFonts w:ascii="Arial" w:hAnsi="Arial" w:cs="Arial"/>
          <w:sz w:val="22"/>
        </w:rPr>
        <w:t xml:space="preserve"> real time probe used the FAM / BHQ-1 fluorophors dyes.  The CFF1 PCR was identical to previous studies.  The primers for the </w:t>
      </w:r>
      <w:r>
        <w:rPr>
          <w:rFonts w:ascii="Arial" w:hAnsi="Arial" w:cs="Arial"/>
          <w:sz w:val="22"/>
        </w:rPr>
        <w:sym w:font="Symbol" w:char="F062"/>
      </w:r>
      <w:r>
        <w:rPr>
          <w:rFonts w:ascii="Arial" w:hAnsi="Arial" w:cs="Arial"/>
          <w:sz w:val="22"/>
        </w:rPr>
        <w:t xml:space="preserve">-actin assay were shortened compared with previous studies, but the probe was identical to previous studies </w:t>
      </w:r>
      <w:r>
        <w:rPr>
          <w:rFonts w:ascii="Arial" w:hAnsi="Arial" w:cs="Arial"/>
        </w:rPr>
        <w:fldChar w:fldCharType="begin"/>
      </w:r>
      <w:r>
        <w:rPr>
          <w:rFonts w:ascii="Arial" w:hAnsi="Arial" w:cs="Arial"/>
        </w:rPr>
        <w:instrText xml:space="preserve"> ADDIN EN.CITE &lt;EndNote&gt;&lt;Cite&gt;&lt;Author&gt;Lofton-Day&lt;/Author&gt;&lt;Year&gt;2008&lt;/Year&gt;&lt;RecNum&gt;7310&lt;/RecNum&gt;&lt;record&gt;&lt;rec-number&gt;7310&lt;/rec-number&gt;&lt;ref-type name="Journal Article"&gt;17&lt;/ref-type&gt;&lt;contributors&gt;&lt;authors&gt;&lt;author&gt;Lofton-Day, C.&lt;/author&gt;&lt;author&gt;Model, F.&lt;/author&gt;&lt;author&gt;Devos, T.&lt;/author&gt;&lt;author&gt;Tetzner, R.&lt;/author&gt;&lt;author&gt;Distler, J.&lt;/author&gt;&lt;author&gt;Schuster, M.&lt;/author&gt;&lt;author&gt;Song, X.&lt;/author&gt;&lt;author&gt;Lesche, R.&lt;/author&gt;&lt;author&gt;Liebenberg, V.&lt;/author&gt;&lt;author&gt;Ebert, M.&lt;/author&gt;&lt;author&gt;Molnar, B.&lt;/author&gt;&lt;author&gt;Grutzmann, R.&lt;/author&gt;&lt;author&gt;Pilarsky, C.&lt;/author&gt;&lt;author&gt;Sledziewski, A.&lt;/author&gt;&lt;/authors&gt;&lt;/contributors&gt;&lt;auth-address&gt;Epigenomics, Inc., Seattle, WA, USA. clofton@us.epigenomics.com&lt;/auth-address&gt;&lt;titles&gt;&lt;title&gt;DNA methylation biomarkers for blood-based colorectal cancer screening&lt;/title&gt;&lt;secondary-title&gt;Clin Chem&lt;/secondary-title&gt;&lt;/titles&gt;&lt;periodical&gt;&lt;full-title&gt;Clinical Chemistry&lt;/full-title&gt;&lt;abbr-1&gt;Clin. Chem.&lt;/abbr-1&gt;&lt;abbr-2&gt;Clin Chem&lt;/abbr-2&gt;&lt;/periodical&gt;&lt;pages&gt;414-23&lt;/pages&gt;&lt;volume&gt;54&lt;/volume&gt;&lt;number&gt;2&lt;/number&gt;&lt;dates&gt;&lt;year&gt;2008&lt;/year&gt;&lt;pub-dates&gt;&lt;date&gt;Feb&lt;/date&gt;&lt;/pub-dates&gt;&lt;/dates&gt;&lt;accession-num&gt;18089654&lt;/accession-num&gt;&lt;urls&gt;&lt;related-urls&gt;&lt;url&gt;http://www.ncbi.nlm.nih.gov/entrez/query.fcgi?cmd=Retrieve&amp;amp;db=PubMed&amp;amp;dopt=Citation&amp;amp;list_uids=18089654 &lt;/url&gt;&lt;/related-urls&gt;&lt;/urls&gt;&lt;/record&gt;&lt;/Cite&gt;&lt;Cite&gt;&lt;Author&gt;Grutzmann&lt;/Author&gt;&lt;Year&gt;2008&lt;/Year&gt;&lt;RecNum&gt;7319&lt;/RecNum&gt;&lt;record&gt;&lt;rec-number&gt;7319&lt;/rec-number&gt;&lt;ref-type name="Journal Article"&gt;17&lt;/ref-type&gt;&lt;contributors&gt;&lt;authors&gt;&lt;author&gt;Grutzmann, R.&lt;/author&gt;&lt;author&gt;Molnar, B.&lt;/author&gt;&lt;author&gt;Pilarsky, C.&lt;/author&gt;&lt;author&gt;Habermann, J.K.&lt;/author&gt;&lt;author&gt;Schlag, P.M.&lt;/author&gt;&lt;author&gt;Saeger, H. D.&lt;/author&gt;&lt;author&gt;Miehlke, S.&lt;/author&gt;&lt;author&gt;Stolz, T.&lt;/author&gt;&lt;author&gt;Model, F.&lt;/author&gt;&lt;author&gt;Roblick, U.J.&lt;/author&gt;&lt;author&gt;Bruch, H.P.&lt;/author&gt;&lt;author&gt;Koch, R.&lt;/author&gt;&lt;author&gt;Liebenberg, V.&lt;/author&gt;&lt;author&gt;devos, T.&lt;/author&gt;&lt;author&gt;Song, X.&lt;/author&gt;&lt;author&gt;Day, R.H.&lt;/author&gt;&lt;author&gt;Sledziewski, A&lt;/author&gt;&lt;author&gt;Lofton-Day, C.&lt;/author&gt;&lt;/authors&gt;&lt;/contributors&gt;&lt;titles&gt;&lt;title&gt;Sensitive detection of colorectal cancer in peripheral blood by Septin 9 DNA methylation assay&lt;/title&gt;&lt;secondary-title&gt;Plos One&lt;/secondary-title&gt;&lt;/titles&gt;&lt;periodical&gt;&lt;full-title&gt;Plos One&lt;/full-title&gt;&lt;/periodical&gt;&lt;volume&gt;In Press&lt;/volume&gt;&lt;dates&gt;&lt;year&gt;2008&lt;/year&gt;&lt;/dates&gt;&lt;urls&gt;&lt;/urls&gt;&lt;/record&gt;&lt;/Cite&gt;&lt;/EndNote&gt;</w:instrText>
      </w:r>
      <w:r>
        <w:rPr>
          <w:rFonts w:ascii="Arial" w:hAnsi="Arial" w:cs="Arial"/>
        </w:rPr>
        <w:fldChar w:fldCharType="separate"/>
      </w:r>
      <w:r>
        <w:rPr>
          <w:rFonts w:ascii="Arial" w:hAnsi="Arial" w:cs="Arial"/>
        </w:rPr>
        <w:t>(</w:t>
      </w:r>
      <w:r>
        <w:rPr>
          <w:rFonts w:ascii="Arial" w:hAnsi="Arial" w:cs="Arial"/>
          <w:u w:val="single"/>
        </w:rPr>
        <w:t>2, 3</w:t>
      </w:r>
      <w:r>
        <w:rPr>
          <w:rFonts w:ascii="Arial" w:hAnsi="Arial" w:cs="Arial"/>
        </w:rPr>
        <w:t>)</w:t>
      </w:r>
      <w:r>
        <w:rPr>
          <w:rFonts w:ascii="Arial" w:hAnsi="Arial" w:cs="Arial"/>
        </w:rPr>
        <w:fldChar w:fldCharType="end"/>
      </w:r>
      <w:r>
        <w:rPr>
          <w:rFonts w:ascii="Arial" w:hAnsi="Arial" w:cs="Arial"/>
          <w:sz w:val="22"/>
        </w:rPr>
        <w:t xml:space="preserve">. Oligonucleotide quality was determined in house by MALDI-TOF prior to use, and the limit of detection for each PCR was evaluated prior to use in studies. The Quantitect Multiplex mastermix from Qiagen was used at a 1x final concentration in all assays.  The total PCR reaction volume was 25 </w:t>
      </w:r>
      <w:r>
        <w:rPr>
          <w:rFonts w:ascii="Arial" w:hAnsi="Arial" w:cs="Arial"/>
          <w:sz w:val="22"/>
        </w:rPr>
        <w:sym w:font="Symbol" w:char="F06D"/>
      </w:r>
      <w:r>
        <w:rPr>
          <w:rFonts w:ascii="Arial" w:hAnsi="Arial" w:cs="Arial"/>
          <w:sz w:val="22"/>
        </w:rPr>
        <w:t xml:space="preserve">l, using 96 well reaction plates on a Roche LC480 real time thermal cycler.  For the </w:t>
      </w:r>
      <w:r>
        <w:rPr>
          <w:rFonts w:ascii="Arial" w:hAnsi="Arial" w:cs="Arial"/>
          <w:i/>
          <w:iCs/>
          <w:sz w:val="22"/>
        </w:rPr>
        <w:t>SEPT9</w:t>
      </w:r>
      <w:r>
        <w:rPr>
          <w:rFonts w:ascii="Arial" w:hAnsi="Arial" w:cs="Arial"/>
          <w:sz w:val="22"/>
        </w:rPr>
        <w:t xml:space="preserve"> and </w:t>
      </w:r>
      <w:r>
        <w:rPr>
          <w:rFonts w:ascii="Arial" w:hAnsi="Arial" w:cs="Arial"/>
        </w:rPr>
        <w:sym w:font="Symbol" w:char="F062"/>
      </w:r>
      <w:r>
        <w:rPr>
          <w:rFonts w:ascii="Arial" w:hAnsi="Arial" w:cs="Arial"/>
        </w:rPr>
        <w:t>-actin</w:t>
      </w:r>
      <w:r>
        <w:rPr>
          <w:rFonts w:ascii="Arial" w:hAnsi="Arial" w:cs="Arial"/>
          <w:sz w:val="22"/>
        </w:rPr>
        <w:t xml:space="preserve"> PCR reactions, the activation temperature was extended to allow the desulfonation reaction to proceed prior to amplification.  </w:t>
      </w:r>
    </w:p>
    <w:p w:rsidR="000B6526" w:rsidRDefault="000B6526" w:rsidP="000B6526">
      <w:pPr>
        <w:pStyle w:val="BodyText"/>
      </w:pPr>
      <w:r>
        <w:rPr>
          <w:u w:val="single"/>
        </w:rPr>
        <w:t>Real time PCR analysis</w:t>
      </w:r>
      <w:r>
        <w:t xml:space="preserve">:Total genomic DNA was measured by real time PCR analysis of the diluted genomic aliquot using the CFF1 reaction.  Total bisulfite DNA was measured from a 10 </w:t>
      </w:r>
      <w:r>
        <w:rPr>
          <w:u w:val="single"/>
        </w:rPr>
        <w:t>µ</w:t>
      </w:r>
      <w:r>
        <w:t xml:space="preserve">L aliquot of the bisulfite DNA eluate with the </w:t>
      </w:r>
      <w:r>
        <w:sym w:font="Symbol" w:char="F062"/>
      </w:r>
      <w:r>
        <w:t xml:space="preserve">-actin reaction.  </w:t>
      </w:r>
      <w:r>
        <w:rPr>
          <w:i/>
          <w:iCs/>
        </w:rPr>
        <w:t>SEPT9</w:t>
      </w:r>
      <w:r>
        <w:t xml:space="preserve"> methylation was measured in triplicate using 10 µL of the bis DNA eluate per replicate, and in a single measure using 10 µL of the diluted bisulfite DNA eluate.</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PCR Assay Prequalification:  Prior to the study, the 90% limit of detection (LoD) was determined for the </w:t>
      </w:r>
      <w:r>
        <w:rPr>
          <w:rFonts w:ascii="Arial" w:hAnsi="Arial" w:cs="Arial"/>
          <w:i/>
          <w:iCs/>
          <w:sz w:val="22"/>
        </w:rPr>
        <w:t>SEPT9</w:t>
      </w:r>
      <w:r>
        <w:rPr>
          <w:rFonts w:ascii="Arial" w:hAnsi="Arial" w:cs="Arial"/>
          <w:sz w:val="22"/>
        </w:rPr>
        <w:t xml:space="preserve"> PCR by analysis of bisulfite treated methylated (Sss1 treated) DNA diluted in a background of bisulfite treated 50 ng peripheral blood leukocyte (PBL) DNA (Roche Applied Science).  As illustrated in Data Supplement Figure 1, the dilution series was from 100pg to 3.125 pg in 2 fold steps.  We tested 12 replicates for four different PBL backgrounds, for a total of 48 replicates at each concentration.  The 90% LoD was defined as the lowest concentration of spiked methylated DNA in a background of 50 ng human genomic DNA for which the measurement values had an area under the ROC curve (AUC) of 0.9 compared with measurements without spiked methylated DNA, and was estimated to be 9.4 pg for the </w:t>
      </w:r>
      <w:r>
        <w:rPr>
          <w:rFonts w:ascii="Arial" w:hAnsi="Arial" w:cs="Arial"/>
          <w:i/>
          <w:iCs/>
          <w:sz w:val="22"/>
          <w:vertAlign w:val="superscript"/>
        </w:rPr>
        <w:t>m</w:t>
      </w:r>
      <w:r>
        <w:rPr>
          <w:rFonts w:ascii="Arial" w:hAnsi="Arial" w:cs="Arial"/>
          <w:sz w:val="22"/>
        </w:rPr>
        <w:t xml:space="preserve">SEPT9 assay.  For </w:t>
      </w:r>
      <w:r>
        <w:rPr>
          <w:rFonts w:ascii="Arial" w:hAnsi="Arial" w:cs="Arial"/>
        </w:rPr>
        <w:sym w:font="Symbol" w:char="F062"/>
      </w:r>
      <w:r>
        <w:rPr>
          <w:rFonts w:ascii="Arial" w:hAnsi="Arial" w:cs="Arial"/>
        </w:rPr>
        <w:t>-actin</w:t>
      </w:r>
      <w:r>
        <w:rPr>
          <w:rFonts w:ascii="Arial" w:hAnsi="Arial" w:cs="Arial"/>
          <w:sz w:val="22"/>
        </w:rPr>
        <w:t xml:space="preserve">, the LoD of 9.7 pg was determined with a dilution series of bisulfite treated methylated (Sss1 treated) DNA, and for the genomic CFF1 PCR the LOD of 4.3 pg was measured with a dilution series of genomic PBL DNA.  </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2) Characterization of Assay performance with model samples:</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Model samples:  For workflow development two types of model sample were produced: 1) purified methylated DNA (CpGenome, Millipore) was spiked into plasma negative for methylated </w:t>
      </w:r>
      <w:r>
        <w:rPr>
          <w:rFonts w:ascii="Arial" w:hAnsi="Arial" w:cs="Arial"/>
          <w:i/>
          <w:iCs/>
          <w:sz w:val="22"/>
        </w:rPr>
        <w:t>SEPT9</w:t>
      </w:r>
      <w:r>
        <w:rPr>
          <w:rFonts w:ascii="Arial" w:hAnsi="Arial" w:cs="Arial"/>
          <w:sz w:val="22"/>
        </w:rPr>
        <w:t xml:space="preserve">;  2) plasma positive for methylated </w:t>
      </w:r>
      <w:r>
        <w:rPr>
          <w:rFonts w:ascii="Arial" w:hAnsi="Arial" w:cs="Arial"/>
          <w:i/>
          <w:iCs/>
          <w:sz w:val="22"/>
        </w:rPr>
        <w:t>SEPT9</w:t>
      </w:r>
      <w:r>
        <w:rPr>
          <w:rFonts w:ascii="Arial" w:hAnsi="Arial" w:cs="Arial"/>
          <w:sz w:val="22"/>
        </w:rPr>
        <w:t xml:space="preserve"> was spiked into plasma negative for the </w:t>
      </w:r>
      <w:r>
        <w:rPr>
          <w:rFonts w:ascii="Arial" w:hAnsi="Arial" w:cs="Arial"/>
          <w:i/>
          <w:iCs/>
          <w:sz w:val="22"/>
        </w:rPr>
        <w:t>SEPT9</w:t>
      </w:r>
      <w:r>
        <w:rPr>
          <w:rFonts w:ascii="Arial" w:hAnsi="Arial" w:cs="Arial"/>
          <w:sz w:val="22"/>
        </w:rPr>
        <w:t xml:space="preserve"> biomarker.  </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To determine the performance of DNA extraction from plasma, total genomic DNA recovery was measured using the genomic real time PCR assay CFF1.  An example experiment from the assay development process </w:t>
      </w:r>
      <w:r>
        <w:rPr>
          <w:rFonts w:ascii="Arial" w:hAnsi="Arial" w:cs="Arial"/>
          <w:sz w:val="22"/>
        </w:rPr>
        <w:lastRenderedPageBreak/>
        <w:t xml:space="preserve">using spiked plasma samples is shown in Figure 2.  The recovery of total genomic DNA is shown for eight individual samples, in which we measured average DNA recovery of 2.93 </w:t>
      </w:r>
      <w:r>
        <w:rPr>
          <w:rFonts w:ascii="Arial" w:hAnsi="Arial" w:cs="Arial"/>
          <w:sz w:val="22"/>
        </w:rPr>
        <w:sym w:font="Symbol" w:char="F0B1"/>
      </w:r>
      <w:r>
        <w:rPr>
          <w:rFonts w:ascii="Arial" w:hAnsi="Arial" w:cs="Arial"/>
          <w:sz w:val="22"/>
        </w:rPr>
        <w:t xml:space="preserve"> 1.36 ng/mL of input plasma from a set of surrogate plasma samples in which low levels of plasma containing methylated </w:t>
      </w:r>
      <w:r>
        <w:rPr>
          <w:rFonts w:ascii="Arial" w:hAnsi="Arial" w:cs="Arial"/>
          <w:i/>
          <w:iCs/>
          <w:sz w:val="22"/>
        </w:rPr>
        <w:t>SEPT9</w:t>
      </w:r>
      <w:r>
        <w:rPr>
          <w:rFonts w:ascii="Arial" w:hAnsi="Arial" w:cs="Arial"/>
          <w:sz w:val="22"/>
        </w:rPr>
        <w:t xml:space="preserve"> were spiked into a </w:t>
      </w:r>
      <w:r>
        <w:rPr>
          <w:rFonts w:ascii="Arial" w:hAnsi="Arial" w:cs="Arial"/>
          <w:i/>
          <w:iCs/>
          <w:sz w:val="22"/>
        </w:rPr>
        <w:t>SEPT9</w:t>
      </w:r>
      <w:r>
        <w:rPr>
          <w:rFonts w:ascii="Arial" w:hAnsi="Arial" w:cs="Arial"/>
          <w:sz w:val="22"/>
        </w:rPr>
        <w:t xml:space="preserve"> negative plasma background (Figure 2a).  Based on these and additional studies (not shown) we demonstrated equivalent recovery of genomic DNA to that measured with the research assay. </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For bisulfite conversion and purification, the protocol was tested using surrogate samples as described for genomic DNA extraction above, and as illustrated in the sample experiment in Figure 2a, the recovery of bis-DNA measured using the real time </w:t>
      </w:r>
      <w:r>
        <w:rPr>
          <w:rFonts w:ascii="Arial" w:hAnsi="Arial" w:cs="Arial"/>
          <w:sz w:val="22"/>
        </w:rPr>
        <w:sym w:font="Symbol" w:char="F062"/>
      </w:r>
      <w:r>
        <w:rPr>
          <w:rFonts w:ascii="Arial" w:hAnsi="Arial" w:cs="Arial"/>
          <w:sz w:val="22"/>
        </w:rPr>
        <w:t xml:space="preserve">-actin PCR reaction was 1.6 </w:t>
      </w:r>
      <w:r>
        <w:rPr>
          <w:rFonts w:ascii="Arial" w:hAnsi="Arial" w:cs="Arial"/>
          <w:sz w:val="22"/>
        </w:rPr>
        <w:sym w:font="Symbol" w:char="F0B1"/>
      </w:r>
      <w:r>
        <w:rPr>
          <w:rFonts w:ascii="Arial" w:hAnsi="Arial" w:cs="Arial"/>
          <w:sz w:val="22"/>
        </w:rPr>
        <w:t xml:space="preserve"> 0.63 ng/mL of starting plasma, a yield in the range of 55% of the total genomic DNA.  </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To test the recovery of methylated target DNA in the </w:t>
      </w:r>
      <w:r>
        <w:rPr>
          <w:rFonts w:ascii="Arial" w:hAnsi="Arial" w:cs="Arial"/>
          <w:i/>
          <w:sz w:val="22"/>
          <w:vertAlign w:val="superscript"/>
        </w:rPr>
        <w:t>m</w:t>
      </w:r>
      <w:r>
        <w:rPr>
          <w:rFonts w:ascii="Arial" w:hAnsi="Arial" w:cs="Arial"/>
          <w:sz w:val="22"/>
        </w:rPr>
        <w:t>SEPT9 assay, methylated</w:t>
      </w:r>
      <w:r>
        <w:rPr>
          <w:rFonts w:ascii="Arial" w:hAnsi="Arial" w:cs="Arial"/>
          <w:i/>
          <w:iCs/>
          <w:sz w:val="22"/>
        </w:rPr>
        <w:t xml:space="preserve"> SEPT9</w:t>
      </w:r>
      <w:r>
        <w:rPr>
          <w:rFonts w:ascii="Arial" w:hAnsi="Arial" w:cs="Arial"/>
          <w:sz w:val="22"/>
        </w:rPr>
        <w:t xml:space="preserve"> positive plasma was spiked in a dilution series into a background of methylated </w:t>
      </w:r>
      <w:r>
        <w:rPr>
          <w:rFonts w:ascii="Arial" w:hAnsi="Arial" w:cs="Arial"/>
          <w:i/>
          <w:iCs/>
          <w:sz w:val="22"/>
        </w:rPr>
        <w:t>SEPT9</w:t>
      </w:r>
      <w:r>
        <w:rPr>
          <w:rFonts w:ascii="Arial" w:hAnsi="Arial" w:cs="Arial"/>
          <w:sz w:val="22"/>
        </w:rPr>
        <w:t xml:space="preserve"> negative plasma (Figure 2b) with the target concentration of </w:t>
      </w:r>
      <w:r>
        <w:rPr>
          <w:rFonts w:ascii="Arial" w:hAnsi="Arial" w:cs="Arial"/>
          <w:i/>
          <w:iCs/>
          <w:sz w:val="22"/>
        </w:rPr>
        <w:t>SEPT9</w:t>
      </w:r>
      <w:r>
        <w:rPr>
          <w:rFonts w:ascii="Arial" w:hAnsi="Arial" w:cs="Arial"/>
          <w:sz w:val="22"/>
        </w:rPr>
        <w:t xml:space="preserve"> biomarker at less that 10 pg/mL in the 8-fold dilution samples.  For each dilution, the PCR positive rate for the original research assay and the new </w:t>
      </w:r>
      <w:r>
        <w:rPr>
          <w:rFonts w:ascii="Arial" w:hAnsi="Arial" w:cs="Arial"/>
          <w:i/>
          <w:iCs/>
          <w:sz w:val="22"/>
          <w:vertAlign w:val="superscript"/>
        </w:rPr>
        <w:t>m</w:t>
      </w:r>
      <w:r>
        <w:rPr>
          <w:rFonts w:ascii="Arial" w:hAnsi="Arial" w:cs="Arial"/>
          <w:sz w:val="22"/>
        </w:rPr>
        <w:t xml:space="preserve">SEPT9  assay was measured in 8 independent spiked samples.  The detection rates differed marginally between the two assays at the higher concentrations of the </w:t>
      </w:r>
      <w:r>
        <w:rPr>
          <w:rFonts w:ascii="Arial" w:hAnsi="Arial" w:cs="Arial"/>
          <w:i/>
          <w:iCs/>
          <w:sz w:val="22"/>
        </w:rPr>
        <w:t>SEPT9</w:t>
      </w:r>
      <w:r>
        <w:rPr>
          <w:rFonts w:ascii="Arial" w:hAnsi="Arial" w:cs="Arial"/>
          <w:sz w:val="22"/>
        </w:rPr>
        <w:t xml:space="preserve"> biomarker, and were identical (50%) at the greatest dilution (Figure 2b). Based on these results and numerous additional experiments (data not shown), for surrogate samples we considered the new assay essentially equivalent to the previously described research assay, and proceeded to validate the assay with clinical samples in a training and test study.</w:t>
      </w:r>
    </w:p>
    <w:p w:rsidR="000B6526" w:rsidRDefault="000B6526" w:rsidP="000B6526">
      <w:pPr>
        <w:rPr>
          <w:rFonts w:ascii="Arial" w:hAnsi="Arial" w:cs="Arial"/>
          <w:sz w:val="22"/>
        </w:rPr>
      </w:pP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Study Quality Control</w:t>
      </w:r>
    </w:p>
    <w:p w:rsidR="000B6526" w:rsidRDefault="000B6526" w:rsidP="000B6526">
      <w:pPr>
        <w:rPr>
          <w:rFonts w:ascii="Arial" w:hAnsi="Arial" w:cs="Arial"/>
          <w:sz w:val="22"/>
        </w:rPr>
      </w:pPr>
      <w:r>
        <w:rPr>
          <w:rFonts w:ascii="Arial" w:hAnsi="Arial" w:cs="Arial"/>
          <w:sz w:val="22"/>
        </w:rPr>
        <w:t>Positive controls for DNA extraction were 25ng/mL CpGenome methylated DNA diluted in 5mg/mL bovine serum albumin (BSA), while negative extraction controls were BSA without spiked DNA.  Positive controls for bisulfite processing were composed of 10ng fully methylated CpGenome DNA spiked into 90 ng of human genomic DNA prepared from buffy coat cells (Roche Applied Sciences) in a 100 µL volume of elution buffer. Negative bisulfite conversion controls were composed of elution buffer alone</w:t>
      </w:r>
      <w:r>
        <w:rPr>
          <w:rFonts w:ascii="Arial" w:hAnsi="Arial" w:cs="Arial"/>
          <w:sz w:val="22"/>
        </w:rPr>
        <w:br w:type="page"/>
      </w:r>
    </w:p>
    <w:p w:rsidR="000B6526" w:rsidRDefault="000B6526" w:rsidP="000B6526">
      <w:pPr>
        <w:rPr>
          <w:rFonts w:ascii="Arial" w:hAnsi="Arial" w:cs="Arial"/>
          <w:sz w:val="22"/>
        </w:rPr>
      </w:pPr>
      <w:r>
        <w:rPr>
          <w:rFonts w:ascii="Arial" w:hAnsi="Arial" w:cs="Arial"/>
          <w:sz w:val="22"/>
        </w:rPr>
        <w:lastRenderedPageBreak/>
        <w:t xml:space="preserve">Supplemental Figure 1.  The LoD calibration curve for the methylated </w:t>
      </w:r>
      <w:r>
        <w:rPr>
          <w:rFonts w:ascii="Arial" w:hAnsi="Arial" w:cs="Arial"/>
          <w:i/>
          <w:iCs/>
          <w:sz w:val="22"/>
        </w:rPr>
        <w:t>SEPT9</w:t>
      </w:r>
      <w:r>
        <w:rPr>
          <w:rFonts w:ascii="Arial" w:hAnsi="Arial" w:cs="Arial"/>
          <w:sz w:val="22"/>
        </w:rPr>
        <w:t xml:space="preserve"> real time assay used in the training and test studies.  The concentration of spiked methylated DNA in picograms is indicated across the top of the graph.  The measured concentration of the methylated spike is indicated on the Y-axis.  The dotted blue line indicates perfect identity between expected and observed, the black line connects the observed median values and the dashed red line represents the regression of the observed median values.  The dotted black lines show the 90% confidence interval around the median value.</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Supplemental Figure 2.  Performance of the </w:t>
      </w:r>
      <w:r>
        <w:rPr>
          <w:rFonts w:ascii="Arial" w:hAnsi="Arial" w:cs="Arial"/>
          <w:i/>
          <w:iCs/>
          <w:sz w:val="22"/>
          <w:vertAlign w:val="superscript"/>
        </w:rPr>
        <w:t>m</w:t>
      </w:r>
      <w:r>
        <w:rPr>
          <w:rFonts w:ascii="Arial" w:hAnsi="Arial" w:cs="Arial"/>
          <w:sz w:val="22"/>
        </w:rPr>
        <w:t>SEPT9 assay on model DNA samples.</w:t>
      </w:r>
    </w:p>
    <w:p w:rsidR="000B6526" w:rsidRDefault="000B6526" w:rsidP="000B6526">
      <w:pPr>
        <w:rPr>
          <w:rFonts w:ascii="Arial" w:hAnsi="Arial" w:cs="Arial"/>
          <w:sz w:val="22"/>
        </w:rPr>
      </w:pPr>
      <w:r>
        <w:rPr>
          <w:rFonts w:ascii="Arial" w:hAnsi="Arial" w:cs="Arial"/>
          <w:sz w:val="22"/>
        </w:rPr>
        <w:t xml:space="preserve">Supplemental Figure 2a.  Concentration of total genomic DNA (gray bars) based on the CFF1 PCR assay, and bis-DNA (hatched bars) based on the </w:t>
      </w:r>
      <w:r>
        <w:rPr>
          <w:rFonts w:ascii="Arial" w:hAnsi="Arial" w:cs="Arial"/>
          <w:sz w:val="22"/>
        </w:rPr>
        <w:sym w:font="Symbol" w:char="F062"/>
      </w:r>
      <w:r>
        <w:rPr>
          <w:rFonts w:ascii="Arial" w:hAnsi="Arial" w:cs="Arial"/>
          <w:sz w:val="22"/>
        </w:rPr>
        <w:t xml:space="preserve">-actin PCR assay, calculated per mL of input plasma for eight independent sample pools.  Samples were produced by spiking plasma positive for methylated </w:t>
      </w:r>
      <w:r>
        <w:rPr>
          <w:rFonts w:ascii="Arial" w:hAnsi="Arial" w:cs="Arial"/>
          <w:i/>
          <w:iCs/>
          <w:sz w:val="22"/>
        </w:rPr>
        <w:t>SEPT9</w:t>
      </w:r>
      <w:r>
        <w:rPr>
          <w:rFonts w:ascii="Arial" w:hAnsi="Arial" w:cs="Arial"/>
          <w:sz w:val="22"/>
        </w:rPr>
        <w:t xml:space="preserve"> into methylated </w:t>
      </w:r>
      <w:r>
        <w:rPr>
          <w:rFonts w:ascii="Arial" w:hAnsi="Arial" w:cs="Arial"/>
          <w:i/>
          <w:iCs/>
          <w:sz w:val="22"/>
        </w:rPr>
        <w:t>SEPT9</w:t>
      </w:r>
      <w:r>
        <w:rPr>
          <w:rFonts w:ascii="Arial" w:hAnsi="Arial" w:cs="Arial"/>
          <w:sz w:val="22"/>
        </w:rPr>
        <w:t xml:space="preserve"> negative plasma</w:t>
      </w:r>
    </w:p>
    <w:p w:rsidR="000B6526" w:rsidRDefault="000B6526" w:rsidP="000B6526">
      <w:pPr>
        <w:rPr>
          <w:rFonts w:ascii="Arial" w:hAnsi="Arial" w:cs="Arial"/>
          <w:sz w:val="22"/>
        </w:rPr>
      </w:pPr>
    </w:p>
    <w:p w:rsidR="000B6526" w:rsidRDefault="000B6526" w:rsidP="000B6526">
      <w:pPr>
        <w:rPr>
          <w:rFonts w:ascii="Arial" w:hAnsi="Arial" w:cs="Arial"/>
          <w:sz w:val="22"/>
        </w:rPr>
      </w:pPr>
      <w:r>
        <w:rPr>
          <w:rFonts w:ascii="Arial" w:hAnsi="Arial" w:cs="Arial"/>
          <w:sz w:val="22"/>
        </w:rPr>
        <w:t xml:space="preserve">Supplemental Figure 2b. </w:t>
      </w:r>
      <w:r>
        <w:rPr>
          <w:rFonts w:ascii="Arial" w:hAnsi="Arial" w:cs="Arial"/>
          <w:i/>
          <w:iCs/>
          <w:sz w:val="22"/>
        </w:rPr>
        <w:t>SEPT9</w:t>
      </w:r>
      <w:r>
        <w:rPr>
          <w:rFonts w:ascii="Arial" w:hAnsi="Arial" w:cs="Arial"/>
          <w:sz w:val="22"/>
        </w:rPr>
        <w:t xml:space="preserve"> positive rate in percentage measured for the </w:t>
      </w:r>
      <w:r>
        <w:rPr>
          <w:rFonts w:ascii="Arial" w:hAnsi="Arial" w:cs="Arial"/>
          <w:i/>
          <w:iCs/>
          <w:sz w:val="22"/>
        </w:rPr>
        <w:t>SEPT9</w:t>
      </w:r>
      <w:r>
        <w:rPr>
          <w:rFonts w:ascii="Arial" w:hAnsi="Arial" w:cs="Arial"/>
          <w:sz w:val="22"/>
        </w:rPr>
        <w:t xml:space="preserve"> FRET based research assay (gray bars) and the new </w:t>
      </w:r>
      <w:r>
        <w:rPr>
          <w:rFonts w:ascii="Arial" w:hAnsi="Arial" w:cs="Arial"/>
          <w:i/>
          <w:iCs/>
          <w:sz w:val="22"/>
          <w:vertAlign w:val="superscript"/>
        </w:rPr>
        <w:t>m</w:t>
      </w:r>
      <w:r>
        <w:rPr>
          <w:rFonts w:ascii="Arial" w:hAnsi="Arial" w:cs="Arial"/>
          <w:sz w:val="22"/>
        </w:rPr>
        <w:t xml:space="preserve">SEPT9 assay (hatched bars).  Plasma samples were prepared in a dilution series of methylated </w:t>
      </w:r>
      <w:r>
        <w:rPr>
          <w:rFonts w:ascii="Arial" w:hAnsi="Arial" w:cs="Arial"/>
          <w:i/>
          <w:iCs/>
          <w:sz w:val="22"/>
        </w:rPr>
        <w:t>SEPT9</w:t>
      </w:r>
      <w:r>
        <w:rPr>
          <w:rFonts w:ascii="Arial" w:hAnsi="Arial" w:cs="Arial"/>
          <w:sz w:val="22"/>
        </w:rPr>
        <w:t xml:space="preserve"> positive plasma spiked into a background of methylated </w:t>
      </w:r>
      <w:r>
        <w:rPr>
          <w:rFonts w:ascii="Arial" w:hAnsi="Arial" w:cs="Arial"/>
          <w:i/>
          <w:iCs/>
          <w:sz w:val="22"/>
        </w:rPr>
        <w:t>SEPT9</w:t>
      </w:r>
      <w:r>
        <w:rPr>
          <w:rFonts w:ascii="Arial" w:hAnsi="Arial" w:cs="Arial"/>
          <w:sz w:val="22"/>
        </w:rPr>
        <w:t xml:space="preserve"> negative plasma, with a target of less than 10 pg/mL in the 8 fold dilution samples. Each percentage measurement is the aggregate of PCR results for 8 independent spiked DNA pools at the given dilution.</w:t>
      </w:r>
    </w:p>
    <w:p w:rsidR="000B6526" w:rsidRDefault="000B6526" w:rsidP="000B6526">
      <w:pPr>
        <w:rPr>
          <w:rFonts w:ascii="Arial" w:hAnsi="Arial" w:cs="Arial"/>
          <w:sz w:val="22"/>
        </w:rPr>
      </w:pPr>
    </w:p>
    <w:p w:rsidR="000B6526" w:rsidRDefault="000B6526" w:rsidP="000B6526">
      <w:pPr>
        <w:rPr>
          <w:rFonts w:ascii="Arial" w:hAnsi="Arial" w:cs="Arial"/>
          <w:sz w:val="22"/>
        </w:rPr>
      </w:pPr>
    </w:p>
    <w:p w:rsidR="000B6526" w:rsidRDefault="000B6526" w:rsidP="000B6526">
      <w:pPr>
        <w:pStyle w:val="BodyText"/>
      </w:pPr>
      <w:r>
        <w:t xml:space="preserve">Supplement Figure 3a. Plot of cumulative total bis-DNA measured by </w:t>
      </w:r>
      <w:r>
        <w:sym w:font="Symbol" w:char="F062"/>
      </w:r>
      <w:r>
        <w:t>-actin real time PCR, for cancer cases and control patients expressed in ng / mL plasma.  Note that the total DNA measurement is essentially identical for controls and cases.</w:t>
      </w:r>
    </w:p>
    <w:p w:rsidR="000B6526" w:rsidRDefault="000B6526" w:rsidP="000B6526">
      <w:pPr>
        <w:pStyle w:val="BodyText"/>
      </w:pPr>
    </w:p>
    <w:p w:rsidR="000B6526" w:rsidRDefault="000B6526" w:rsidP="000B6526">
      <w:pPr>
        <w:pStyle w:val="BodyText"/>
      </w:pPr>
      <w:r>
        <w:t xml:space="preserve">Supplement Figure 3b. Plot of cumulative total bis-DNA measured by </w:t>
      </w:r>
      <w:r>
        <w:sym w:font="Symbol" w:char="F062"/>
      </w:r>
      <w:r>
        <w:t>-actin real time PCR, for cancer cases by stage in ng / mL plasma  Note that the total DNA measurement is essentially identical for stages I-III but that a number of stage IV cancers show high concentrations.</w:t>
      </w:r>
    </w:p>
    <w:p w:rsidR="000B6526" w:rsidRDefault="000B6526" w:rsidP="000B6526">
      <w:pPr>
        <w:pStyle w:val="BodyText"/>
        <w:ind w:left="720" w:hanging="720"/>
      </w:pPr>
    </w:p>
    <w:p w:rsidR="000B6526" w:rsidRDefault="000B6526" w:rsidP="000B6526">
      <w:pPr>
        <w:pStyle w:val="BodyText"/>
        <w:ind w:left="720" w:hanging="720"/>
      </w:pPr>
      <w:r>
        <w:t>References:</w:t>
      </w:r>
    </w:p>
    <w:p w:rsidR="000B6526" w:rsidRDefault="000B6526" w:rsidP="000B6526">
      <w:pPr>
        <w:pStyle w:val="BodyText"/>
        <w:ind w:left="720" w:hanging="720"/>
      </w:pPr>
    </w:p>
    <w:p w:rsidR="000B6526" w:rsidRDefault="000B6526" w:rsidP="000B6526">
      <w:pPr>
        <w:pStyle w:val="BodyText"/>
        <w:ind w:left="720" w:hanging="720"/>
      </w:pPr>
      <w:r>
        <w:fldChar w:fldCharType="begin"/>
      </w:r>
      <w:r>
        <w:instrText xml:space="preserve"> ADDIN EN.REFLIST </w:instrText>
      </w:r>
      <w:r>
        <w:fldChar w:fldCharType="separate"/>
      </w:r>
      <w:r>
        <w:t>1.</w:t>
      </w:r>
      <w:r>
        <w:tab/>
        <w:t>Tetzner R, Dietrich D, Distler J. Control of carry-over contamination for PCR-based DNA methylation quantification using bisulfite treated DNA. Nucleic Acids Res 2007;35:e4.</w:t>
      </w:r>
    </w:p>
    <w:p w:rsidR="000B6526" w:rsidRDefault="000B6526" w:rsidP="000B6526">
      <w:pPr>
        <w:pStyle w:val="BodyText"/>
        <w:ind w:left="720" w:hanging="720"/>
        <w:rPr>
          <w:lang w:val="de-DE"/>
        </w:rPr>
      </w:pPr>
    </w:p>
    <w:p w:rsidR="000B6526" w:rsidRDefault="000B6526" w:rsidP="000B6526">
      <w:pPr>
        <w:pStyle w:val="BodyText"/>
        <w:ind w:left="720" w:hanging="720"/>
        <w:rPr>
          <w:lang w:val="de-DE"/>
        </w:rPr>
      </w:pPr>
      <w:r>
        <w:rPr>
          <w:lang w:val="de-DE"/>
        </w:rPr>
        <w:t>2.</w:t>
      </w:r>
      <w:r>
        <w:rPr>
          <w:lang w:val="de-DE"/>
        </w:rPr>
        <w:tab/>
        <w:t xml:space="preserve">Lofton-Day C, Model F, Devos T, Tetzner R, Distler J, Schuster M, et al. </w:t>
      </w:r>
      <w:r>
        <w:t xml:space="preserve">DNA methylation biomarkers for blood-based colorectal cancer screening. </w:t>
      </w:r>
      <w:r>
        <w:rPr>
          <w:lang w:val="de-DE"/>
        </w:rPr>
        <w:t>Clin Chem 2008;54:414-23.</w:t>
      </w:r>
    </w:p>
    <w:p w:rsidR="000B6526" w:rsidRDefault="000B6526" w:rsidP="000B6526">
      <w:pPr>
        <w:pStyle w:val="BodyText"/>
        <w:ind w:left="720" w:hanging="720"/>
        <w:rPr>
          <w:lang w:val="de-DE"/>
        </w:rPr>
      </w:pPr>
    </w:p>
    <w:p w:rsidR="000B6526" w:rsidRDefault="000B6526" w:rsidP="000B6526">
      <w:pPr>
        <w:pStyle w:val="BodyText"/>
        <w:ind w:left="720" w:hanging="720"/>
      </w:pPr>
      <w:r>
        <w:rPr>
          <w:lang w:val="de-DE"/>
        </w:rPr>
        <w:t>3.</w:t>
      </w:r>
      <w:r>
        <w:rPr>
          <w:lang w:val="de-DE"/>
        </w:rPr>
        <w:tab/>
        <w:t xml:space="preserve">Grutzmann R, Molnar B, Pilarsky C, Habermann JK, Schlag PM, Saeger HD, et al. </w:t>
      </w:r>
      <w:r>
        <w:t>Sensitive detection of colorectal cancer in peripheral blood by Septin 9 DNA methylation assay. [Epub ahead of print] Plos One November 20, 2008 as DOI: 10.1371/journal.pone.0003759.</w:t>
      </w:r>
    </w:p>
    <w:p w:rsidR="000B6526" w:rsidRDefault="000B6526" w:rsidP="000B6526">
      <w:pPr>
        <w:pStyle w:val="BodyText"/>
      </w:pPr>
    </w:p>
    <w:p w:rsidR="000B6526" w:rsidRDefault="000B6526" w:rsidP="000B6526">
      <w:pPr>
        <w:pStyle w:val="BodyText"/>
        <w:ind w:left="720" w:hanging="720"/>
      </w:pPr>
      <w:r>
        <w:fldChar w:fldCharType="end"/>
      </w:r>
    </w:p>
    <w:p w:rsidR="00593CFD" w:rsidRDefault="00593CFD"/>
    <w:sectPr w:rsidR="00593CFD" w:rsidSect="006D6F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939B9"/>
    <w:multiLevelType w:val="hybridMultilevel"/>
    <w:tmpl w:val="7160DF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26"/>
    <w:rsid w:val="000B6526"/>
    <w:rsid w:val="0059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D31094-E476-4440-8144-92BF193B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B6526"/>
    <w:rPr>
      <w:rFonts w:ascii="Arial" w:hAnsi="Arial" w:cs="Arial"/>
      <w:sz w:val="22"/>
    </w:rPr>
  </w:style>
  <w:style w:type="character" w:customStyle="1" w:styleId="BodyTextChar">
    <w:name w:val="Body Text Char"/>
    <w:basedOn w:val="DefaultParagraphFont"/>
    <w:link w:val="BodyText"/>
    <w:rsid w:val="000B6526"/>
    <w:rPr>
      <w:rFonts w:ascii="Arial" w:hAnsi="Arial" w:cs="Arial"/>
      <w:sz w:val="22"/>
      <w:szCs w:val="24"/>
    </w:rPr>
  </w:style>
  <w:style w:type="paragraph" w:styleId="BodyText2">
    <w:name w:val="Body Text 2"/>
    <w:basedOn w:val="Normal"/>
    <w:link w:val="BodyText2Char"/>
    <w:rsid w:val="000B6526"/>
    <w:rPr>
      <w:rFonts w:ascii="Arial" w:hAnsi="Arial" w:cs="Arial"/>
      <w:caps/>
      <w:sz w:val="20"/>
      <w:lang w:val="en-GB"/>
    </w:rPr>
  </w:style>
  <w:style w:type="character" w:customStyle="1" w:styleId="BodyText2Char">
    <w:name w:val="Body Text 2 Char"/>
    <w:basedOn w:val="DefaultParagraphFont"/>
    <w:link w:val="BodyText2"/>
    <w:rsid w:val="000B6526"/>
    <w:rPr>
      <w:rFonts w:ascii="Arial" w:hAnsi="Arial" w:cs="Arial"/>
      <w:caps/>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2C940CD8.dotm</Template>
  <TotalTime>3</TotalTime>
  <Pages>4</Pages>
  <Words>2538</Words>
  <Characters>14467</Characters>
  <Application>Microsoft Office Word</Application>
  <DocSecurity>0</DocSecurity>
  <Lines>120</Lines>
  <Paragraphs>33</Paragraphs>
  <ScaleCrop>false</ScaleCrop>
  <Company>MCHS</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2019-05-06T21:41:00Z</dcterms:created>
  <dcterms:modified xsi:type="dcterms:W3CDTF">2019-05-06T21:44:00Z</dcterms:modified>
</cp:coreProperties>
</file>