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C49" w:rsidRPr="005759D1" w:rsidRDefault="00952E95">
      <w:pPr>
        <w:rPr>
          <w:rFonts w:asciiTheme="majorHAnsi" w:hAnsiTheme="majorHAnsi" w:cstheme="majorHAnsi"/>
          <w:b/>
          <w:sz w:val="22"/>
          <w:szCs w:val="22"/>
        </w:rPr>
      </w:pPr>
      <w:r w:rsidRPr="005759D1">
        <w:rPr>
          <w:rFonts w:asciiTheme="majorHAnsi" w:hAnsiTheme="majorHAnsi" w:cstheme="majorHAnsi"/>
          <w:b/>
          <w:sz w:val="22"/>
          <w:szCs w:val="22"/>
        </w:rPr>
        <w:t xml:space="preserve">A. Research Goal: </w:t>
      </w:r>
    </w:p>
    <w:p w:rsidR="00952E95" w:rsidRPr="005759D1" w:rsidRDefault="00952E95">
      <w:pPr>
        <w:rPr>
          <w:rFonts w:asciiTheme="majorHAnsi" w:hAnsiTheme="majorHAnsi" w:cstheme="majorHAnsi"/>
          <w:sz w:val="22"/>
          <w:szCs w:val="22"/>
        </w:rPr>
      </w:pPr>
    </w:p>
    <w:p w:rsidR="00952E95" w:rsidRPr="005759D1" w:rsidRDefault="00952E95">
      <w:pPr>
        <w:rPr>
          <w:rFonts w:asciiTheme="majorHAnsi" w:hAnsiTheme="majorHAnsi" w:cstheme="majorHAnsi"/>
          <w:b/>
          <w:i/>
          <w:sz w:val="22"/>
          <w:szCs w:val="22"/>
        </w:rPr>
      </w:pPr>
      <w:r w:rsidRPr="005759D1">
        <w:rPr>
          <w:rFonts w:asciiTheme="majorHAnsi" w:hAnsiTheme="majorHAnsi" w:cstheme="majorHAnsi"/>
          <w:b/>
          <w:i/>
          <w:sz w:val="22"/>
          <w:szCs w:val="22"/>
        </w:rPr>
        <w:t>Statement of the problem:</w:t>
      </w:r>
    </w:p>
    <w:p w:rsidR="0056249C" w:rsidRPr="005759D1" w:rsidRDefault="00684FD6">
      <w:pPr>
        <w:rPr>
          <w:rFonts w:asciiTheme="majorHAnsi" w:hAnsiTheme="majorHAnsi" w:cstheme="majorHAnsi"/>
          <w:sz w:val="22"/>
          <w:szCs w:val="22"/>
        </w:rPr>
      </w:pPr>
      <w:r w:rsidRPr="005759D1">
        <w:rPr>
          <w:rFonts w:asciiTheme="majorHAnsi" w:hAnsiTheme="majorHAnsi" w:cstheme="majorHAnsi"/>
          <w:sz w:val="22"/>
          <w:szCs w:val="22"/>
        </w:rPr>
        <w:t>Post-</w:t>
      </w:r>
      <w:r w:rsidR="00641C49" w:rsidRPr="005759D1">
        <w:rPr>
          <w:rFonts w:asciiTheme="majorHAnsi" w:hAnsiTheme="majorHAnsi" w:cstheme="majorHAnsi"/>
          <w:sz w:val="22"/>
          <w:szCs w:val="22"/>
        </w:rPr>
        <w:t>operative atrial fibrillation (POAF) remains a persistent</w:t>
      </w:r>
      <w:r w:rsidR="005A5025" w:rsidRPr="005759D1">
        <w:rPr>
          <w:rFonts w:asciiTheme="majorHAnsi" w:hAnsiTheme="majorHAnsi" w:cstheme="majorHAnsi"/>
          <w:sz w:val="22"/>
          <w:szCs w:val="22"/>
        </w:rPr>
        <w:t>, serious</w:t>
      </w:r>
      <w:r w:rsidR="00641C49" w:rsidRPr="005759D1">
        <w:rPr>
          <w:rFonts w:asciiTheme="majorHAnsi" w:hAnsiTheme="majorHAnsi" w:cstheme="majorHAnsi"/>
          <w:sz w:val="22"/>
          <w:szCs w:val="22"/>
        </w:rPr>
        <w:t xml:space="preserve"> complication following </w:t>
      </w:r>
      <w:r w:rsidR="007C516C" w:rsidRPr="005759D1">
        <w:rPr>
          <w:rFonts w:asciiTheme="majorHAnsi" w:hAnsiTheme="majorHAnsi" w:cstheme="majorHAnsi"/>
          <w:sz w:val="22"/>
          <w:szCs w:val="22"/>
        </w:rPr>
        <w:t xml:space="preserve">both on and off pump </w:t>
      </w:r>
      <w:r w:rsidR="00641C49" w:rsidRPr="005759D1">
        <w:rPr>
          <w:rFonts w:asciiTheme="majorHAnsi" w:hAnsiTheme="majorHAnsi" w:cstheme="majorHAnsi"/>
          <w:sz w:val="22"/>
          <w:szCs w:val="22"/>
        </w:rPr>
        <w:t>coronary artery angiography grafting (CABG) with reporte</w:t>
      </w:r>
      <w:r w:rsidR="005A3FCE" w:rsidRPr="005759D1">
        <w:rPr>
          <w:rFonts w:asciiTheme="majorHAnsi" w:hAnsiTheme="majorHAnsi" w:cstheme="majorHAnsi"/>
          <w:sz w:val="22"/>
          <w:szCs w:val="22"/>
        </w:rPr>
        <w:t>d incidence ranging between 10-5</w:t>
      </w:r>
      <w:r w:rsidR="00641C49" w:rsidRPr="005759D1">
        <w:rPr>
          <w:rFonts w:asciiTheme="majorHAnsi" w:hAnsiTheme="majorHAnsi" w:cstheme="majorHAnsi"/>
          <w:sz w:val="22"/>
          <w:szCs w:val="22"/>
        </w:rPr>
        <w:t>0% (</w:t>
      </w:r>
      <w:r w:rsidR="00F91CFD" w:rsidRPr="005759D1">
        <w:rPr>
          <w:rFonts w:asciiTheme="majorHAnsi" w:hAnsiTheme="majorHAnsi" w:cstheme="majorHAnsi"/>
          <w:color w:val="FF0000"/>
          <w:sz w:val="22"/>
          <w:szCs w:val="22"/>
        </w:rPr>
        <w:t>1,2</w:t>
      </w:r>
      <w:r w:rsidR="00641C49" w:rsidRPr="005759D1">
        <w:rPr>
          <w:rFonts w:asciiTheme="majorHAnsi" w:hAnsiTheme="majorHAnsi" w:cstheme="majorHAnsi"/>
          <w:sz w:val="22"/>
          <w:szCs w:val="22"/>
        </w:rPr>
        <w:t xml:space="preserve">).  </w:t>
      </w:r>
      <w:r w:rsidRPr="005759D1">
        <w:rPr>
          <w:rFonts w:asciiTheme="majorHAnsi" w:hAnsiTheme="majorHAnsi" w:cstheme="majorHAnsi"/>
          <w:sz w:val="22"/>
          <w:szCs w:val="22"/>
        </w:rPr>
        <w:t>POAF may be self-</w:t>
      </w:r>
      <w:r w:rsidR="007F5100" w:rsidRPr="005759D1">
        <w:rPr>
          <w:rFonts w:asciiTheme="majorHAnsi" w:hAnsiTheme="majorHAnsi" w:cstheme="majorHAnsi"/>
          <w:sz w:val="22"/>
          <w:szCs w:val="22"/>
        </w:rPr>
        <w:t xml:space="preserve">limited or become permanent, but is clinically significant because it places affected </w:t>
      </w:r>
      <w:r w:rsidR="005A5025" w:rsidRPr="005759D1">
        <w:rPr>
          <w:rFonts w:asciiTheme="majorHAnsi" w:hAnsiTheme="majorHAnsi" w:cstheme="majorHAnsi"/>
          <w:sz w:val="22"/>
          <w:szCs w:val="22"/>
        </w:rPr>
        <w:t>individuals</w:t>
      </w:r>
      <w:r w:rsidR="007F5100" w:rsidRPr="005759D1">
        <w:rPr>
          <w:rFonts w:asciiTheme="majorHAnsi" w:hAnsiTheme="majorHAnsi" w:cstheme="majorHAnsi"/>
          <w:sz w:val="22"/>
          <w:szCs w:val="22"/>
        </w:rPr>
        <w:t xml:space="preserve"> at increased risk for hemodynamic instability and thromboembolic events</w:t>
      </w:r>
      <w:r w:rsidR="000D7605" w:rsidRPr="005759D1">
        <w:rPr>
          <w:rFonts w:asciiTheme="majorHAnsi" w:hAnsiTheme="majorHAnsi" w:cstheme="majorHAnsi"/>
          <w:sz w:val="22"/>
          <w:szCs w:val="22"/>
        </w:rPr>
        <w:t xml:space="preserve"> and </w:t>
      </w:r>
      <w:r w:rsidR="007F5100" w:rsidRPr="005759D1">
        <w:rPr>
          <w:rFonts w:asciiTheme="majorHAnsi" w:hAnsiTheme="majorHAnsi" w:cstheme="majorHAnsi"/>
          <w:sz w:val="22"/>
          <w:szCs w:val="22"/>
        </w:rPr>
        <w:t xml:space="preserve">contributes </w:t>
      </w:r>
      <w:bookmarkStart w:id="0" w:name="_GoBack"/>
      <w:bookmarkEnd w:id="0"/>
      <w:r w:rsidR="007F5100" w:rsidRPr="005759D1">
        <w:rPr>
          <w:rFonts w:asciiTheme="majorHAnsi" w:hAnsiTheme="majorHAnsi" w:cstheme="majorHAnsi"/>
          <w:sz w:val="22"/>
          <w:szCs w:val="22"/>
        </w:rPr>
        <w:t>significant</w:t>
      </w:r>
      <w:r w:rsidR="000D7605" w:rsidRPr="005759D1">
        <w:rPr>
          <w:rFonts w:asciiTheme="majorHAnsi" w:hAnsiTheme="majorHAnsi" w:cstheme="majorHAnsi"/>
          <w:sz w:val="22"/>
          <w:szCs w:val="22"/>
        </w:rPr>
        <w:t xml:space="preserve">ly </w:t>
      </w:r>
      <w:r w:rsidR="005A5025" w:rsidRPr="005759D1">
        <w:rPr>
          <w:rFonts w:asciiTheme="majorHAnsi" w:hAnsiTheme="majorHAnsi" w:cstheme="majorHAnsi"/>
          <w:sz w:val="22"/>
          <w:szCs w:val="22"/>
        </w:rPr>
        <w:t>to longer</w:t>
      </w:r>
      <w:r w:rsidR="000D7605" w:rsidRPr="005759D1">
        <w:rPr>
          <w:rFonts w:asciiTheme="majorHAnsi" w:hAnsiTheme="majorHAnsi" w:cstheme="majorHAnsi"/>
          <w:sz w:val="22"/>
          <w:szCs w:val="22"/>
        </w:rPr>
        <w:t xml:space="preserve"> hospital stays and increas</w:t>
      </w:r>
      <w:r w:rsidR="005A5025" w:rsidRPr="005759D1">
        <w:rPr>
          <w:rFonts w:asciiTheme="majorHAnsi" w:hAnsiTheme="majorHAnsi" w:cstheme="majorHAnsi"/>
          <w:sz w:val="22"/>
          <w:szCs w:val="22"/>
        </w:rPr>
        <w:t>ed healthcare costs</w:t>
      </w:r>
      <w:r w:rsidR="000D7605" w:rsidRPr="005759D1">
        <w:rPr>
          <w:rFonts w:asciiTheme="majorHAnsi" w:hAnsiTheme="majorHAnsi" w:cstheme="majorHAnsi"/>
          <w:sz w:val="22"/>
          <w:szCs w:val="22"/>
        </w:rPr>
        <w:t>. (</w:t>
      </w:r>
      <w:r w:rsidR="00F91CFD" w:rsidRPr="005759D1">
        <w:rPr>
          <w:rFonts w:asciiTheme="majorHAnsi" w:hAnsiTheme="majorHAnsi" w:cstheme="majorHAnsi"/>
          <w:color w:val="FF0000"/>
          <w:sz w:val="22"/>
          <w:szCs w:val="22"/>
        </w:rPr>
        <w:t>3</w:t>
      </w:r>
      <w:r w:rsidR="000D7605" w:rsidRPr="005759D1">
        <w:rPr>
          <w:rFonts w:asciiTheme="majorHAnsi" w:hAnsiTheme="majorHAnsi" w:cstheme="majorHAnsi"/>
          <w:sz w:val="22"/>
          <w:szCs w:val="22"/>
        </w:rPr>
        <w:t>)</w:t>
      </w:r>
      <w:r w:rsidR="00641C49" w:rsidRPr="005759D1">
        <w:rPr>
          <w:rFonts w:asciiTheme="majorHAnsi" w:hAnsiTheme="majorHAnsi" w:cstheme="majorHAnsi"/>
          <w:sz w:val="22"/>
          <w:szCs w:val="22"/>
        </w:rPr>
        <w:t xml:space="preserve"> </w:t>
      </w:r>
      <w:r w:rsidR="000D7605" w:rsidRPr="005759D1">
        <w:rPr>
          <w:rFonts w:asciiTheme="majorHAnsi" w:hAnsiTheme="majorHAnsi" w:cstheme="majorHAnsi"/>
          <w:sz w:val="22"/>
          <w:szCs w:val="22"/>
        </w:rPr>
        <w:t xml:space="preserve"> Mechanisms supporting emergence of POAF appear to be relatively complex and a genetic component has been implicated due to its incidence in </w:t>
      </w:r>
      <w:r w:rsidR="005A5025" w:rsidRPr="005759D1">
        <w:rPr>
          <w:rFonts w:asciiTheme="majorHAnsi" w:hAnsiTheme="majorHAnsi" w:cstheme="majorHAnsi"/>
          <w:sz w:val="22"/>
          <w:szCs w:val="22"/>
        </w:rPr>
        <w:t xml:space="preserve">both </w:t>
      </w:r>
      <w:r w:rsidR="000D7605" w:rsidRPr="005759D1">
        <w:rPr>
          <w:rFonts w:asciiTheme="majorHAnsi" w:hAnsiTheme="majorHAnsi" w:cstheme="majorHAnsi"/>
          <w:sz w:val="22"/>
          <w:szCs w:val="22"/>
        </w:rPr>
        <w:t xml:space="preserve">patients with a family history, </w:t>
      </w:r>
      <w:r w:rsidR="005A5025" w:rsidRPr="005759D1">
        <w:rPr>
          <w:rFonts w:asciiTheme="majorHAnsi" w:hAnsiTheme="majorHAnsi" w:cstheme="majorHAnsi"/>
          <w:sz w:val="22"/>
          <w:szCs w:val="22"/>
        </w:rPr>
        <w:t>and as</w:t>
      </w:r>
      <w:r w:rsidR="00BA16A0" w:rsidRPr="005759D1">
        <w:rPr>
          <w:rFonts w:asciiTheme="majorHAnsi" w:hAnsiTheme="majorHAnsi" w:cstheme="majorHAnsi"/>
          <w:sz w:val="22"/>
          <w:szCs w:val="22"/>
        </w:rPr>
        <w:t xml:space="preserve"> ‘lone AF’ in patients with an absence of family history or risk factors</w:t>
      </w:r>
      <w:r w:rsidR="000D7605" w:rsidRPr="005759D1">
        <w:rPr>
          <w:rFonts w:asciiTheme="majorHAnsi" w:hAnsiTheme="majorHAnsi" w:cstheme="majorHAnsi"/>
          <w:sz w:val="22"/>
          <w:szCs w:val="22"/>
        </w:rPr>
        <w:t xml:space="preserve">.  While risk indices for onset of </w:t>
      </w:r>
      <w:r w:rsidR="005A5025" w:rsidRPr="005759D1">
        <w:rPr>
          <w:rFonts w:asciiTheme="majorHAnsi" w:hAnsiTheme="majorHAnsi" w:cstheme="majorHAnsi"/>
          <w:sz w:val="22"/>
          <w:szCs w:val="22"/>
        </w:rPr>
        <w:t xml:space="preserve">POAF </w:t>
      </w:r>
      <w:r w:rsidR="000D7605" w:rsidRPr="005759D1">
        <w:rPr>
          <w:rFonts w:asciiTheme="majorHAnsi" w:hAnsiTheme="majorHAnsi" w:cstheme="majorHAnsi"/>
          <w:sz w:val="22"/>
          <w:szCs w:val="22"/>
        </w:rPr>
        <w:t xml:space="preserve"> have been created</w:t>
      </w:r>
      <w:r w:rsidR="007E21A0" w:rsidRPr="005759D1">
        <w:rPr>
          <w:rFonts w:asciiTheme="majorHAnsi" w:hAnsiTheme="majorHAnsi" w:cstheme="majorHAnsi"/>
          <w:sz w:val="22"/>
          <w:szCs w:val="22"/>
        </w:rPr>
        <w:t>,</w:t>
      </w:r>
      <w:r w:rsidR="000D7605" w:rsidRPr="005759D1">
        <w:rPr>
          <w:rFonts w:asciiTheme="majorHAnsi" w:hAnsiTheme="majorHAnsi" w:cstheme="majorHAnsi"/>
          <w:sz w:val="22"/>
          <w:szCs w:val="22"/>
        </w:rPr>
        <w:t xml:space="preserve"> </w:t>
      </w:r>
      <w:r w:rsidR="005A5025" w:rsidRPr="005759D1">
        <w:rPr>
          <w:rFonts w:asciiTheme="majorHAnsi" w:hAnsiTheme="majorHAnsi" w:cstheme="majorHAnsi"/>
          <w:sz w:val="22"/>
          <w:szCs w:val="22"/>
        </w:rPr>
        <w:t xml:space="preserve">to date, </w:t>
      </w:r>
      <w:r w:rsidR="007E21A0" w:rsidRPr="005759D1">
        <w:rPr>
          <w:rFonts w:asciiTheme="majorHAnsi" w:hAnsiTheme="majorHAnsi" w:cstheme="majorHAnsi"/>
          <w:sz w:val="22"/>
          <w:szCs w:val="22"/>
        </w:rPr>
        <w:t xml:space="preserve">no </w:t>
      </w:r>
      <w:r w:rsidR="005A5025" w:rsidRPr="005759D1">
        <w:rPr>
          <w:rFonts w:asciiTheme="majorHAnsi" w:hAnsiTheme="majorHAnsi" w:cstheme="majorHAnsi"/>
          <w:sz w:val="22"/>
          <w:szCs w:val="22"/>
        </w:rPr>
        <w:t xml:space="preserve">panel of </w:t>
      </w:r>
      <w:r w:rsidR="00BA16A0" w:rsidRPr="005759D1">
        <w:rPr>
          <w:rFonts w:asciiTheme="majorHAnsi" w:hAnsiTheme="majorHAnsi" w:cstheme="majorHAnsi"/>
          <w:sz w:val="22"/>
          <w:szCs w:val="22"/>
        </w:rPr>
        <w:t xml:space="preserve">biological markers </w:t>
      </w:r>
      <w:r w:rsidR="007E21A0" w:rsidRPr="005759D1">
        <w:rPr>
          <w:rFonts w:asciiTheme="majorHAnsi" w:hAnsiTheme="majorHAnsi" w:cstheme="majorHAnsi"/>
          <w:sz w:val="22"/>
          <w:szCs w:val="22"/>
        </w:rPr>
        <w:t xml:space="preserve">for screening patients at risk for POAF </w:t>
      </w:r>
      <w:r w:rsidR="00BA16A0" w:rsidRPr="005759D1">
        <w:rPr>
          <w:rFonts w:asciiTheme="majorHAnsi" w:hAnsiTheme="majorHAnsi" w:cstheme="majorHAnsi"/>
          <w:sz w:val="22"/>
          <w:szCs w:val="22"/>
        </w:rPr>
        <w:t xml:space="preserve">have been </w:t>
      </w:r>
      <w:r w:rsidR="007E21A0" w:rsidRPr="005759D1">
        <w:rPr>
          <w:rFonts w:asciiTheme="majorHAnsi" w:hAnsiTheme="majorHAnsi" w:cstheme="majorHAnsi"/>
          <w:sz w:val="22"/>
          <w:szCs w:val="22"/>
        </w:rPr>
        <w:t>developed</w:t>
      </w:r>
      <w:r w:rsidR="00BA16A0" w:rsidRPr="005759D1">
        <w:rPr>
          <w:rFonts w:asciiTheme="majorHAnsi" w:hAnsiTheme="majorHAnsi" w:cstheme="majorHAnsi"/>
          <w:sz w:val="22"/>
          <w:szCs w:val="22"/>
        </w:rPr>
        <w:t xml:space="preserve"> </w:t>
      </w:r>
      <w:r w:rsidR="005A5025" w:rsidRPr="005759D1">
        <w:rPr>
          <w:rFonts w:asciiTheme="majorHAnsi" w:hAnsiTheme="majorHAnsi" w:cstheme="majorHAnsi"/>
          <w:sz w:val="22"/>
          <w:szCs w:val="22"/>
        </w:rPr>
        <w:t>for clinical application</w:t>
      </w:r>
      <w:r w:rsidR="0056249C" w:rsidRPr="005759D1">
        <w:rPr>
          <w:rFonts w:asciiTheme="majorHAnsi" w:hAnsiTheme="majorHAnsi" w:cstheme="majorHAnsi"/>
          <w:sz w:val="22"/>
          <w:szCs w:val="22"/>
        </w:rPr>
        <w:t xml:space="preserve">. </w:t>
      </w:r>
      <w:r w:rsidR="007E21A0" w:rsidRPr="005759D1">
        <w:rPr>
          <w:rFonts w:asciiTheme="majorHAnsi" w:hAnsiTheme="majorHAnsi" w:cstheme="majorHAnsi"/>
          <w:sz w:val="22"/>
          <w:szCs w:val="22"/>
        </w:rPr>
        <w:t xml:space="preserve"> The overarching goal of this study is to develop a panel of biomarkers </w:t>
      </w:r>
      <w:r w:rsidR="005A5025" w:rsidRPr="005759D1">
        <w:rPr>
          <w:rFonts w:asciiTheme="majorHAnsi" w:hAnsiTheme="majorHAnsi" w:cstheme="majorHAnsi"/>
          <w:sz w:val="22"/>
          <w:szCs w:val="22"/>
        </w:rPr>
        <w:t>for risk prediction relative to</w:t>
      </w:r>
      <w:r w:rsidR="007E21A0" w:rsidRPr="005759D1">
        <w:rPr>
          <w:rFonts w:asciiTheme="majorHAnsi" w:hAnsiTheme="majorHAnsi" w:cstheme="majorHAnsi"/>
          <w:sz w:val="22"/>
          <w:szCs w:val="22"/>
        </w:rPr>
        <w:t xml:space="preserve"> POAF</w:t>
      </w:r>
      <w:r w:rsidR="005A5025" w:rsidRPr="005759D1">
        <w:rPr>
          <w:rFonts w:asciiTheme="majorHAnsi" w:hAnsiTheme="majorHAnsi" w:cstheme="majorHAnsi"/>
          <w:sz w:val="22"/>
          <w:szCs w:val="22"/>
        </w:rPr>
        <w:t xml:space="preserve"> which can be used to screen and identify at-risk patients</w:t>
      </w:r>
      <w:r w:rsidR="007E21A0" w:rsidRPr="005759D1">
        <w:rPr>
          <w:rFonts w:asciiTheme="majorHAnsi" w:hAnsiTheme="majorHAnsi" w:cstheme="majorHAnsi"/>
          <w:sz w:val="22"/>
          <w:szCs w:val="22"/>
        </w:rPr>
        <w:t xml:space="preserve"> prior to undergoing CABG</w:t>
      </w:r>
      <w:r w:rsidR="005A5025" w:rsidRPr="005759D1">
        <w:rPr>
          <w:rFonts w:asciiTheme="majorHAnsi" w:hAnsiTheme="majorHAnsi" w:cstheme="majorHAnsi"/>
          <w:sz w:val="22"/>
          <w:szCs w:val="22"/>
        </w:rPr>
        <w:t xml:space="preserve"> procedures</w:t>
      </w:r>
      <w:r w:rsidR="007E21A0" w:rsidRPr="005759D1">
        <w:rPr>
          <w:rFonts w:asciiTheme="majorHAnsi" w:hAnsiTheme="majorHAnsi" w:cstheme="majorHAnsi"/>
          <w:sz w:val="22"/>
          <w:szCs w:val="22"/>
        </w:rPr>
        <w:t xml:space="preserve">. </w:t>
      </w:r>
    </w:p>
    <w:p w:rsidR="0056249C" w:rsidRPr="005759D1" w:rsidRDefault="0056249C">
      <w:pPr>
        <w:rPr>
          <w:rFonts w:asciiTheme="majorHAnsi" w:hAnsiTheme="majorHAnsi" w:cstheme="majorHAnsi"/>
          <w:sz w:val="22"/>
          <w:szCs w:val="22"/>
        </w:rPr>
      </w:pPr>
    </w:p>
    <w:p w:rsidR="00952E95" w:rsidRPr="005759D1" w:rsidRDefault="00952E95">
      <w:pPr>
        <w:rPr>
          <w:rFonts w:asciiTheme="majorHAnsi" w:hAnsiTheme="majorHAnsi" w:cstheme="majorHAnsi"/>
          <w:b/>
          <w:i/>
          <w:sz w:val="22"/>
          <w:szCs w:val="22"/>
        </w:rPr>
      </w:pPr>
      <w:r w:rsidRPr="005759D1">
        <w:rPr>
          <w:rFonts w:asciiTheme="majorHAnsi" w:hAnsiTheme="majorHAnsi" w:cstheme="majorHAnsi"/>
          <w:b/>
          <w:i/>
          <w:sz w:val="22"/>
          <w:szCs w:val="22"/>
        </w:rPr>
        <w:t>Study Goal</w:t>
      </w:r>
    </w:p>
    <w:p w:rsidR="00641C49" w:rsidRPr="005759D1" w:rsidRDefault="007E21A0">
      <w:pPr>
        <w:rPr>
          <w:rFonts w:asciiTheme="majorHAnsi" w:hAnsiTheme="majorHAnsi" w:cstheme="majorHAnsi"/>
          <w:sz w:val="22"/>
          <w:szCs w:val="22"/>
        </w:rPr>
      </w:pPr>
      <w:r w:rsidRPr="005759D1">
        <w:rPr>
          <w:rFonts w:asciiTheme="majorHAnsi" w:hAnsiTheme="majorHAnsi" w:cstheme="majorHAnsi"/>
          <w:sz w:val="22"/>
          <w:szCs w:val="22"/>
        </w:rPr>
        <w:t>MicroRNAs (miRNA) are</w:t>
      </w:r>
      <w:r w:rsidR="0056249C" w:rsidRPr="005759D1">
        <w:rPr>
          <w:rFonts w:asciiTheme="majorHAnsi" w:hAnsiTheme="majorHAnsi" w:cstheme="majorHAnsi"/>
          <w:sz w:val="22"/>
          <w:szCs w:val="22"/>
        </w:rPr>
        <w:t xml:space="preserve"> </w:t>
      </w:r>
      <w:r w:rsidR="005A3FCE" w:rsidRPr="005759D1">
        <w:rPr>
          <w:rFonts w:asciiTheme="majorHAnsi" w:hAnsiTheme="majorHAnsi" w:cstheme="majorHAnsi"/>
          <w:sz w:val="22"/>
          <w:szCs w:val="22"/>
        </w:rPr>
        <w:t xml:space="preserve">a </w:t>
      </w:r>
      <w:r w:rsidR="0056249C" w:rsidRPr="005759D1">
        <w:rPr>
          <w:rFonts w:asciiTheme="majorHAnsi" w:hAnsiTheme="majorHAnsi" w:cstheme="majorHAnsi"/>
          <w:sz w:val="22"/>
          <w:szCs w:val="22"/>
        </w:rPr>
        <w:t xml:space="preserve">promising new class of biomarkers with potential for </w:t>
      </w:r>
      <w:r w:rsidR="0028121D" w:rsidRPr="005759D1">
        <w:rPr>
          <w:rFonts w:asciiTheme="majorHAnsi" w:hAnsiTheme="majorHAnsi" w:cstheme="majorHAnsi"/>
          <w:sz w:val="22"/>
          <w:szCs w:val="22"/>
        </w:rPr>
        <w:t xml:space="preserve">predicting </w:t>
      </w:r>
      <w:r w:rsidR="0056249C" w:rsidRPr="005759D1">
        <w:rPr>
          <w:rFonts w:asciiTheme="majorHAnsi" w:hAnsiTheme="majorHAnsi" w:cstheme="majorHAnsi"/>
          <w:sz w:val="22"/>
          <w:szCs w:val="22"/>
        </w:rPr>
        <w:t xml:space="preserve">disease </w:t>
      </w:r>
      <w:r w:rsidR="0028121D" w:rsidRPr="005759D1">
        <w:rPr>
          <w:rFonts w:asciiTheme="majorHAnsi" w:hAnsiTheme="majorHAnsi" w:cstheme="majorHAnsi"/>
          <w:sz w:val="22"/>
          <w:szCs w:val="22"/>
        </w:rPr>
        <w:t>onset and</w:t>
      </w:r>
      <w:r w:rsidR="0056249C" w:rsidRPr="005759D1">
        <w:rPr>
          <w:rFonts w:asciiTheme="majorHAnsi" w:hAnsiTheme="majorHAnsi" w:cstheme="majorHAnsi"/>
          <w:sz w:val="22"/>
          <w:szCs w:val="22"/>
        </w:rPr>
        <w:t xml:space="preserve"> outcome.  These molecules are small</w:t>
      </w:r>
      <w:r w:rsidR="008F1F53" w:rsidRPr="005759D1">
        <w:rPr>
          <w:rFonts w:asciiTheme="majorHAnsi" w:hAnsiTheme="majorHAnsi" w:cstheme="majorHAnsi"/>
          <w:sz w:val="22"/>
          <w:szCs w:val="22"/>
        </w:rPr>
        <w:t>,</w:t>
      </w:r>
      <w:r w:rsidR="0056249C" w:rsidRPr="005759D1">
        <w:rPr>
          <w:rFonts w:asciiTheme="majorHAnsi" w:hAnsiTheme="majorHAnsi" w:cstheme="majorHAnsi"/>
          <w:sz w:val="22"/>
          <w:szCs w:val="22"/>
        </w:rPr>
        <w:t xml:space="preserve"> stable</w:t>
      </w:r>
      <w:r w:rsidR="008F1F53" w:rsidRPr="005759D1">
        <w:rPr>
          <w:rFonts w:asciiTheme="majorHAnsi" w:hAnsiTheme="majorHAnsi" w:cstheme="majorHAnsi"/>
          <w:sz w:val="22"/>
          <w:szCs w:val="22"/>
        </w:rPr>
        <w:t>, non-</w:t>
      </w:r>
      <w:r w:rsidR="0056249C" w:rsidRPr="005759D1">
        <w:rPr>
          <w:rFonts w:asciiTheme="majorHAnsi" w:hAnsiTheme="majorHAnsi" w:cstheme="majorHAnsi"/>
          <w:sz w:val="22"/>
          <w:szCs w:val="22"/>
        </w:rPr>
        <w:t>coding RNAs which play a critical role in regulation of gene expressions in a variety of biochemical pathways.</w:t>
      </w:r>
      <w:r w:rsidR="00CE6687" w:rsidRPr="005759D1">
        <w:rPr>
          <w:rFonts w:asciiTheme="majorHAnsi" w:hAnsiTheme="majorHAnsi" w:cstheme="majorHAnsi"/>
          <w:sz w:val="22"/>
          <w:szCs w:val="22"/>
        </w:rPr>
        <w:t xml:space="preserve"> (</w:t>
      </w:r>
      <w:r w:rsidR="00F91CFD" w:rsidRPr="005759D1">
        <w:rPr>
          <w:rFonts w:asciiTheme="majorHAnsi" w:hAnsiTheme="majorHAnsi" w:cstheme="majorHAnsi"/>
          <w:color w:val="FF0000"/>
          <w:sz w:val="22"/>
          <w:szCs w:val="22"/>
        </w:rPr>
        <w:t>4</w:t>
      </w:r>
      <w:r w:rsidR="00CE6687" w:rsidRPr="005759D1">
        <w:rPr>
          <w:rFonts w:asciiTheme="majorHAnsi" w:hAnsiTheme="majorHAnsi" w:cstheme="majorHAnsi"/>
          <w:sz w:val="22"/>
          <w:szCs w:val="22"/>
        </w:rPr>
        <w:t>)</w:t>
      </w:r>
      <w:r w:rsidR="0056249C" w:rsidRPr="005759D1">
        <w:rPr>
          <w:rFonts w:asciiTheme="majorHAnsi" w:hAnsiTheme="majorHAnsi" w:cstheme="majorHAnsi"/>
          <w:sz w:val="22"/>
          <w:szCs w:val="22"/>
        </w:rPr>
        <w:t xml:space="preserve">  Importantly, </w:t>
      </w:r>
      <w:r w:rsidR="008F1F53" w:rsidRPr="005759D1">
        <w:rPr>
          <w:rFonts w:asciiTheme="majorHAnsi" w:hAnsiTheme="majorHAnsi" w:cstheme="majorHAnsi"/>
          <w:sz w:val="22"/>
          <w:szCs w:val="22"/>
        </w:rPr>
        <w:t>miRNA</w:t>
      </w:r>
      <w:r w:rsidR="0056249C" w:rsidRPr="005759D1">
        <w:rPr>
          <w:rFonts w:asciiTheme="majorHAnsi" w:hAnsiTheme="majorHAnsi" w:cstheme="majorHAnsi"/>
          <w:sz w:val="22"/>
          <w:szCs w:val="22"/>
        </w:rPr>
        <w:t xml:space="preserve"> are stable in serum and up and down regulation of these markers can be reliably measured.  A 2005 study by </w:t>
      </w:r>
      <w:r w:rsidR="00BA16A0" w:rsidRPr="005759D1">
        <w:rPr>
          <w:rFonts w:asciiTheme="majorHAnsi" w:hAnsiTheme="majorHAnsi" w:cstheme="majorHAnsi"/>
          <w:sz w:val="22"/>
          <w:szCs w:val="22"/>
        </w:rPr>
        <w:t xml:space="preserve">Barth </w:t>
      </w:r>
      <w:r w:rsidR="00BA16A0" w:rsidRPr="005759D1">
        <w:rPr>
          <w:rFonts w:asciiTheme="majorHAnsi" w:hAnsiTheme="majorHAnsi" w:cstheme="majorHAnsi"/>
          <w:i/>
          <w:sz w:val="22"/>
          <w:szCs w:val="22"/>
        </w:rPr>
        <w:t>et al</w:t>
      </w:r>
      <w:r w:rsidR="00BA16A0" w:rsidRPr="005759D1">
        <w:rPr>
          <w:rFonts w:asciiTheme="majorHAnsi" w:hAnsiTheme="majorHAnsi" w:cstheme="majorHAnsi"/>
          <w:sz w:val="22"/>
          <w:szCs w:val="22"/>
        </w:rPr>
        <w:t xml:space="preserve"> </w:t>
      </w:r>
      <w:r w:rsidR="0056249C" w:rsidRPr="005759D1">
        <w:rPr>
          <w:rFonts w:asciiTheme="majorHAnsi" w:hAnsiTheme="majorHAnsi" w:cstheme="majorHAnsi"/>
          <w:sz w:val="22"/>
          <w:szCs w:val="22"/>
        </w:rPr>
        <w:t xml:space="preserve">undertook a </w:t>
      </w:r>
      <w:r w:rsidR="00E95120" w:rsidRPr="005759D1">
        <w:rPr>
          <w:rFonts w:asciiTheme="majorHAnsi" w:hAnsiTheme="majorHAnsi" w:cstheme="majorHAnsi"/>
          <w:sz w:val="22"/>
          <w:szCs w:val="22"/>
        </w:rPr>
        <w:t xml:space="preserve">study of tissue specimens of right atrial appendages from patients undergoing open heart surgery or CABG and compared </w:t>
      </w:r>
      <w:r w:rsidR="00BB7C39" w:rsidRPr="005759D1">
        <w:rPr>
          <w:rFonts w:asciiTheme="majorHAnsi" w:hAnsiTheme="majorHAnsi" w:cstheme="majorHAnsi"/>
          <w:sz w:val="22"/>
          <w:szCs w:val="22"/>
        </w:rPr>
        <w:t xml:space="preserve">mRNA </w:t>
      </w:r>
      <w:r w:rsidR="00E95120" w:rsidRPr="005759D1">
        <w:rPr>
          <w:rFonts w:asciiTheme="majorHAnsi" w:hAnsiTheme="majorHAnsi" w:cstheme="majorHAnsi"/>
          <w:sz w:val="22"/>
          <w:szCs w:val="22"/>
        </w:rPr>
        <w:t>expression patterns at a transcriptome level among patients who did and did not develop POAF.  These authors reported differences among expression patterns in 1434 genes, noting up and down regulation of 452 and 982 gene</w:t>
      </w:r>
      <w:r w:rsidR="008F1F53" w:rsidRPr="005759D1">
        <w:rPr>
          <w:rFonts w:asciiTheme="majorHAnsi" w:hAnsiTheme="majorHAnsi" w:cstheme="majorHAnsi"/>
          <w:sz w:val="22"/>
          <w:szCs w:val="22"/>
        </w:rPr>
        <w:t>s,</w:t>
      </w:r>
      <w:r w:rsidR="00E95120" w:rsidRPr="005759D1">
        <w:rPr>
          <w:rFonts w:asciiTheme="majorHAnsi" w:hAnsiTheme="majorHAnsi" w:cstheme="majorHAnsi"/>
          <w:sz w:val="22"/>
          <w:szCs w:val="22"/>
        </w:rPr>
        <w:t xml:space="preserve"> respectively, in patients who developed POAF compared to patients who </w:t>
      </w:r>
      <w:r w:rsidR="008F1F53" w:rsidRPr="005759D1">
        <w:rPr>
          <w:rFonts w:asciiTheme="majorHAnsi" w:hAnsiTheme="majorHAnsi" w:cstheme="majorHAnsi"/>
          <w:sz w:val="22"/>
          <w:szCs w:val="22"/>
        </w:rPr>
        <w:t>remained in</w:t>
      </w:r>
      <w:r w:rsidR="00E95120" w:rsidRPr="005759D1">
        <w:rPr>
          <w:rFonts w:asciiTheme="majorHAnsi" w:hAnsiTheme="majorHAnsi" w:cstheme="majorHAnsi"/>
          <w:sz w:val="22"/>
          <w:szCs w:val="22"/>
        </w:rPr>
        <w:t xml:space="preserve"> normal sinus rhythm</w:t>
      </w:r>
      <w:r w:rsidR="00CE6687" w:rsidRPr="005759D1">
        <w:rPr>
          <w:rFonts w:asciiTheme="majorHAnsi" w:hAnsiTheme="majorHAnsi" w:cstheme="majorHAnsi"/>
          <w:sz w:val="22"/>
          <w:szCs w:val="22"/>
        </w:rPr>
        <w:t>. (</w:t>
      </w:r>
      <w:r w:rsidR="00F91CFD" w:rsidRPr="005759D1">
        <w:rPr>
          <w:rFonts w:asciiTheme="majorHAnsi" w:hAnsiTheme="majorHAnsi" w:cstheme="majorHAnsi"/>
          <w:color w:val="FF0000"/>
          <w:sz w:val="22"/>
          <w:szCs w:val="22"/>
        </w:rPr>
        <w:t>5</w:t>
      </w:r>
      <w:r w:rsidR="00E95120" w:rsidRPr="005759D1">
        <w:rPr>
          <w:rFonts w:asciiTheme="majorHAnsi" w:hAnsiTheme="majorHAnsi" w:cstheme="majorHAnsi"/>
          <w:sz w:val="22"/>
          <w:szCs w:val="22"/>
        </w:rPr>
        <w:t xml:space="preserve">)  </w:t>
      </w:r>
      <w:r w:rsidR="00BB7C39" w:rsidRPr="005759D1">
        <w:rPr>
          <w:rFonts w:asciiTheme="majorHAnsi" w:hAnsiTheme="majorHAnsi" w:cstheme="majorHAnsi"/>
          <w:sz w:val="22"/>
          <w:szCs w:val="22"/>
        </w:rPr>
        <w:t xml:space="preserve">Since miRNA regulate mRNA expression, </w:t>
      </w:r>
      <w:r w:rsidR="00A85A18" w:rsidRPr="005759D1">
        <w:rPr>
          <w:rFonts w:asciiTheme="majorHAnsi" w:hAnsiTheme="majorHAnsi" w:cstheme="majorHAnsi"/>
          <w:sz w:val="22"/>
          <w:szCs w:val="22"/>
        </w:rPr>
        <w:t xml:space="preserve">(Friedman </w:t>
      </w:r>
      <w:r w:rsidR="00A85A18" w:rsidRPr="005759D1">
        <w:rPr>
          <w:rFonts w:asciiTheme="majorHAnsi" w:hAnsiTheme="majorHAnsi" w:cstheme="majorHAnsi"/>
          <w:i/>
          <w:sz w:val="22"/>
          <w:szCs w:val="22"/>
        </w:rPr>
        <w:t xml:space="preserve">et al. </w:t>
      </w:r>
      <w:r w:rsidR="00A85A18" w:rsidRPr="005759D1">
        <w:rPr>
          <w:rFonts w:asciiTheme="majorHAnsi" w:hAnsiTheme="majorHAnsi" w:cstheme="majorHAnsi"/>
          <w:sz w:val="22"/>
          <w:szCs w:val="22"/>
        </w:rPr>
        <w:t xml:space="preserve">2009) </w:t>
      </w:r>
      <w:r w:rsidR="00E95120" w:rsidRPr="005759D1">
        <w:rPr>
          <w:rFonts w:asciiTheme="majorHAnsi" w:hAnsiTheme="majorHAnsi" w:cstheme="majorHAnsi"/>
          <w:sz w:val="22"/>
          <w:szCs w:val="22"/>
        </w:rPr>
        <w:t xml:space="preserve">the present study proposes that miRNA may be important indicators of risk for POAF.  A prospective pilot study </w:t>
      </w:r>
      <w:r w:rsidR="008F1F53" w:rsidRPr="005759D1">
        <w:rPr>
          <w:rFonts w:asciiTheme="majorHAnsi" w:hAnsiTheme="majorHAnsi" w:cstheme="majorHAnsi"/>
          <w:sz w:val="22"/>
          <w:szCs w:val="22"/>
        </w:rPr>
        <w:t>will</w:t>
      </w:r>
      <w:r w:rsidR="00E95120" w:rsidRPr="005759D1">
        <w:rPr>
          <w:rFonts w:asciiTheme="majorHAnsi" w:hAnsiTheme="majorHAnsi" w:cstheme="majorHAnsi"/>
          <w:sz w:val="22"/>
          <w:szCs w:val="22"/>
        </w:rPr>
        <w:t xml:space="preserve"> </w:t>
      </w:r>
      <w:r w:rsidR="005A3FCE" w:rsidRPr="005759D1">
        <w:rPr>
          <w:rFonts w:asciiTheme="majorHAnsi" w:hAnsiTheme="majorHAnsi" w:cstheme="majorHAnsi"/>
          <w:sz w:val="22"/>
          <w:szCs w:val="22"/>
        </w:rPr>
        <w:t xml:space="preserve">test </w:t>
      </w:r>
      <w:r w:rsidR="00E95120" w:rsidRPr="005759D1">
        <w:rPr>
          <w:rFonts w:asciiTheme="majorHAnsi" w:hAnsiTheme="majorHAnsi" w:cstheme="majorHAnsi"/>
          <w:sz w:val="22"/>
          <w:szCs w:val="22"/>
        </w:rPr>
        <w:t xml:space="preserve">the following hypothesis:   </w:t>
      </w:r>
    </w:p>
    <w:p w:rsidR="00E95120" w:rsidRPr="005759D1" w:rsidRDefault="00E95120">
      <w:pPr>
        <w:rPr>
          <w:rFonts w:asciiTheme="majorHAnsi" w:hAnsiTheme="majorHAnsi" w:cstheme="majorHAnsi"/>
          <w:sz w:val="22"/>
          <w:szCs w:val="22"/>
        </w:rPr>
      </w:pPr>
    </w:p>
    <w:p w:rsidR="00952E95" w:rsidRPr="005759D1" w:rsidRDefault="00E95120">
      <w:pPr>
        <w:rPr>
          <w:rFonts w:asciiTheme="majorHAnsi" w:hAnsiTheme="majorHAnsi" w:cstheme="majorHAnsi"/>
          <w:i/>
          <w:sz w:val="22"/>
          <w:szCs w:val="22"/>
        </w:rPr>
      </w:pPr>
      <w:r w:rsidRPr="005759D1">
        <w:rPr>
          <w:rFonts w:asciiTheme="majorHAnsi" w:hAnsiTheme="majorHAnsi" w:cstheme="majorHAnsi"/>
          <w:b/>
          <w:i/>
          <w:sz w:val="22"/>
          <w:szCs w:val="22"/>
        </w:rPr>
        <w:t>Hypothesis</w:t>
      </w:r>
      <w:r w:rsidRPr="005759D1">
        <w:rPr>
          <w:rFonts w:asciiTheme="majorHAnsi" w:hAnsiTheme="majorHAnsi" w:cstheme="majorHAnsi"/>
          <w:i/>
          <w:sz w:val="22"/>
          <w:szCs w:val="22"/>
        </w:rPr>
        <w:t xml:space="preserve">:  </w:t>
      </w:r>
    </w:p>
    <w:p w:rsidR="00E95120" w:rsidRPr="005759D1" w:rsidRDefault="00E95120">
      <w:pPr>
        <w:rPr>
          <w:rFonts w:asciiTheme="majorHAnsi" w:hAnsiTheme="majorHAnsi" w:cstheme="majorHAnsi"/>
          <w:sz w:val="22"/>
          <w:szCs w:val="22"/>
        </w:rPr>
      </w:pPr>
      <w:r w:rsidRPr="005759D1">
        <w:rPr>
          <w:rFonts w:asciiTheme="majorHAnsi" w:hAnsiTheme="majorHAnsi" w:cstheme="majorHAnsi"/>
          <w:sz w:val="22"/>
          <w:szCs w:val="22"/>
        </w:rPr>
        <w:t xml:space="preserve">Serum miRNA expression patterns </w:t>
      </w:r>
      <w:r w:rsidR="001401FE" w:rsidRPr="005759D1">
        <w:rPr>
          <w:rFonts w:asciiTheme="majorHAnsi" w:hAnsiTheme="majorHAnsi" w:cstheme="majorHAnsi"/>
          <w:sz w:val="22"/>
          <w:szCs w:val="22"/>
        </w:rPr>
        <w:t xml:space="preserve">pre-surgery </w:t>
      </w:r>
      <w:r w:rsidRPr="005759D1">
        <w:rPr>
          <w:rFonts w:asciiTheme="majorHAnsi" w:hAnsiTheme="majorHAnsi" w:cstheme="majorHAnsi"/>
          <w:sz w:val="22"/>
          <w:szCs w:val="22"/>
        </w:rPr>
        <w:t>can be used to predict patients at risk for development of POAF</w:t>
      </w:r>
      <w:r w:rsidR="00952E95" w:rsidRPr="005759D1">
        <w:rPr>
          <w:rFonts w:asciiTheme="majorHAnsi" w:hAnsiTheme="majorHAnsi" w:cstheme="majorHAnsi"/>
          <w:sz w:val="22"/>
          <w:szCs w:val="22"/>
        </w:rPr>
        <w:t>.</w:t>
      </w:r>
      <w:r w:rsidR="008A4DC4" w:rsidRPr="005759D1">
        <w:rPr>
          <w:rFonts w:asciiTheme="majorHAnsi" w:hAnsiTheme="majorHAnsi" w:cstheme="majorHAnsi"/>
          <w:sz w:val="22"/>
          <w:szCs w:val="22"/>
        </w:rPr>
        <w:t xml:space="preserve">  Confirmation of this hypothesis will result in the future development of a minimally invasive (serum)</w:t>
      </w:r>
      <w:r w:rsidR="001401FE" w:rsidRPr="005759D1">
        <w:rPr>
          <w:rFonts w:asciiTheme="majorHAnsi" w:hAnsiTheme="majorHAnsi" w:cstheme="majorHAnsi"/>
          <w:sz w:val="22"/>
          <w:szCs w:val="22"/>
        </w:rPr>
        <w:t>, pre-surgery</w:t>
      </w:r>
      <w:r w:rsidR="008A4DC4" w:rsidRPr="005759D1">
        <w:rPr>
          <w:rFonts w:asciiTheme="majorHAnsi" w:hAnsiTheme="majorHAnsi" w:cstheme="majorHAnsi"/>
          <w:sz w:val="22"/>
          <w:szCs w:val="22"/>
        </w:rPr>
        <w:t xml:space="preserve"> diagnostic test for the prediction of POAF.  Use of this test will allow prophylactic treatment of patients at highest risk of POAF</w:t>
      </w:r>
      <w:r w:rsidR="001401FE" w:rsidRPr="005759D1">
        <w:rPr>
          <w:rFonts w:asciiTheme="majorHAnsi" w:hAnsiTheme="majorHAnsi" w:cstheme="majorHAnsi"/>
          <w:sz w:val="22"/>
          <w:szCs w:val="22"/>
        </w:rPr>
        <w:t xml:space="preserve"> as described below</w:t>
      </w:r>
      <w:r w:rsidR="008A4DC4" w:rsidRPr="005759D1">
        <w:rPr>
          <w:rFonts w:asciiTheme="majorHAnsi" w:hAnsiTheme="majorHAnsi" w:cstheme="majorHAnsi"/>
          <w:sz w:val="22"/>
          <w:szCs w:val="22"/>
        </w:rPr>
        <w:t xml:space="preserve">. </w:t>
      </w:r>
    </w:p>
    <w:p w:rsidR="00E95120" w:rsidRPr="005759D1" w:rsidRDefault="00E95120">
      <w:pPr>
        <w:rPr>
          <w:rFonts w:asciiTheme="majorHAnsi" w:hAnsiTheme="majorHAnsi" w:cstheme="majorHAnsi"/>
          <w:sz w:val="22"/>
          <w:szCs w:val="22"/>
        </w:rPr>
      </w:pPr>
    </w:p>
    <w:p w:rsidR="00952E95" w:rsidRPr="005759D1" w:rsidRDefault="00952E95" w:rsidP="00952E95">
      <w:pPr>
        <w:rPr>
          <w:rFonts w:asciiTheme="majorHAnsi" w:hAnsiTheme="majorHAnsi" w:cstheme="majorHAnsi"/>
          <w:b/>
          <w:sz w:val="22"/>
          <w:szCs w:val="22"/>
        </w:rPr>
      </w:pPr>
      <w:r w:rsidRPr="005759D1">
        <w:rPr>
          <w:rFonts w:asciiTheme="majorHAnsi" w:hAnsiTheme="majorHAnsi" w:cstheme="majorHAnsi"/>
          <w:b/>
          <w:sz w:val="22"/>
          <w:szCs w:val="22"/>
        </w:rPr>
        <w:t>B.  Specific Aims</w:t>
      </w:r>
    </w:p>
    <w:p w:rsidR="00E95120" w:rsidRPr="005759D1" w:rsidRDefault="00E95120">
      <w:pPr>
        <w:rPr>
          <w:rFonts w:asciiTheme="majorHAnsi" w:hAnsiTheme="majorHAnsi" w:cstheme="majorHAnsi"/>
          <w:sz w:val="22"/>
          <w:szCs w:val="22"/>
        </w:rPr>
      </w:pPr>
      <w:r w:rsidRPr="005759D1">
        <w:rPr>
          <w:rFonts w:asciiTheme="majorHAnsi" w:hAnsiTheme="majorHAnsi" w:cstheme="majorHAnsi"/>
          <w:sz w:val="22"/>
          <w:szCs w:val="22"/>
        </w:rPr>
        <w:t>The following specific aim will test the hypothesis</w:t>
      </w:r>
    </w:p>
    <w:p w:rsidR="0031609E" w:rsidRPr="00ED697B" w:rsidRDefault="005E3CB1">
      <w:pPr>
        <w:rPr>
          <w:rFonts w:asciiTheme="majorHAnsi" w:hAnsiTheme="majorHAnsi" w:cstheme="majorHAnsi"/>
          <w:sz w:val="22"/>
          <w:szCs w:val="22"/>
        </w:rPr>
      </w:pPr>
      <w:r w:rsidRPr="00ED697B">
        <w:rPr>
          <w:rFonts w:asciiTheme="majorHAnsi" w:hAnsiTheme="majorHAnsi" w:cstheme="majorHAnsi"/>
          <w:sz w:val="22"/>
          <w:szCs w:val="22"/>
        </w:rPr>
        <w:t xml:space="preserve">Specific Aim 1:  Compare levels of miRNA </w:t>
      </w:r>
      <w:r w:rsidR="00BB7C39" w:rsidRPr="00E16B76">
        <w:rPr>
          <w:rFonts w:asciiTheme="majorHAnsi" w:hAnsiTheme="majorHAnsi" w:cstheme="majorHAnsi"/>
          <w:sz w:val="22"/>
          <w:szCs w:val="22"/>
        </w:rPr>
        <w:t xml:space="preserve">in serum samples collected preoperatively </w:t>
      </w:r>
      <w:r w:rsidRPr="00ED697B">
        <w:rPr>
          <w:rFonts w:asciiTheme="majorHAnsi" w:hAnsiTheme="majorHAnsi" w:cstheme="majorHAnsi"/>
          <w:sz w:val="22"/>
          <w:szCs w:val="22"/>
        </w:rPr>
        <w:t xml:space="preserve">among </w:t>
      </w:r>
      <w:r w:rsidR="0031609E" w:rsidRPr="00ED697B">
        <w:rPr>
          <w:rFonts w:asciiTheme="majorHAnsi" w:hAnsiTheme="majorHAnsi" w:cstheme="majorHAnsi"/>
          <w:sz w:val="22"/>
          <w:szCs w:val="22"/>
        </w:rPr>
        <w:t>cases</w:t>
      </w:r>
      <w:r w:rsidRPr="00ED697B">
        <w:rPr>
          <w:rFonts w:asciiTheme="majorHAnsi" w:hAnsiTheme="majorHAnsi" w:cstheme="majorHAnsi"/>
          <w:sz w:val="22"/>
          <w:szCs w:val="22"/>
        </w:rPr>
        <w:t xml:space="preserve"> who </w:t>
      </w:r>
      <w:r w:rsidR="0031609E" w:rsidRPr="00ED697B">
        <w:rPr>
          <w:rFonts w:asciiTheme="majorHAnsi" w:hAnsiTheme="majorHAnsi" w:cstheme="majorHAnsi"/>
          <w:sz w:val="22"/>
          <w:szCs w:val="22"/>
        </w:rPr>
        <w:t>develop POAF within 30 days following surgery and controls who maintain normal sinus rhythm without</w:t>
      </w:r>
      <w:r w:rsidRPr="00ED697B">
        <w:rPr>
          <w:rFonts w:asciiTheme="majorHAnsi" w:hAnsiTheme="majorHAnsi" w:cstheme="majorHAnsi"/>
          <w:sz w:val="22"/>
          <w:szCs w:val="22"/>
        </w:rPr>
        <w:t xml:space="preserve"> develop</w:t>
      </w:r>
      <w:r w:rsidR="0031609E" w:rsidRPr="00ED697B">
        <w:rPr>
          <w:rFonts w:asciiTheme="majorHAnsi" w:hAnsiTheme="majorHAnsi" w:cstheme="majorHAnsi"/>
          <w:sz w:val="22"/>
          <w:szCs w:val="22"/>
        </w:rPr>
        <w:t>ing</w:t>
      </w:r>
      <w:r w:rsidRPr="00ED697B">
        <w:rPr>
          <w:rFonts w:asciiTheme="majorHAnsi" w:hAnsiTheme="majorHAnsi" w:cstheme="majorHAnsi"/>
          <w:sz w:val="22"/>
          <w:szCs w:val="22"/>
        </w:rPr>
        <w:t xml:space="preserve"> </w:t>
      </w:r>
      <w:r w:rsidR="0028121D" w:rsidRPr="00ED697B">
        <w:rPr>
          <w:rFonts w:asciiTheme="majorHAnsi" w:hAnsiTheme="majorHAnsi" w:cstheme="majorHAnsi"/>
          <w:sz w:val="22"/>
          <w:szCs w:val="22"/>
        </w:rPr>
        <w:t>POAF within 60 days</w:t>
      </w:r>
      <w:r w:rsidR="0031609E" w:rsidRPr="00ED697B">
        <w:rPr>
          <w:rFonts w:asciiTheme="majorHAnsi" w:hAnsiTheme="majorHAnsi" w:cstheme="majorHAnsi"/>
          <w:sz w:val="22"/>
          <w:szCs w:val="22"/>
        </w:rPr>
        <w:t xml:space="preserve"> of surgery.</w:t>
      </w:r>
    </w:p>
    <w:p w:rsidR="0028121D" w:rsidRPr="005759D1" w:rsidRDefault="00952E95">
      <w:pPr>
        <w:rPr>
          <w:rFonts w:asciiTheme="majorHAnsi" w:hAnsiTheme="majorHAnsi" w:cstheme="majorHAnsi"/>
          <w:sz w:val="22"/>
          <w:szCs w:val="22"/>
        </w:rPr>
      </w:pPr>
      <w:r w:rsidRPr="005759D1">
        <w:rPr>
          <w:rFonts w:asciiTheme="majorHAnsi" w:hAnsiTheme="majorHAnsi" w:cstheme="majorHAnsi"/>
          <w:sz w:val="22"/>
          <w:szCs w:val="22"/>
        </w:rPr>
        <w:t>Changes in</w:t>
      </w:r>
      <w:r w:rsidR="008F1F53" w:rsidRPr="005759D1">
        <w:rPr>
          <w:rFonts w:asciiTheme="majorHAnsi" w:hAnsiTheme="majorHAnsi" w:cstheme="majorHAnsi"/>
          <w:sz w:val="22"/>
          <w:szCs w:val="22"/>
        </w:rPr>
        <w:t xml:space="preserve"> levels of miRNA</w:t>
      </w:r>
      <w:r w:rsidRPr="005759D1">
        <w:rPr>
          <w:rFonts w:asciiTheme="majorHAnsi" w:hAnsiTheme="majorHAnsi" w:cstheme="majorHAnsi"/>
          <w:sz w:val="22"/>
          <w:szCs w:val="22"/>
        </w:rPr>
        <w:t xml:space="preserve"> will be compared in serum collected pre CABG procedure </w:t>
      </w:r>
      <w:r w:rsidR="005A5025" w:rsidRPr="005759D1">
        <w:rPr>
          <w:rFonts w:asciiTheme="majorHAnsi" w:hAnsiTheme="majorHAnsi" w:cstheme="majorHAnsi"/>
          <w:sz w:val="22"/>
          <w:szCs w:val="22"/>
        </w:rPr>
        <w:t>using a miRNA PCR array (SABiosciences/</w:t>
      </w:r>
      <w:r w:rsidR="00F91CFD" w:rsidRPr="005759D1">
        <w:rPr>
          <w:rFonts w:asciiTheme="majorHAnsi" w:hAnsiTheme="majorHAnsi" w:cstheme="majorHAnsi"/>
          <w:sz w:val="22"/>
          <w:szCs w:val="22"/>
        </w:rPr>
        <w:t>(</w:t>
      </w:r>
      <w:r w:rsidR="005A5025" w:rsidRPr="005759D1">
        <w:rPr>
          <w:rFonts w:asciiTheme="majorHAnsi" w:hAnsiTheme="majorHAnsi" w:cstheme="majorHAnsi"/>
          <w:sz w:val="22"/>
          <w:szCs w:val="22"/>
        </w:rPr>
        <w:t xml:space="preserve">Qiagen, </w:t>
      </w:r>
      <w:r w:rsidR="005A5025" w:rsidRPr="005759D1">
        <w:rPr>
          <w:rFonts w:asciiTheme="majorHAnsi" w:hAnsiTheme="majorHAnsi" w:cstheme="majorHAnsi"/>
          <w:color w:val="231F20"/>
          <w:sz w:val="22"/>
          <w:szCs w:val="22"/>
        </w:rPr>
        <w:t>Frederick, MD</w:t>
      </w:r>
      <w:r w:rsidR="005A5025" w:rsidRPr="005759D1">
        <w:rPr>
          <w:rFonts w:asciiTheme="majorHAnsi" w:hAnsiTheme="majorHAnsi" w:cstheme="majorHAnsi"/>
          <w:sz w:val="22"/>
          <w:szCs w:val="22"/>
        </w:rPr>
        <w:t>)</w:t>
      </w:r>
      <w:r w:rsidR="005A5025" w:rsidRPr="005759D1">
        <w:rPr>
          <w:rFonts w:asciiTheme="majorHAnsi" w:hAnsiTheme="majorHAnsi" w:cstheme="majorHAnsi"/>
          <w:b/>
          <w:sz w:val="22"/>
          <w:szCs w:val="22"/>
        </w:rPr>
        <w:t xml:space="preserve"> </w:t>
      </w:r>
      <w:r w:rsidRPr="005759D1">
        <w:rPr>
          <w:rFonts w:asciiTheme="majorHAnsi" w:hAnsiTheme="majorHAnsi" w:cstheme="majorHAnsi"/>
          <w:sz w:val="22"/>
          <w:szCs w:val="22"/>
        </w:rPr>
        <w:t xml:space="preserve">to evaluate whether differences can be observed between patients who emerge as POAF cases and those who maintain normal sinus </w:t>
      </w:r>
      <w:r w:rsidR="005A5025" w:rsidRPr="005759D1">
        <w:rPr>
          <w:rFonts w:asciiTheme="majorHAnsi" w:hAnsiTheme="majorHAnsi" w:cstheme="majorHAnsi"/>
          <w:sz w:val="22"/>
          <w:szCs w:val="22"/>
        </w:rPr>
        <w:t>rhythm</w:t>
      </w:r>
      <w:r w:rsidRPr="005759D1">
        <w:rPr>
          <w:rFonts w:asciiTheme="majorHAnsi" w:hAnsiTheme="majorHAnsi" w:cstheme="majorHAnsi"/>
          <w:sz w:val="22"/>
          <w:szCs w:val="22"/>
        </w:rPr>
        <w:t xml:space="preserve">.  </w:t>
      </w:r>
    </w:p>
    <w:p w:rsidR="007E21A0" w:rsidRPr="005759D1" w:rsidRDefault="007E21A0">
      <w:pPr>
        <w:rPr>
          <w:rFonts w:asciiTheme="majorHAnsi" w:hAnsiTheme="majorHAnsi" w:cstheme="majorHAnsi"/>
          <w:b/>
          <w:sz w:val="22"/>
          <w:szCs w:val="22"/>
        </w:rPr>
      </w:pPr>
    </w:p>
    <w:p w:rsidR="00952E95" w:rsidRPr="005759D1" w:rsidRDefault="0028121D">
      <w:pPr>
        <w:rPr>
          <w:rFonts w:asciiTheme="majorHAnsi" w:hAnsiTheme="majorHAnsi" w:cstheme="majorHAnsi"/>
          <w:b/>
          <w:sz w:val="22"/>
          <w:szCs w:val="22"/>
        </w:rPr>
      </w:pPr>
      <w:r w:rsidRPr="005759D1">
        <w:rPr>
          <w:rFonts w:asciiTheme="majorHAnsi" w:hAnsiTheme="majorHAnsi" w:cstheme="majorHAnsi"/>
          <w:b/>
          <w:sz w:val="22"/>
          <w:szCs w:val="22"/>
        </w:rPr>
        <w:t>Secondary Aim</w:t>
      </w:r>
      <w:r w:rsidR="0037093E" w:rsidRPr="005759D1">
        <w:rPr>
          <w:rFonts w:asciiTheme="majorHAnsi" w:hAnsiTheme="majorHAnsi" w:cstheme="majorHAnsi"/>
          <w:b/>
          <w:sz w:val="22"/>
          <w:szCs w:val="22"/>
        </w:rPr>
        <w:t xml:space="preserve"> 2</w:t>
      </w:r>
      <w:r w:rsidRPr="005759D1">
        <w:rPr>
          <w:rFonts w:asciiTheme="majorHAnsi" w:hAnsiTheme="majorHAnsi" w:cstheme="majorHAnsi"/>
          <w:b/>
          <w:sz w:val="22"/>
          <w:szCs w:val="22"/>
        </w:rPr>
        <w:t xml:space="preserve">:  </w:t>
      </w:r>
      <w:r w:rsidR="00B95639" w:rsidRPr="005759D1">
        <w:rPr>
          <w:rFonts w:asciiTheme="majorHAnsi" w:hAnsiTheme="majorHAnsi" w:cstheme="majorHAnsi"/>
          <w:b/>
          <w:sz w:val="22"/>
          <w:szCs w:val="22"/>
        </w:rPr>
        <w:t>Collect and bank post-operative serum sample</w:t>
      </w:r>
      <w:r w:rsidR="00DC6D3D" w:rsidRPr="005759D1">
        <w:rPr>
          <w:rFonts w:asciiTheme="majorHAnsi" w:hAnsiTheme="majorHAnsi" w:cstheme="majorHAnsi"/>
          <w:b/>
          <w:sz w:val="22"/>
          <w:szCs w:val="22"/>
        </w:rPr>
        <w:t>s</w:t>
      </w:r>
      <w:r w:rsidR="00B95639" w:rsidRPr="005759D1">
        <w:rPr>
          <w:rFonts w:asciiTheme="majorHAnsi" w:hAnsiTheme="majorHAnsi" w:cstheme="majorHAnsi"/>
          <w:b/>
          <w:sz w:val="22"/>
          <w:szCs w:val="22"/>
        </w:rPr>
        <w:t xml:space="preserve"> for testing in a future study which will permit i</w:t>
      </w:r>
      <w:r w:rsidRPr="005759D1">
        <w:rPr>
          <w:rFonts w:asciiTheme="majorHAnsi" w:hAnsiTheme="majorHAnsi" w:cstheme="majorHAnsi"/>
          <w:b/>
          <w:sz w:val="22"/>
          <w:szCs w:val="22"/>
        </w:rPr>
        <w:t>nfer</w:t>
      </w:r>
      <w:r w:rsidR="00B95639" w:rsidRPr="005759D1">
        <w:rPr>
          <w:rFonts w:asciiTheme="majorHAnsi" w:hAnsiTheme="majorHAnsi" w:cstheme="majorHAnsi"/>
          <w:b/>
          <w:sz w:val="22"/>
          <w:szCs w:val="22"/>
        </w:rPr>
        <w:t>ence of</w:t>
      </w:r>
      <w:r w:rsidRPr="005759D1">
        <w:rPr>
          <w:rFonts w:asciiTheme="majorHAnsi" w:hAnsiTheme="majorHAnsi" w:cstheme="majorHAnsi"/>
          <w:b/>
          <w:sz w:val="22"/>
          <w:szCs w:val="22"/>
        </w:rPr>
        <w:t xml:space="preserve"> pathways </w:t>
      </w:r>
      <w:r w:rsidR="005A5025" w:rsidRPr="005759D1">
        <w:rPr>
          <w:rFonts w:asciiTheme="majorHAnsi" w:hAnsiTheme="majorHAnsi" w:cstheme="majorHAnsi"/>
          <w:b/>
          <w:sz w:val="22"/>
          <w:szCs w:val="22"/>
        </w:rPr>
        <w:t xml:space="preserve">that </w:t>
      </w:r>
      <w:r w:rsidRPr="005759D1">
        <w:rPr>
          <w:rFonts w:asciiTheme="majorHAnsi" w:hAnsiTheme="majorHAnsi" w:cstheme="majorHAnsi"/>
          <w:b/>
          <w:sz w:val="22"/>
          <w:szCs w:val="22"/>
        </w:rPr>
        <w:t xml:space="preserve">are regulated by clinically relevant miRNAs identified in </w:t>
      </w:r>
      <w:r w:rsidR="00B95639" w:rsidRPr="005759D1">
        <w:rPr>
          <w:rFonts w:asciiTheme="majorHAnsi" w:hAnsiTheme="majorHAnsi" w:cstheme="majorHAnsi"/>
          <w:b/>
          <w:sz w:val="22"/>
          <w:szCs w:val="22"/>
        </w:rPr>
        <w:t>SA</w:t>
      </w:r>
      <w:r w:rsidRPr="005759D1">
        <w:rPr>
          <w:rFonts w:asciiTheme="majorHAnsi" w:hAnsiTheme="majorHAnsi" w:cstheme="majorHAnsi"/>
          <w:b/>
          <w:sz w:val="22"/>
          <w:szCs w:val="22"/>
        </w:rPr>
        <w:t>1</w:t>
      </w:r>
      <w:r w:rsidR="00DC6D3D" w:rsidRPr="005759D1">
        <w:rPr>
          <w:rFonts w:asciiTheme="majorHAnsi" w:hAnsiTheme="majorHAnsi" w:cstheme="majorHAnsi"/>
          <w:b/>
          <w:sz w:val="22"/>
          <w:szCs w:val="22"/>
        </w:rPr>
        <w:t>.</w:t>
      </w:r>
      <w:r w:rsidRPr="005759D1">
        <w:rPr>
          <w:rFonts w:asciiTheme="majorHAnsi" w:hAnsiTheme="majorHAnsi" w:cstheme="majorHAnsi"/>
          <w:b/>
          <w:sz w:val="22"/>
          <w:szCs w:val="22"/>
        </w:rPr>
        <w:t xml:space="preserve"> </w:t>
      </w:r>
    </w:p>
    <w:p w:rsidR="0028121D" w:rsidRPr="005759D1" w:rsidRDefault="00B95639">
      <w:pPr>
        <w:rPr>
          <w:rFonts w:asciiTheme="majorHAnsi" w:hAnsiTheme="majorHAnsi" w:cstheme="majorHAnsi"/>
          <w:sz w:val="22"/>
          <w:szCs w:val="22"/>
        </w:rPr>
      </w:pPr>
      <w:r w:rsidRPr="005759D1">
        <w:rPr>
          <w:rFonts w:asciiTheme="majorHAnsi" w:hAnsiTheme="majorHAnsi" w:cstheme="majorHAnsi"/>
          <w:sz w:val="22"/>
          <w:szCs w:val="22"/>
        </w:rPr>
        <w:t>Serum will be collected and banked for testing in a subsequent study.  Availability of this data will permit evaluation of c</w:t>
      </w:r>
      <w:r w:rsidR="00952E95" w:rsidRPr="005759D1">
        <w:rPr>
          <w:rFonts w:asciiTheme="majorHAnsi" w:hAnsiTheme="majorHAnsi" w:cstheme="majorHAnsi"/>
          <w:sz w:val="22"/>
          <w:szCs w:val="22"/>
        </w:rPr>
        <w:t xml:space="preserve">hanges in serum levels </w:t>
      </w:r>
      <w:r w:rsidR="007E21A0" w:rsidRPr="005759D1">
        <w:rPr>
          <w:rFonts w:asciiTheme="majorHAnsi" w:hAnsiTheme="majorHAnsi" w:cstheme="majorHAnsi"/>
          <w:sz w:val="22"/>
          <w:szCs w:val="22"/>
        </w:rPr>
        <w:t xml:space="preserve">of miRNA </w:t>
      </w:r>
      <w:r w:rsidR="00952E95" w:rsidRPr="005759D1">
        <w:rPr>
          <w:rFonts w:asciiTheme="majorHAnsi" w:hAnsiTheme="majorHAnsi" w:cstheme="majorHAnsi"/>
          <w:sz w:val="22"/>
          <w:szCs w:val="22"/>
        </w:rPr>
        <w:t xml:space="preserve">pre and post CABG surgery </w:t>
      </w:r>
      <w:r w:rsidR="007E21A0" w:rsidRPr="005759D1">
        <w:rPr>
          <w:rFonts w:asciiTheme="majorHAnsi" w:hAnsiTheme="majorHAnsi" w:cstheme="majorHAnsi"/>
          <w:sz w:val="22"/>
          <w:szCs w:val="22"/>
        </w:rPr>
        <w:t xml:space="preserve">These comparisons will provide a basis for determining whether serum levels of these markers reflect gene expression at the cardiac level and provide </w:t>
      </w:r>
      <w:r w:rsidR="0028121D" w:rsidRPr="005759D1">
        <w:rPr>
          <w:rFonts w:asciiTheme="majorHAnsi" w:hAnsiTheme="majorHAnsi" w:cstheme="majorHAnsi"/>
          <w:sz w:val="22"/>
          <w:szCs w:val="22"/>
        </w:rPr>
        <w:t xml:space="preserve">further insight into </w:t>
      </w:r>
      <w:r w:rsidR="007E21A0" w:rsidRPr="005759D1">
        <w:rPr>
          <w:rFonts w:asciiTheme="majorHAnsi" w:hAnsiTheme="majorHAnsi" w:cstheme="majorHAnsi"/>
          <w:sz w:val="22"/>
          <w:szCs w:val="22"/>
        </w:rPr>
        <w:t xml:space="preserve">biologically important </w:t>
      </w:r>
      <w:r w:rsidR="0028121D" w:rsidRPr="005759D1">
        <w:rPr>
          <w:rFonts w:asciiTheme="majorHAnsi" w:hAnsiTheme="majorHAnsi" w:cstheme="majorHAnsi"/>
          <w:sz w:val="22"/>
          <w:szCs w:val="22"/>
        </w:rPr>
        <w:t xml:space="preserve">pathways whose gene expression patterns </w:t>
      </w:r>
      <w:r w:rsidR="007E21A0" w:rsidRPr="005759D1">
        <w:rPr>
          <w:rFonts w:asciiTheme="majorHAnsi" w:hAnsiTheme="majorHAnsi" w:cstheme="majorHAnsi"/>
          <w:sz w:val="22"/>
          <w:szCs w:val="22"/>
        </w:rPr>
        <w:t>are impacted during</w:t>
      </w:r>
      <w:r w:rsidR="008F1F53" w:rsidRPr="005759D1">
        <w:rPr>
          <w:rFonts w:asciiTheme="majorHAnsi" w:hAnsiTheme="majorHAnsi" w:cstheme="majorHAnsi"/>
          <w:sz w:val="22"/>
          <w:szCs w:val="22"/>
        </w:rPr>
        <w:t xml:space="preserve"> emergence of POAF, supporting </w:t>
      </w:r>
      <w:r w:rsidR="0028121D" w:rsidRPr="005759D1">
        <w:rPr>
          <w:rFonts w:asciiTheme="majorHAnsi" w:hAnsiTheme="majorHAnsi" w:cstheme="majorHAnsi"/>
          <w:sz w:val="22"/>
          <w:szCs w:val="22"/>
        </w:rPr>
        <w:t xml:space="preserve">hypothesis generation.  </w:t>
      </w:r>
    </w:p>
    <w:p w:rsidR="0028121D" w:rsidRPr="005759D1" w:rsidRDefault="0028121D">
      <w:pPr>
        <w:rPr>
          <w:rFonts w:asciiTheme="majorHAnsi" w:hAnsiTheme="majorHAnsi" w:cstheme="majorHAnsi"/>
          <w:sz w:val="22"/>
          <w:szCs w:val="22"/>
        </w:rPr>
      </w:pPr>
    </w:p>
    <w:p w:rsidR="00020B79" w:rsidRPr="005759D1" w:rsidRDefault="00020B79">
      <w:pPr>
        <w:rPr>
          <w:rFonts w:asciiTheme="majorHAnsi" w:hAnsiTheme="majorHAnsi" w:cstheme="majorHAnsi"/>
          <w:sz w:val="22"/>
          <w:szCs w:val="22"/>
        </w:rPr>
      </w:pPr>
      <w:r w:rsidRPr="005759D1">
        <w:rPr>
          <w:rFonts w:asciiTheme="majorHAnsi" w:hAnsiTheme="majorHAnsi" w:cstheme="majorHAnsi"/>
          <w:b/>
          <w:i/>
          <w:sz w:val="22"/>
          <w:szCs w:val="22"/>
        </w:rPr>
        <w:t>Impact</w:t>
      </w:r>
      <w:r w:rsidRPr="005759D1">
        <w:rPr>
          <w:rFonts w:asciiTheme="majorHAnsi" w:hAnsiTheme="majorHAnsi" w:cstheme="majorHAnsi"/>
          <w:i/>
          <w:sz w:val="22"/>
          <w:szCs w:val="22"/>
        </w:rPr>
        <w:t>:</w:t>
      </w:r>
      <w:r w:rsidRPr="005759D1">
        <w:rPr>
          <w:rFonts w:asciiTheme="majorHAnsi" w:hAnsiTheme="majorHAnsi" w:cstheme="majorHAnsi"/>
          <w:sz w:val="22"/>
          <w:szCs w:val="22"/>
        </w:rPr>
        <w:t xml:space="preserve">  Presently, no predictive biomarkers panels are available for clinical use in screening patients to determine relative risk for onset of POAF.  Due to the increased </w:t>
      </w:r>
      <w:r w:rsidR="005A5025" w:rsidRPr="005759D1">
        <w:rPr>
          <w:rFonts w:asciiTheme="majorHAnsi" w:hAnsiTheme="majorHAnsi" w:cstheme="majorHAnsi"/>
          <w:sz w:val="22"/>
          <w:szCs w:val="22"/>
        </w:rPr>
        <w:t xml:space="preserve">risk of </w:t>
      </w:r>
      <w:r w:rsidRPr="005759D1">
        <w:rPr>
          <w:rFonts w:asciiTheme="majorHAnsi" w:hAnsiTheme="majorHAnsi" w:cstheme="majorHAnsi"/>
          <w:sz w:val="22"/>
          <w:szCs w:val="22"/>
        </w:rPr>
        <w:t>morbidity</w:t>
      </w:r>
      <w:r w:rsidR="008A4DC4" w:rsidRPr="005759D1">
        <w:rPr>
          <w:rFonts w:asciiTheme="majorHAnsi" w:hAnsiTheme="majorHAnsi" w:cstheme="majorHAnsi"/>
          <w:sz w:val="22"/>
          <w:szCs w:val="22"/>
        </w:rPr>
        <w:t xml:space="preserve"> and</w:t>
      </w:r>
      <w:r w:rsidRPr="005759D1">
        <w:rPr>
          <w:rFonts w:asciiTheme="majorHAnsi" w:hAnsiTheme="majorHAnsi" w:cstheme="majorHAnsi"/>
          <w:sz w:val="22"/>
          <w:szCs w:val="22"/>
        </w:rPr>
        <w:t xml:space="preserve"> </w:t>
      </w:r>
      <w:r w:rsidR="00AD6F60" w:rsidRPr="005759D1">
        <w:rPr>
          <w:rFonts w:asciiTheme="majorHAnsi" w:hAnsiTheme="majorHAnsi" w:cstheme="majorHAnsi"/>
          <w:sz w:val="22"/>
          <w:szCs w:val="22"/>
        </w:rPr>
        <w:t>mortality associated with emergence of POAF, and relatively high incidence of the condition following CABG,</w:t>
      </w:r>
      <w:r w:rsidR="005A5025" w:rsidRPr="005759D1">
        <w:rPr>
          <w:rFonts w:asciiTheme="majorHAnsi" w:hAnsiTheme="majorHAnsi" w:cstheme="majorHAnsi"/>
          <w:sz w:val="22"/>
          <w:szCs w:val="22"/>
        </w:rPr>
        <w:t xml:space="preserve"> capacity to identify the </w:t>
      </w:r>
      <w:r w:rsidR="005A5025" w:rsidRPr="005759D1">
        <w:rPr>
          <w:rFonts w:asciiTheme="majorHAnsi" w:hAnsiTheme="majorHAnsi" w:cstheme="majorHAnsi"/>
          <w:sz w:val="22"/>
          <w:szCs w:val="22"/>
        </w:rPr>
        <w:lastRenderedPageBreak/>
        <w:t>subset of</w:t>
      </w:r>
      <w:r w:rsidR="00AD6F60" w:rsidRPr="005759D1">
        <w:rPr>
          <w:rFonts w:asciiTheme="majorHAnsi" w:hAnsiTheme="majorHAnsi" w:cstheme="majorHAnsi"/>
          <w:sz w:val="22"/>
          <w:szCs w:val="22"/>
        </w:rPr>
        <w:t xml:space="preserve"> at-risk patients</w:t>
      </w:r>
      <w:r w:rsidR="005A5025" w:rsidRPr="005759D1">
        <w:rPr>
          <w:rFonts w:asciiTheme="majorHAnsi" w:hAnsiTheme="majorHAnsi" w:cstheme="majorHAnsi"/>
          <w:sz w:val="22"/>
          <w:szCs w:val="22"/>
        </w:rPr>
        <w:t>, in combination with</w:t>
      </w:r>
      <w:r w:rsidR="00AD6F60" w:rsidRPr="005759D1">
        <w:rPr>
          <w:rFonts w:asciiTheme="majorHAnsi" w:hAnsiTheme="majorHAnsi" w:cstheme="majorHAnsi"/>
          <w:sz w:val="22"/>
          <w:szCs w:val="22"/>
        </w:rPr>
        <w:t xml:space="preserve"> improved understanding of underlying mechanisms contributing to </w:t>
      </w:r>
      <w:r w:rsidR="005A5025" w:rsidRPr="005759D1">
        <w:rPr>
          <w:rFonts w:asciiTheme="majorHAnsi" w:hAnsiTheme="majorHAnsi" w:cstheme="majorHAnsi"/>
          <w:sz w:val="22"/>
          <w:szCs w:val="22"/>
        </w:rPr>
        <w:t>POAF</w:t>
      </w:r>
      <w:r w:rsidR="00AD6F60" w:rsidRPr="005759D1">
        <w:rPr>
          <w:rFonts w:asciiTheme="majorHAnsi" w:hAnsiTheme="majorHAnsi" w:cstheme="majorHAnsi"/>
          <w:sz w:val="22"/>
          <w:szCs w:val="22"/>
        </w:rPr>
        <w:t xml:space="preserve"> emergence</w:t>
      </w:r>
      <w:r w:rsidR="005A5025" w:rsidRPr="005759D1">
        <w:rPr>
          <w:rFonts w:asciiTheme="majorHAnsi" w:hAnsiTheme="majorHAnsi" w:cstheme="majorHAnsi"/>
          <w:sz w:val="22"/>
          <w:szCs w:val="22"/>
        </w:rPr>
        <w:t>,</w:t>
      </w:r>
      <w:r w:rsidR="00AD6F60" w:rsidRPr="005759D1">
        <w:rPr>
          <w:rFonts w:asciiTheme="majorHAnsi" w:hAnsiTheme="majorHAnsi" w:cstheme="majorHAnsi"/>
          <w:sz w:val="22"/>
          <w:szCs w:val="22"/>
        </w:rPr>
        <w:t xml:space="preserve"> will </w:t>
      </w:r>
      <w:r w:rsidR="005A5025" w:rsidRPr="005759D1">
        <w:rPr>
          <w:rFonts w:asciiTheme="majorHAnsi" w:hAnsiTheme="majorHAnsi" w:cstheme="majorHAnsi"/>
          <w:sz w:val="22"/>
          <w:szCs w:val="22"/>
        </w:rPr>
        <w:t xml:space="preserve">offer new opportunities for developing </w:t>
      </w:r>
      <w:r w:rsidR="00AD6F60" w:rsidRPr="005759D1">
        <w:rPr>
          <w:rFonts w:asciiTheme="majorHAnsi" w:hAnsiTheme="majorHAnsi" w:cstheme="majorHAnsi"/>
          <w:sz w:val="22"/>
          <w:szCs w:val="22"/>
        </w:rPr>
        <w:t>alternative management strategies</w:t>
      </w:r>
      <w:r w:rsidR="005A5025" w:rsidRPr="005759D1">
        <w:rPr>
          <w:rFonts w:asciiTheme="majorHAnsi" w:hAnsiTheme="majorHAnsi" w:cstheme="majorHAnsi"/>
          <w:sz w:val="22"/>
          <w:szCs w:val="22"/>
        </w:rPr>
        <w:t xml:space="preserve"> and targeted interventions for POAF deterrence in these patients</w:t>
      </w:r>
      <w:r w:rsidR="00534FE2" w:rsidRPr="005759D1">
        <w:rPr>
          <w:rFonts w:asciiTheme="majorHAnsi" w:hAnsiTheme="majorHAnsi" w:cstheme="majorHAnsi"/>
          <w:sz w:val="22"/>
          <w:szCs w:val="22"/>
        </w:rPr>
        <w:t xml:space="preserve">.  </w:t>
      </w:r>
      <w:r w:rsidR="00AD6F60" w:rsidRPr="005759D1">
        <w:rPr>
          <w:rFonts w:asciiTheme="majorHAnsi" w:hAnsiTheme="majorHAnsi" w:cstheme="majorHAnsi"/>
          <w:sz w:val="22"/>
          <w:szCs w:val="22"/>
        </w:rPr>
        <w:t xml:space="preserve"> </w:t>
      </w:r>
    </w:p>
    <w:p w:rsidR="0032017F" w:rsidRPr="005759D1" w:rsidRDefault="0032017F" w:rsidP="00B95639">
      <w:pPr>
        <w:rPr>
          <w:rFonts w:asciiTheme="majorHAnsi" w:hAnsiTheme="majorHAnsi" w:cstheme="majorHAnsi"/>
          <w:b/>
          <w:sz w:val="22"/>
          <w:szCs w:val="22"/>
        </w:rPr>
      </w:pPr>
    </w:p>
    <w:p w:rsidR="00F22EB8" w:rsidRPr="005759D1" w:rsidRDefault="00B95639" w:rsidP="00B95639">
      <w:pPr>
        <w:rPr>
          <w:rFonts w:asciiTheme="majorHAnsi" w:hAnsiTheme="majorHAnsi" w:cstheme="majorHAnsi"/>
          <w:b/>
          <w:sz w:val="22"/>
          <w:szCs w:val="22"/>
        </w:rPr>
      </w:pPr>
      <w:r w:rsidRPr="005759D1">
        <w:rPr>
          <w:rFonts w:asciiTheme="majorHAnsi" w:hAnsiTheme="majorHAnsi" w:cstheme="majorHAnsi"/>
          <w:b/>
          <w:sz w:val="22"/>
          <w:szCs w:val="22"/>
        </w:rPr>
        <w:t xml:space="preserve">C.  </w:t>
      </w:r>
      <w:r w:rsidR="00CE6687" w:rsidRPr="005759D1">
        <w:rPr>
          <w:rFonts w:asciiTheme="majorHAnsi" w:hAnsiTheme="majorHAnsi" w:cstheme="majorHAnsi"/>
          <w:b/>
          <w:sz w:val="22"/>
          <w:szCs w:val="22"/>
        </w:rPr>
        <w:t>Background</w:t>
      </w:r>
    </w:p>
    <w:p w:rsidR="00D13289" w:rsidRPr="005759D1" w:rsidRDefault="00FB7480" w:rsidP="00FB7480">
      <w:pPr>
        <w:pStyle w:val="ListParagraph"/>
        <w:rPr>
          <w:rFonts w:asciiTheme="majorHAnsi" w:hAnsiTheme="majorHAnsi" w:cstheme="majorHAnsi"/>
          <w:b/>
          <w:sz w:val="22"/>
          <w:szCs w:val="22"/>
        </w:rPr>
      </w:pPr>
      <w:r w:rsidRPr="005759D1">
        <w:rPr>
          <w:rFonts w:asciiTheme="majorHAnsi" w:hAnsiTheme="majorHAnsi" w:cstheme="majorHAnsi"/>
          <w:b/>
          <w:sz w:val="22"/>
          <w:szCs w:val="22"/>
        </w:rPr>
        <w:t>C.1</w:t>
      </w:r>
      <w:r w:rsidRPr="005759D1">
        <w:rPr>
          <w:rFonts w:asciiTheme="majorHAnsi" w:hAnsiTheme="majorHAnsi" w:cstheme="majorHAnsi"/>
          <w:b/>
          <w:sz w:val="22"/>
          <w:szCs w:val="22"/>
        </w:rPr>
        <w:tab/>
      </w:r>
      <w:r w:rsidR="00FA3B77" w:rsidRPr="005759D1">
        <w:rPr>
          <w:rFonts w:asciiTheme="majorHAnsi" w:hAnsiTheme="majorHAnsi" w:cstheme="majorHAnsi"/>
          <w:b/>
          <w:sz w:val="22"/>
          <w:szCs w:val="22"/>
        </w:rPr>
        <w:t>Overview</w:t>
      </w:r>
    </w:p>
    <w:p w:rsidR="008616E9" w:rsidRPr="005759D1" w:rsidRDefault="007710A3" w:rsidP="007710A3">
      <w:pPr>
        <w:rPr>
          <w:rFonts w:asciiTheme="majorHAnsi" w:hAnsiTheme="majorHAnsi" w:cstheme="majorHAnsi"/>
          <w:sz w:val="22"/>
          <w:szCs w:val="22"/>
        </w:rPr>
      </w:pPr>
      <w:r w:rsidRPr="005759D1">
        <w:rPr>
          <w:rFonts w:asciiTheme="majorHAnsi" w:hAnsiTheme="majorHAnsi" w:cstheme="majorHAnsi"/>
          <w:sz w:val="22"/>
          <w:szCs w:val="22"/>
        </w:rPr>
        <w:t xml:space="preserve">POAF is a relatively common </w:t>
      </w:r>
      <w:r w:rsidR="009C2E6D" w:rsidRPr="005759D1">
        <w:rPr>
          <w:rFonts w:asciiTheme="majorHAnsi" w:hAnsiTheme="majorHAnsi" w:cstheme="majorHAnsi"/>
          <w:sz w:val="22"/>
          <w:szCs w:val="22"/>
        </w:rPr>
        <w:t>complication</w:t>
      </w:r>
      <w:r w:rsidRPr="005759D1">
        <w:rPr>
          <w:rFonts w:asciiTheme="majorHAnsi" w:hAnsiTheme="majorHAnsi" w:cstheme="majorHAnsi"/>
          <w:sz w:val="22"/>
          <w:szCs w:val="22"/>
        </w:rPr>
        <w:t xml:space="preserve"> arising in the context </w:t>
      </w:r>
      <w:r w:rsidR="00125177" w:rsidRPr="005759D1">
        <w:rPr>
          <w:rFonts w:asciiTheme="majorHAnsi" w:hAnsiTheme="majorHAnsi" w:cstheme="majorHAnsi"/>
          <w:sz w:val="22"/>
          <w:szCs w:val="22"/>
        </w:rPr>
        <w:t>of coronary surgery</w:t>
      </w:r>
      <w:r w:rsidR="0071054A" w:rsidRPr="005759D1">
        <w:rPr>
          <w:rFonts w:asciiTheme="majorHAnsi" w:hAnsiTheme="majorHAnsi" w:cstheme="majorHAnsi"/>
          <w:sz w:val="22"/>
          <w:szCs w:val="22"/>
        </w:rPr>
        <w:t xml:space="preserve"> and is associated with a two fold increase in cardiovascular mortality and morbidity</w:t>
      </w:r>
      <w:r w:rsidR="00E9305F" w:rsidRPr="005759D1">
        <w:rPr>
          <w:rFonts w:asciiTheme="majorHAnsi" w:hAnsiTheme="majorHAnsi" w:cstheme="majorHAnsi"/>
          <w:sz w:val="22"/>
          <w:szCs w:val="22"/>
        </w:rPr>
        <w:t xml:space="preserve"> compared to persons </w:t>
      </w:r>
      <w:r w:rsidR="005A3FCE" w:rsidRPr="005759D1">
        <w:rPr>
          <w:rFonts w:asciiTheme="majorHAnsi" w:hAnsiTheme="majorHAnsi" w:cstheme="majorHAnsi"/>
          <w:sz w:val="22"/>
          <w:szCs w:val="22"/>
        </w:rPr>
        <w:t>who maintain</w:t>
      </w:r>
      <w:r w:rsidR="00E9305F" w:rsidRPr="005759D1">
        <w:rPr>
          <w:rFonts w:asciiTheme="majorHAnsi" w:hAnsiTheme="majorHAnsi" w:cstheme="majorHAnsi"/>
          <w:sz w:val="22"/>
          <w:szCs w:val="22"/>
        </w:rPr>
        <w:t xml:space="preserve"> normal sinus rhythm</w:t>
      </w:r>
      <w:r w:rsidR="00D0356F" w:rsidRPr="005759D1">
        <w:rPr>
          <w:rFonts w:asciiTheme="majorHAnsi" w:hAnsiTheme="majorHAnsi" w:cstheme="majorHAnsi"/>
          <w:sz w:val="22"/>
          <w:szCs w:val="22"/>
        </w:rPr>
        <w:t xml:space="preserve"> (</w:t>
      </w:r>
      <w:r w:rsidR="00D9737D" w:rsidRPr="005759D1">
        <w:rPr>
          <w:rFonts w:asciiTheme="majorHAnsi" w:hAnsiTheme="majorHAnsi" w:cstheme="majorHAnsi"/>
          <w:color w:val="FF0000"/>
          <w:sz w:val="22"/>
          <w:szCs w:val="22"/>
        </w:rPr>
        <w:t>6</w:t>
      </w:r>
      <w:r w:rsidR="0071054A" w:rsidRPr="005759D1">
        <w:rPr>
          <w:rFonts w:asciiTheme="majorHAnsi" w:hAnsiTheme="majorHAnsi" w:cstheme="majorHAnsi"/>
          <w:sz w:val="22"/>
          <w:szCs w:val="22"/>
        </w:rPr>
        <w:t>)</w:t>
      </w:r>
      <w:r w:rsidR="00125177" w:rsidRPr="005759D1">
        <w:rPr>
          <w:rFonts w:asciiTheme="majorHAnsi" w:hAnsiTheme="majorHAnsi" w:cstheme="majorHAnsi"/>
          <w:sz w:val="22"/>
          <w:szCs w:val="22"/>
        </w:rPr>
        <w:t xml:space="preserve">.  </w:t>
      </w:r>
      <w:r w:rsidR="00602B36" w:rsidRPr="005759D1">
        <w:rPr>
          <w:rFonts w:asciiTheme="majorHAnsi" w:hAnsiTheme="majorHAnsi" w:cstheme="majorHAnsi"/>
          <w:sz w:val="22"/>
          <w:szCs w:val="22"/>
        </w:rPr>
        <w:t>POAF</w:t>
      </w:r>
      <w:r w:rsidR="009935FB" w:rsidRPr="005759D1">
        <w:rPr>
          <w:rFonts w:asciiTheme="majorHAnsi" w:hAnsiTheme="majorHAnsi" w:cstheme="majorHAnsi"/>
          <w:sz w:val="22"/>
          <w:szCs w:val="22"/>
        </w:rPr>
        <w:t xml:space="preserve"> can occur in one of three forms:  1) paroxysmal (temporary, usually terminating spontaneously within seven days of onset), 2) persistent AF</w:t>
      </w:r>
      <w:r w:rsidR="00FF0E45" w:rsidRPr="005759D1">
        <w:rPr>
          <w:rFonts w:asciiTheme="majorHAnsi" w:hAnsiTheme="majorHAnsi" w:cstheme="majorHAnsi"/>
          <w:sz w:val="22"/>
          <w:szCs w:val="22"/>
        </w:rPr>
        <w:t xml:space="preserve"> </w:t>
      </w:r>
      <w:r w:rsidR="009935FB" w:rsidRPr="005759D1">
        <w:rPr>
          <w:rFonts w:asciiTheme="majorHAnsi" w:hAnsiTheme="majorHAnsi" w:cstheme="majorHAnsi"/>
          <w:sz w:val="22"/>
          <w:szCs w:val="22"/>
        </w:rPr>
        <w:t xml:space="preserve">(is eventually convertible to normal sinus rhythm but lasts &gt; seven days), and 3) permanent AF (electrical cardioconversion cannot be achieved) </w:t>
      </w:r>
      <w:r w:rsidR="00D9737D" w:rsidRPr="005759D1">
        <w:rPr>
          <w:rFonts w:asciiTheme="majorHAnsi" w:hAnsiTheme="majorHAnsi" w:cstheme="majorHAnsi"/>
          <w:sz w:val="22"/>
          <w:szCs w:val="22"/>
        </w:rPr>
        <w:t>(</w:t>
      </w:r>
      <w:r w:rsidR="00D9737D" w:rsidRPr="005759D1">
        <w:rPr>
          <w:rFonts w:asciiTheme="majorHAnsi" w:hAnsiTheme="majorHAnsi" w:cstheme="majorHAnsi"/>
          <w:color w:val="FF0000"/>
          <w:sz w:val="22"/>
          <w:szCs w:val="22"/>
        </w:rPr>
        <w:t>2</w:t>
      </w:r>
      <w:r w:rsidR="00FF0E45" w:rsidRPr="005759D1">
        <w:rPr>
          <w:rFonts w:asciiTheme="majorHAnsi" w:hAnsiTheme="majorHAnsi" w:cstheme="majorHAnsi"/>
          <w:sz w:val="22"/>
          <w:szCs w:val="22"/>
        </w:rPr>
        <w:t>).</w:t>
      </w:r>
      <w:r w:rsidR="009935FB" w:rsidRPr="005759D1">
        <w:rPr>
          <w:rFonts w:asciiTheme="majorHAnsi" w:hAnsiTheme="majorHAnsi" w:cstheme="majorHAnsi"/>
          <w:sz w:val="22"/>
          <w:szCs w:val="22"/>
        </w:rPr>
        <w:t xml:space="preserve">  </w:t>
      </w:r>
      <w:r w:rsidR="00DF4085" w:rsidRPr="005759D1">
        <w:rPr>
          <w:rFonts w:asciiTheme="majorHAnsi" w:hAnsiTheme="majorHAnsi" w:cstheme="majorHAnsi"/>
          <w:sz w:val="22"/>
          <w:szCs w:val="22"/>
        </w:rPr>
        <w:t xml:space="preserve">Most commonly, onset occurs within the first 5 days with highest incidence at </w:t>
      </w:r>
      <w:r w:rsidR="00933C39" w:rsidRPr="005759D1">
        <w:rPr>
          <w:rFonts w:asciiTheme="majorHAnsi" w:hAnsiTheme="majorHAnsi" w:cstheme="majorHAnsi"/>
          <w:sz w:val="22"/>
          <w:szCs w:val="22"/>
        </w:rPr>
        <w:t xml:space="preserve">48 to </w:t>
      </w:r>
      <w:r w:rsidR="00DF4085" w:rsidRPr="005759D1">
        <w:rPr>
          <w:rFonts w:asciiTheme="majorHAnsi" w:hAnsiTheme="majorHAnsi" w:cstheme="majorHAnsi"/>
          <w:sz w:val="22"/>
          <w:szCs w:val="22"/>
        </w:rPr>
        <w:t>72 hours</w:t>
      </w:r>
      <w:r w:rsidR="00DC6D3D" w:rsidRPr="005759D1">
        <w:rPr>
          <w:rFonts w:asciiTheme="majorHAnsi" w:hAnsiTheme="majorHAnsi" w:cstheme="majorHAnsi"/>
          <w:sz w:val="22"/>
          <w:szCs w:val="22"/>
        </w:rPr>
        <w:t xml:space="preserve"> post surgery</w:t>
      </w:r>
      <w:r w:rsidR="00DF4085" w:rsidRPr="005759D1">
        <w:rPr>
          <w:rFonts w:asciiTheme="majorHAnsi" w:hAnsiTheme="majorHAnsi" w:cstheme="majorHAnsi"/>
          <w:sz w:val="22"/>
          <w:szCs w:val="22"/>
        </w:rPr>
        <w:t xml:space="preserve"> (</w:t>
      </w:r>
      <w:r w:rsidR="00D9737D" w:rsidRPr="005759D1">
        <w:rPr>
          <w:rFonts w:asciiTheme="majorHAnsi" w:hAnsiTheme="majorHAnsi" w:cstheme="majorHAnsi"/>
          <w:color w:val="FF0000"/>
          <w:sz w:val="22"/>
          <w:szCs w:val="22"/>
        </w:rPr>
        <w:t>7</w:t>
      </w:r>
      <w:r w:rsidR="00DF4085" w:rsidRPr="005759D1">
        <w:rPr>
          <w:rFonts w:asciiTheme="majorHAnsi" w:hAnsiTheme="majorHAnsi" w:cstheme="majorHAnsi"/>
          <w:sz w:val="22"/>
          <w:szCs w:val="22"/>
        </w:rPr>
        <w:t>)</w:t>
      </w:r>
      <w:r w:rsidR="00DC6D3D" w:rsidRPr="005759D1">
        <w:rPr>
          <w:rFonts w:asciiTheme="majorHAnsi" w:hAnsiTheme="majorHAnsi" w:cstheme="majorHAnsi"/>
          <w:sz w:val="22"/>
          <w:szCs w:val="22"/>
        </w:rPr>
        <w:t>.</w:t>
      </w:r>
      <w:r w:rsidR="00DF4085" w:rsidRPr="005759D1">
        <w:rPr>
          <w:rFonts w:asciiTheme="majorHAnsi" w:hAnsiTheme="majorHAnsi" w:cstheme="majorHAnsi"/>
          <w:sz w:val="22"/>
          <w:szCs w:val="22"/>
        </w:rPr>
        <w:t xml:space="preserve"> </w:t>
      </w:r>
      <w:r w:rsidR="00125177" w:rsidRPr="005759D1">
        <w:rPr>
          <w:rFonts w:asciiTheme="majorHAnsi" w:hAnsiTheme="majorHAnsi" w:cstheme="majorHAnsi"/>
          <w:sz w:val="22"/>
          <w:szCs w:val="22"/>
        </w:rPr>
        <w:t>I</w:t>
      </w:r>
      <w:r w:rsidRPr="005759D1">
        <w:rPr>
          <w:rFonts w:asciiTheme="majorHAnsi" w:hAnsiTheme="majorHAnsi" w:cstheme="majorHAnsi"/>
          <w:sz w:val="22"/>
          <w:szCs w:val="22"/>
        </w:rPr>
        <w:t xml:space="preserve">ncidence </w:t>
      </w:r>
      <w:r w:rsidR="00B71DAD" w:rsidRPr="005759D1">
        <w:rPr>
          <w:rFonts w:asciiTheme="majorHAnsi" w:hAnsiTheme="majorHAnsi" w:cstheme="majorHAnsi"/>
          <w:sz w:val="22"/>
          <w:szCs w:val="22"/>
        </w:rPr>
        <w:t xml:space="preserve">rates </w:t>
      </w:r>
      <w:r w:rsidR="00125177" w:rsidRPr="005759D1">
        <w:rPr>
          <w:rFonts w:asciiTheme="majorHAnsi" w:hAnsiTheme="majorHAnsi" w:cstheme="majorHAnsi"/>
          <w:sz w:val="22"/>
          <w:szCs w:val="22"/>
        </w:rPr>
        <w:t>are estimated to range between 10</w:t>
      </w:r>
      <w:r w:rsidR="00FF0E45" w:rsidRPr="005759D1">
        <w:rPr>
          <w:rFonts w:asciiTheme="majorHAnsi" w:hAnsiTheme="majorHAnsi" w:cstheme="majorHAnsi"/>
          <w:sz w:val="22"/>
          <w:szCs w:val="22"/>
        </w:rPr>
        <w:t xml:space="preserve"> to 50% (</w:t>
      </w:r>
      <w:r w:rsidR="005A3FCE" w:rsidRPr="005759D1">
        <w:rPr>
          <w:rFonts w:asciiTheme="majorHAnsi" w:hAnsiTheme="majorHAnsi" w:cstheme="majorHAnsi"/>
          <w:color w:val="FF0000"/>
          <w:sz w:val="22"/>
          <w:szCs w:val="22"/>
        </w:rPr>
        <w:t>1,</w:t>
      </w:r>
      <w:r w:rsidR="00D9737D" w:rsidRPr="005759D1">
        <w:rPr>
          <w:rFonts w:asciiTheme="majorHAnsi" w:hAnsiTheme="majorHAnsi" w:cstheme="majorHAnsi"/>
          <w:color w:val="FF0000"/>
          <w:sz w:val="22"/>
          <w:szCs w:val="22"/>
        </w:rPr>
        <w:t>2</w:t>
      </w:r>
      <w:r w:rsidRPr="005759D1">
        <w:rPr>
          <w:rFonts w:asciiTheme="majorHAnsi" w:hAnsiTheme="majorHAnsi" w:cstheme="majorHAnsi"/>
          <w:sz w:val="22"/>
          <w:szCs w:val="22"/>
        </w:rPr>
        <w:t xml:space="preserve">).  </w:t>
      </w:r>
      <w:r w:rsidR="000A3242" w:rsidRPr="005759D1">
        <w:rPr>
          <w:rFonts w:asciiTheme="majorHAnsi" w:hAnsiTheme="majorHAnsi" w:cstheme="majorHAnsi"/>
          <w:sz w:val="22"/>
          <w:szCs w:val="22"/>
        </w:rPr>
        <w:t>POAF is associated with serious adverse events including heightened risk of venous thromboembolism (VTE) and stroke as a consequence of hemodynamic instability or deterioration associated with impaired ventricular filling and cardiac output.   POAF may also contribute to long term cardiac pathology including exacerbation of heart failure (</w:t>
      </w:r>
      <w:r w:rsidR="00D9737D" w:rsidRPr="005759D1">
        <w:rPr>
          <w:rFonts w:asciiTheme="majorHAnsi" w:hAnsiTheme="majorHAnsi" w:cstheme="majorHAnsi"/>
          <w:color w:val="FF0000"/>
          <w:sz w:val="22"/>
          <w:szCs w:val="22"/>
        </w:rPr>
        <w:t>6</w:t>
      </w:r>
      <w:r w:rsidR="005A3FCE" w:rsidRPr="005759D1">
        <w:rPr>
          <w:rFonts w:asciiTheme="majorHAnsi" w:hAnsiTheme="majorHAnsi" w:cstheme="majorHAnsi"/>
          <w:color w:val="FF0000"/>
          <w:sz w:val="22"/>
          <w:szCs w:val="22"/>
        </w:rPr>
        <w:t>,10</w:t>
      </w:r>
      <w:r w:rsidR="000A3242" w:rsidRPr="005759D1">
        <w:rPr>
          <w:rFonts w:asciiTheme="majorHAnsi" w:hAnsiTheme="majorHAnsi" w:cstheme="majorHAnsi"/>
          <w:sz w:val="22"/>
          <w:szCs w:val="22"/>
        </w:rPr>
        <w:t>)</w:t>
      </w:r>
      <w:r w:rsidR="00DC6D3D" w:rsidRPr="005759D1">
        <w:rPr>
          <w:rFonts w:asciiTheme="majorHAnsi" w:hAnsiTheme="majorHAnsi" w:cstheme="majorHAnsi"/>
          <w:sz w:val="22"/>
          <w:szCs w:val="22"/>
        </w:rPr>
        <w:t>.</w:t>
      </w:r>
      <w:r w:rsidR="000A3242" w:rsidRPr="005759D1">
        <w:rPr>
          <w:rFonts w:asciiTheme="majorHAnsi" w:hAnsiTheme="majorHAnsi" w:cstheme="majorHAnsi"/>
          <w:sz w:val="22"/>
          <w:szCs w:val="22"/>
        </w:rPr>
        <w:t xml:space="preserve">  Additional consequences include renal decline, increased mortality, and </w:t>
      </w:r>
      <w:r w:rsidR="00C519C3" w:rsidRPr="005759D1">
        <w:rPr>
          <w:rFonts w:asciiTheme="majorHAnsi" w:hAnsiTheme="majorHAnsi" w:cstheme="majorHAnsi"/>
          <w:sz w:val="22"/>
          <w:szCs w:val="22"/>
        </w:rPr>
        <w:t xml:space="preserve">increased </w:t>
      </w:r>
      <w:r w:rsidR="000A3242" w:rsidRPr="005759D1">
        <w:rPr>
          <w:rFonts w:asciiTheme="majorHAnsi" w:hAnsiTheme="majorHAnsi" w:cstheme="majorHAnsi"/>
          <w:sz w:val="22"/>
          <w:szCs w:val="22"/>
        </w:rPr>
        <w:t>health care costs related to increased length of ho</w:t>
      </w:r>
      <w:r w:rsidR="00602B36" w:rsidRPr="005759D1">
        <w:rPr>
          <w:rFonts w:asciiTheme="majorHAnsi" w:hAnsiTheme="majorHAnsi" w:cstheme="majorHAnsi"/>
          <w:sz w:val="22"/>
          <w:szCs w:val="22"/>
        </w:rPr>
        <w:t>spital stay and emergence of adverse events (</w:t>
      </w:r>
      <w:r w:rsidR="00602B36" w:rsidRPr="005759D1">
        <w:rPr>
          <w:rFonts w:asciiTheme="majorHAnsi" w:hAnsiTheme="majorHAnsi" w:cstheme="majorHAnsi"/>
          <w:color w:val="FF0000"/>
          <w:sz w:val="22"/>
          <w:szCs w:val="22"/>
        </w:rPr>
        <w:t>1</w:t>
      </w:r>
      <w:r w:rsidR="00602B36" w:rsidRPr="005759D1">
        <w:rPr>
          <w:rFonts w:asciiTheme="majorHAnsi" w:hAnsiTheme="majorHAnsi" w:cstheme="majorHAnsi"/>
          <w:sz w:val="22"/>
          <w:szCs w:val="22"/>
        </w:rPr>
        <w:t xml:space="preserve">).  </w:t>
      </w:r>
    </w:p>
    <w:p w:rsidR="008616E9" w:rsidRPr="005759D1" w:rsidRDefault="008616E9" w:rsidP="007710A3">
      <w:pPr>
        <w:rPr>
          <w:rFonts w:asciiTheme="majorHAnsi" w:hAnsiTheme="majorHAnsi" w:cstheme="majorHAnsi"/>
          <w:sz w:val="22"/>
          <w:szCs w:val="22"/>
        </w:rPr>
      </w:pPr>
    </w:p>
    <w:p w:rsidR="00933C39" w:rsidRPr="005759D1" w:rsidRDefault="00E9305F" w:rsidP="00933C39">
      <w:pPr>
        <w:rPr>
          <w:rFonts w:asciiTheme="majorHAnsi" w:hAnsiTheme="majorHAnsi" w:cstheme="majorHAnsi"/>
          <w:sz w:val="22"/>
          <w:szCs w:val="22"/>
        </w:rPr>
      </w:pPr>
      <w:r w:rsidRPr="005759D1">
        <w:rPr>
          <w:rFonts w:asciiTheme="majorHAnsi" w:hAnsiTheme="majorHAnsi" w:cstheme="majorHAnsi"/>
          <w:sz w:val="22"/>
          <w:szCs w:val="22"/>
        </w:rPr>
        <w:t>In the context of CABG, POAF can occur i</w:t>
      </w:r>
      <w:r w:rsidR="00727B5E" w:rsidRPr="005759D1">
        <w:rPr>
          <w:rFonts w:asciiTheme="majorHAnsi" w:hAnsiTheme="majorHAnsi" w:cstheme="majorHAnsi"/>
          <w:sz w:val="22"/>
          <w:szCs w:val="22"/>
        </w:rPr>
        <w:t>rrespective of whe</w:t>
      </w:r>
      <w:r w:rsidRPr="005759D1">
        <w:rPr>
          <w:rFonts w:asciiTheme="majorHAnsi" w:hAnsiTheme="majorHAnsi" w:cstheme="majorHAnsi"/>
          <w:sz w:val="22"/>
          <w:szCs w:val="22"/>
        </w:rPr>
        <w:t>ther on and off pump approach is</w:t>
      </w:r>
      <w:r w:rsidR="00727B5E" w:rsidRPr="005759D1">
        <w:rPr>
          <w:rFonts w:asciiTheme="majorHAnsi" w:hAnsiTheme="majorHAnsi" w:cstheme="majorHAnsi"/>
          <w:sz w:val="22"/>
          <w:szCs w:val="22"/>
        </w:rPr>
        <w:t xml:space="preserve"> used </w:t>
      </w:r>
      <w:r w:rsidRPr="005759D1">
        <w:rPr>
          <w:rFonts w:asciiTheme="majorHAnsi" w:hAnsiTheme="majorHAnsi" w:cstheme="majorHAnsi"/>
          <w:sz w:val="22"/>
          <w:szCs w:val="22"/>
        </w:rPr>
        <w:t>and is postulated to arise as a consequence of r</w:t>
      </w:r>
      <w:r w:rsidR="00727B5E" w:rsidRPr="005759D1">
        <w:rPr>
          <w:rFonts w:asciiTheme="majorHAnsi" w:hAnsiTheme="majorHAnsi" w:cstheme="majorHAnsi"/>
          <w:sz w:val="22"/>
          <w:szCs w:val="22"/>
        </w:rPr>
        <w:t>eperfusion injury</w:t>
      </w:r>
      <w:r w:rsidRPr="005759D1">
        <w:rPr>
          <w:rFonts w:asciiTheme="majorHAnsi" w:hAnsiTheme="majorHAnsi" w:cstheme="majorHAnsi"/>
          <w:sz w:val="22"/>
          <w:szCs w:val="22"/>
        </w:rPr>
        <w:t xml:space="preserve"> in susceptible individuals with facilitating risk profiles.  Risk indices have been modeled to rank patients relative to their risk profiles (</w:t>
      </w:r>
      <w:r w:rsidRPr="005759D1">
        <w:rPr>
          <w:rFonts w:asciiTheme="majorHAnsi" w:hAnsiTheme="majorHAnsi" w:cstheme="majorHAnsi"/>
          <w:color w:val="FF0000"/>
          <w:sz w:val="22"/>
          <w:szCs w:val="22"/>
        </w:rPr>
        <w:t>1</w:t>
      </w:r>
      <w:r w:rsidRPr="005759D1">
        <w:rPr>
          <w:rFonts w:asciiTheme="majorHAnsi" w:hAnsiTheme="majorHAnsi" w:cstheme="majorHAnsi"/>
          <w:sz w:val="22"/>
          <w:szCs w:val="22"/>
        </w:rPr>
        <w:t xml:space="preserve">).   </w:t>
      </w:r>
      <w:r w:rsidR="00933C39" w:rsidRPr="005759D1">
        <w:rPr>
          <w:rFonts w:asciiTheme="majorHAnsi" w:hAnsiTheme="majorHAnsi" w:cstheme="majorHAnsi"/>
          <w:sz w:val="22"/>
          <w:szCs w:val="22"/>
        </w:rPr>
        <w:t>Underlying factors which are thought to predispose patients to POAF are highly complex and believed to be multifactorial.  Suggested contributing factors include pre-existing underlying cardiac and/or vascular pathology</w:t>
      </w:r>
      <w:r w:rsidR="00FB0C5D" w:rsidRPr="005759D1">
        <w:rPr>
          <w:rFonts w:asciiTheme="majorHAnsi" w:hAnsiTheme="majorHAnsi" w:cstheme="majorHAnsi"/>
          <w:sz w:val="22"/>
          <w:szCs w:val="22"/>
        </w:rPr>
        <w:t xml:space="preserve"> including cardiomyopathy, ischemic heart disease and cardiac insufficiency</w:t>
      </w:r>
      <w:r w:rsidR="00933C39" w:rsidRPr="005759D1">
        <w:rPr>
          <w:rFonts w:asciiTheme="majorHAnsi" w:hAnsiTheme="majorHAnsi" w:cstheme="majorHAnsi"/>
          <w:sz w:val="22"/>
          <w:szCs w:val="22"/>
        </w:rPr>
        <w:t>, inflammatory and oxidative stress, genetic predisposition as well as intra and post-operative factors leading to and/or associated with, compensatory cardiac remodeling that may be triggered in response to CABG or other cardiac surgery at the onset of AF(</w:t>
      </w:r>
      <w:r w:rsidR="00D9737D" w:rsidRPr="005759D1">
        <w:rPr>
          <w:rFonts w:asciiTheme="majorHAnsi" w:hAnsiTheme="majorHAnsi" w:cstheme="majorHAnsi"/>
          <w:color w:val="FF0000"/>
          <w:sz w:val="22"/>
          <w:szCs w:val="22"/>
        </w:rPr>
        <w:t>7</w:t>
      </w:r>
      <w:r w:rsidR="00933C39" w:rsidRPr="005759D1">
        <w:rPr>
          <w:rFonts w:asciiTheme="majorHAnsi" w:hAnsiTheme="majorHAnsi" w:cstheme="majorHAnsi"/>
          <w:sz w:val="22"/>
          <w:szCs w:val="22"/>
        </w:rPr>
        <w:t>)</w:t>
      </w:r>
      <w:r w:rsidR="00DC6D3D" w:rsidRPr="005759D1">
        <w:rPr>
          <w:rFonts w:asciiTheme="majorHAnsi" w:hAnsiTheme="majorHAnsi" w:cstheme="majorHAnsi"/>
          <w:sz w:val="22"/>
          <w:szCs w:val="22"/>
        </w:rPr>
        <w:t>.</w:t>
      </w:r>
      <w:r w:rsidR="00933C39" w:rsidRPr="005759D1">
        <w:rPr>
          <w:rFonts w:asciiTheme="majorHAnsi" w:hAnsiTheme="majorHAnsi" w:cstheme="majorHAnsi"/>
          <w:sz w:val="22"/>
          <w:szCs w:val="22"/>
        </w:rPr>
        <w:t xml:space="preserve"> </w:t>
      </w:r>
      <w:r w:rsidRPr="005759D1">
        <w:rPr>
          <w:rFonts w:asciiTheme="majorHAnsi" w:hAnsiTheme="majorHAnsi" w:cstheme="majorHAnsi"/>
          <w:sz w:val="22"/>
          <w:szCs w:val="22"/>
        </w:rPr>
        <w:t xml:space="preserve">Patients with congestive heart failure (CHF), mitral valve pathology, who are of advanced age and those with atrial interstitial </w:t>
      </w:r>
      <w:r w:rsidR="009935FB" w:rsidRPr="005759D1">
        <w:rPr>
          <w:rFonts w:asciiTheme="majorHAnsi" w:hAnsiTheme="majorHAnsi" w:cstheme="majorHAnsi"/>
          <w:sz w:val="22"/>
          <w:szCs w:val="22"/>
        </w:rPr>
        <w:t>fibrosis,</w:t>
      </w:r>
      <w:r w:rsidRPr="005759D1">
        <w:rPr>
          <w:rFonts w:asciiTheme="majorHAnsi" w:hAnsiTheme="majorHAnsi" w:cstheme="majorHAnsi"/>
          <w:sz w:val="22"/>
          <w:szCs w:val="22"/>
        </w:rPr>
        <w:t xml:space="preserve"> are particularly susceptible to development of P</w:t>
      </w:r>
      <w:r w:rsidR="00FF0E45" w:rsidRPr="005759D1">
        <w:rPr>
          <w:rFonts w:asciiTheme="majorHAnsi" w:hAnsiTheme="majorHAnsi" w:cstheme="majorHAnsi"/>
          <w:sz w:val="22"/>
          <w:szCs w:val="22"/>
        </w:rPr>
        <w:t>OAF (</w:t>
      </w:r>
      <w:r w:rsidR="00D9737D" w:rsidRPr="005759D1">
        <w:rPr>
          <w:rFonts w:asciiTheme="majorHAnsi" w:hAnsiTheme="majorHAnsi" w:cstheme="majorHAnsi"/>
          <w:color w:val="FF0000"/>
          <w:sz w:val="22"/>
          <w:szCs w:val="22"/>
        </w:rPr>
        <w:t>8</w:t>
      </w:r>
      <w:r w:rsidRPr="005759D1">
        <w:rPr>
          <w:rFonts w:asciiTheme="majorHAnsi" w:hAnsiTheme="majorHAnsi" w:cstheme="majorHAnsi"/>
          <w:sz w:val="22"/>
          <w:szCs w:val="22"/>
        </w:rPr>
        <w:t xml:space="preserve">).  </w:t>
      </w:r>
      <w:r w:rsidR="009935FB" w:rsidRPr="005759D1">
        <w:rPr>
          <w:rFonts w:asciiTheme="majorHAnsi" w:hAnsiTheme="majorHAnsi" w:cstheme="majorHAnsi"/>
          <w:sz w:val="22"/>
          <w:szCs w:val="22"/>
        </w:rPr>
        <w:t xml:space="preserve">Among patients at risk for </w:t>
      </w:r>
      <w:r w:rsidR="00933C39" w:rsidRPr="005759D1">
        <w:rPr>
          <w:rFonts w:asciiTheme="majorHAnsi" w:hAnsiTheme="majorHAnsi" w:cstheme="majorHAnsi"/>
          <w:sz w:val="22"/>
          <w:szCs w:val="22"/>
        </w:rPr>
        <w:t xml:space="preserve">permanent </w:t>
      </w:r>
      <w:r w:rsidR="009935FB" w:rsidRPr="005759D1">
        <w:rPr>
          <w:rFonts w:asciiTheme="majorHAnsi" w:hAnsiTheme="majorHAnsi" w:cstheme="majorHAnsi"/>
          <w:sz w:val="22"/>
          <w:szCs w:val="22"/>
        </w:rPr>
        <w:t>AF are those with coronary heart disease, hypertension and ventricular hypertrophy</w:t>
      </w:r>
      <w:r w:rsidR="00933C39" w:rsidRPr="005759D1">
        <w:rPr>
          <w:rFonts w:asciiTheme="majorHAnsi" w:hAnsiTheme="majorHAnsi" w:cstheme="majorHAnsi"/>
          <w:sz w:val="22"/>
          <w:szCs w:val="22"/>
        </w:rPr>
        <w:t xml:space="preserve"> (</w:t>
      </w:r>
      <w:r w:rsidR="00D9737D" w:rsidRPr="005759D1">
        <w:rPr>
          <w:rFonts w:asciiTheme="majorHAnsi" w:hAnsiTheme="majorHAnsi" w:cstheme="majorHAnsi"/>
          <w:color w:val="FF0000"/>
          <w:sz w:val="22"/>
          <w:szCs w:val="22"/>
        </w:rPr>
        <w:t>9</w:t>
      </w:r>
      <w:r w:rsidR="00933C39" w:rsidRPr="005759D1">
        <w:rPr>
          <w:rFonts w:asciiTheme="majorHAnsi" w:hAnsiTheme="majorHAnsi" w:cstheme="majorHAnsi"/>
          <w:sz w:val="22"/>
          <w:szCs w:val="22"/>
        </w:rPr>
        <w:t>)</w:t>
      </w:r>
      <w:r w:rsidR="009935FB" w:rsidRPr="005759D1">
        <w:rPr>
          <w:rFonts w:asciiTheme="majorHAnsi" w:hAnsiTheme="majorHAnsi" w:cstheme="majorHAnsi"/>
          <w:sz w:val="22"/>
          <w:szCs w:val="22"/>
        </w:rPr>
        <w:t xml:space="preserve">.   </w:t>
      </w:r>
    </w:p>
    <w:p w:rsidR="00C519C3" w:rsidRPr="005759D1" w:rsidRDefault="00C519C3" w:rsidP="00933C39">
      <w:pPr>
        <w:rPr>
          <w:rFonts w:asciiTheme="majorHAnsi" w:hAnsiTheme="majorHAnsi" w:cstheme="majorHAnsi"/>
          <w:sz w:val="22"/>
          <w:szCs w:val="22"/>
        </w:rPr>
      </w:pPr>
    </w:p>
    <w:p w:rsidR="00933C39" w:rsidRPr="005759D1" w:rsidRDefault="00C519C3" w:rsidP="00933C39">
      <w:pPr>
        <w:rPr>
          <w:rFonts w:asciiTheme="majorHAnsi" w:hAnsiTheme="majorHAnsi" w:cstheme="majorHAnsi"/>
          <w:sz w:val="22"/>
          <w:szCs w:val="22"/>
        </w:rPr>
      </w:pPr>
      <w:r w:rsidRPr="005759D1">
        <w:rPr>
          <w:rFonts w:asciiTheme="majorHAnsi" w:hAnsiTheme="majorHAnsi" w:cstheme="majorHAnsi"/>
          <w:sz w:val="22"/>
          <w:szCs w:val="22"/>
        </w:rPr>
        <w:t xml:space="preserve">Mechanisms underlying emergence of POAF remain poorly understood.  </w:t>
      </w:r>
      <w:r w:rsidR="004E05B9" w:rsidRPr="005759D1">
        <w:rPr>
          <w:rFonts w:asciiTheme="majorHAnsi" w:hAnsiTheme="majorHAnsi" w:cstheme="majorHAnsi"/>
          <w:sz w:val="22"/>
          <w:szCs w:val="22"/>
        </w:rPr>
        <w:t xml:space="preserve">Studies </w:t>
      </w:r>
      <w:r w:rsidR="00EB0AF8" w:rsidRPr="005759D1">
        <w:rPr>
          <w:rFonts w:asciiTheme="majorHAnsi" w:hAnsiTheme="majorHAnsi" w:cstheme="majorHAnsi"/>
          <w:sz w:val="22"/>
          <w:szCs w:val="22"/>
        </w:rPr>
        <w:t>in animal models</w:t>
      </w:r>
      <w:r w:rsidR="004E05B9" w:rsidRPr="005759D1">
        <w:rPr>
          <w:rFonts w:asciiTheme="majorHAnsi" w:hAnsiTheme="majorHAnsi" w:cstheme="majorHAnsi"/>
          <w:sz w:val="22"/>
          <w:szCs w:val="22"/>
        </w:rPr>
        <w:t>,</w:t>
      </w:r>
      <w:r w:rsidR="00EB0AF8" w:rsidRPr="005759D1">
        <w:rPr>
          <w:rFonts w:asciiTheme="majorHAnsi" w:hAnsiTheme="majorHAnsi" w:cstheme="majorHAnsi"/>
          <w:sz w:val="22"/>
          <w:szCs w:val="22"/>
        </w:rPr>
        <w:t xml:space="preserve"> in vitro </w:t>
      </w:r>
      <w:r w:rsidR="004E05B9" w:rsidRPr="005759D1">
        <w:rPr>
          <w:rFonts w:asciiTheme="majorHAnsi" w:hAnsiTheme="majorHAnsi" w:cstheme="majorHAnsi"/>
          <w:sz w:val="22"/>
          <w:szCs w:val="22"/>
        </w:rPr>
        <w:t xml:space="preserve">studies </w:t>
      </w:r>
      <w:r w:rsidR="00EB0AF8" w:rsidRPr="005759D1">
        <w:rPr>
          <w:rFonts w:asciiTheme="majorHAnsi" w:hAnsiTheme="majorHAnsi" w:cstheme="majorHAnsi"/>
          <w:sz w:val="22"/>
          <w:szCs w:val="22"/>
        </w:rPr>
        <w:t xml:space="preserve">and </w:t>
      </w:r>
      <w:r w:rsidR="004E05B9" w:rsidRPr="005759D1">
        <w:rPr>
          <w:rFonts w:asciiTheme="majorHAnsi" w:hAnsiTheme="majorHAnsi" w:cstheme="majorHAnsi"/>
          <w:sz w:val="22"/>
          <w:szCs w:val="22"/>
        </w:rPr>
        <w:t xml:space="preserve">data from </w:t>
      </w:r>
      <w:r w:rsidR="00EB0AF8" w:rsidRPr="005759D1">
        <w:rPr>
          <w:rFonts w:asciiTheme="majorHAnsi" w:hAnsiTheme="majorHAnsi" w:cstheme="majorHAnsi"/>
          <w:sz w:val="22"/>
          <w:szCs w:val="22"/>
        </w:rPr>
        <w:t>clinical trials support a role for o</w:t>
      </w:r>
      <w:r w:rsidRPr="005759D1">
        <w:rPr>
          <w:rFonts w:asciiTheme="majorHAnsi" w:hAnsiTheme="majorHAnsi" w:cstheme="majorHAnsi"/>
          <w:sz w:val="22"/>
          <w:szCs w:val="22"/>
        </w:rPr>
        <w:t xml:space="preserve">xidative </w:t>
      </w:r>
      <w:r w:rsidR="00FE3191" w:rsidRPr="005759D1">
        <w:rPr>
          <w:rFonts w:asciiTheme="majorHAnsi" w:hAnsiTheme="majorHAnsi" w:cstheme="majorHAnsi"/>
          <w:sz w:val="22"/>
          <w:szCs w:val="22"/>
        </w:rPr>
        <w:t xml:space="preserve">injury and </w:t>
      </w:r>
      <w:r w:rsidRPr="005759D1">
        <w:rPr>
          <w:rFonts w:asciiTheme="majorHAnsi" w:hAnsiTheme="majorHAnsi" w:cstheme="majorHAnsi"/>
          <w:sz w:val="22"/>
          <w:szCs w:val="22"/>
        </w:rPr>
        <w:t>stress</w:t>
      </w:r>
      <w:r w:rsidR="00FE3191" w:rsidRPr="005759D1">
        <w:rPr>
          <w:rFonts w:asciiTheme="majorHAnsi" w:hAnsiTheme="majorHAnsi" w:cstheme="majorHAnsi"/>
          <w:sz w:val="22"/>
          <w:szCs w:val="22"/>
        </w:rPr>
        <w:t>,</w:t>
      </w:r>
      <w:r w:rsidRPr="005759D1">
        <w:rPr>
          <w:rFonts w:asciiTheme="majorHAnsi" w:hAnsiTheme="majorHAnsi" w:cstheme="majorHAnsi"/>
          <w:sz w:val="22"/>
          <w:szCs w:val="22"/>
        </w:rPr>
        <w:t xml:space="preserve"> inflammatory processes</w:t>
      </w:r>
      <w:r w:rsidR="00AE3F50" w:rsidRPr="005759D1">
        <w:rPr>
          <w:rFonts w:asciiTheme="majorHAnsi" w:hAnsiTheme="majorHAnsi" w:cstheme="majorHAnsi"/>
          <w:sz w:val="22"/>
          <w:szCs w:val="22"/>
        </w:rPr>
        <w:t xml:space="preserve">, </w:t>
      </w:r>
      <w:r w:rsidR="00FE3191" w:rsidRPr="005759D1">
        <w:rPr>
          <w:rFonts w:asciiTheme="majorHAnsi" w:hAnsiTheme="majorHAnsi" w:cstheme="majorHAnsi"/>
          <w:sz w:val="22"/>
          <w:szCs w:val="22"/>
        </w:rPr>
        <w:t>altered myofibrillar energetics</w:t>
      </w:r>
      <w:r w:rsidR="004E05B9" w:rsidRPr="005759D1">
        <w:rPr>
          <w:rFonts w:asciiTheme="majorHAnsi" w:hAnsiTheme="majorHAnsi" w:cstheme="majorHAnsi"/>
          <w:sz w:val="22"/>
          <w:szCs w:val="22"/>
        </w:rPr>
        <w:t>, neurohormonal activation and volume overload</w:t>
      </w:r>
      <w:r w:rsidRPr="005759D1">
        <w:rPr>
          <w:rFonts w:asciiTheme="majorHAnsi" w:hAnsiTheme="majorHAnsi" w:cstheme="majorHAnsi"/>
          <w:sz w:val="22"/>
          <w:szCs w:val="22"/>
        </w:rPr>
        <w:t xml:space="preserve"> </w:t>
      </w:r>
      <w:r w:rsidR="004E05B9" w:rsidRPr="005759D1">
        <w:rPr>
          <w:rFonts w:asciiTheme="majorHAnsi" w:hAnsiTheme="majorHAnsi" w:cstheme="majorHAnsi"/>
          <w:sz w:val="22"/>
          <w:szCs w:val="22"/>
        </w:rPr>
        <w:t>as contributing factors in</w:t>
      </w:r>
      <w:r w:rsidR="00FE3191" w:rsidRPr="005759D1">
        <w:rPr>
          <w:rFonts w:asciiTheme="majorHAnsi" w:hAnsiTheme="majorHAnsi" w:cstheme="majorHAnsi"/>
          <w:sz w:val="22"/>
          <w:szCs w:val="22"/>
        </w:rPr>
        <w:t xml:space="preserve"> POAF development </w:t>
      </w:r>
      <w:r w:rsidR="00D9737D" w:rsidRPr="005759D1">
        <w:rPr>
          <w:rFonts w:asciiTheme="majorHAnsi" w:hAnsiTheme="majorHAnsi" w:cstheme="majorHAnsi"/>
          <w:sz w:val="22"/>
          <w:szCs w:val="22"/>
        </w:rPr>
        <w:t>(</w:t>
      </w:r>
      <w:r w:rsidR="00D9737D" w:rsidRPr="005759D1">
        <w:rPr>
          <w:rFonts w:asciiTheme="majorHAnsi" w:hAnsiTheme="majorHAnsi" w:cstheme="majorHAnsi"/>
          <w:color w:val="FF0000"/>
          <w:sz w:val="22"/>
          <w:szCs w:val="22"/>
        </w:rPr>
        <w:t>3,10,11</w:t>
      </w:r>
      <w:r w:rsidR="00D9737D" w:rsidRPr="005759D1">
        <w:rPr>
          <w:rFonts w:asciiTheme="majorHAnsi" w:hAnsiTheme="majorHAnsi" w:cstheme="majorHAnsi"/>
          <w:sz w:val="22"/>
          <w:szCs w:val="22"/>
        </w:rPr>
        <w:t>)</w:t>
      </w:r>
      <w:r w:rsidR="00DC6D3D" w:rsidRPr="005759D1">
        <w:rPr>
          <w:rFonts w:asciiTheme="majorHAnsi" w:hAnsiTheme="majorHAnsi" w:cstheme="majorHAnsi"/>
          <w:sz w:val="22"/>
          <w:szCs w:val="22"/>
        </w:rPr>
        <w:t>.</w:t>
      </w:r>
      <w:r w:rsidR="004E05B9" w:rsidRPr="005759D1">
        <w:rPr>
          <w:rFonts w:asciiTheme="majorHAnsi" w:hAnsiTheme="majorHAnsi" w:cstheme="majorHAnsi"/>
          <w:sz w:val="22"/>
          <w:szCs w:val="22"/>
        </w:rPr>
        <w:t xml:space="preserve"> </w:t>
      </w:r>
      <w:r w:rsidR="00FE3191" w:rsidRPr="005759D1">
        <w:rPr>
          <w:rFonts w:asciiTheme="majorHAnsi" w:hAnsiTheme="majorHAnsi" w:cstheme="majorHAnsi"/>
          <w:sz w:val="22"/>
          <w:szCs w:val="22"/>
        </w:rPr>
        <w:t xml:space="preserve"> </w:t>
      </w:r>
      <w:r w:rsidR="004E05B9" w:rsidRPr="005759D1">
        <w:rPr>
          <w:rFonts w:asciiTheme="majorHAnsi" w:hAnsiTheme="majorHAnsi" w:cstheme="majorHAnsi"/>
          <w:sz w:val="22"/>
          <w:szCs w:val="22"/>
        </w:rPr>
        <w:t>A</w:t>
      </w:r>
      <w:r w:rsidR="002042A8" w:rsidRPr="005759D1">
        <w:rPr>
          <w:rFonts w:asciiTheme="majorHAnsi" w:hAnsiTheme="majorHAnsi" w:cstheme="majorHAnsi"/>
          <w:sz w:val="22"/>
          <w:szCs w:val="22"/>
        </w:rPr>
        <w:t xml:space="preserve">dditional contributing pathophysiological mechanisms </w:t>
      </w:r>
      <w:r w:rsidR="004E05B9" w:rsidRPr="005759D1">
        <w:rPr>
          <w:rFonts w:asciiTheme="majorHAnsi" w:hAnsiTheme="majorHAnsi" w:cstheme="majorHAnsi"/>
          <w:sz w:val="22"/>
          <w:szCs w:val="22"/>
        </w:rPr>
        <w:t>and risk factors have</w:t>
      </w:r>
      <w:r w:rsidR="002042A8" w:rsidRPr="005759D1">
        <w:rPr>
          <w:rFonts w:asciiTheme="majorHAnsi" w:hAnsiTheme="majorHAnsi" w:cstheme="majorHAnsi"/>
          <w:sz w:val="22"/>
          <w:szCs w:val="22"/>
        </w:rPr>
        <w:t xml:space="preserve"> been proposed </w:t>
      </w:r>
      <w:r w:rsidR="004E05B9" w:rsidRPr="005759D1">
        <w:rPr>
          <w:rFonts w:asciiTheme="majorHAnsi" w:hAnsiTheme="majorHAnsi" w:cstheme="majorHAnsi"/>
          <w:sz w:val="22"/>
          <w:szCs w:val="22"/>
        </w:rPr>
        <w:t xml:space="preserve">in </w:t>
      </w:r>
      <w:r w:rsidR="002042A8" w:rsidRPr="005759D1">
        <w:rPr>
          <w:rFonts w:asciiTheme="majorHAnsi" w:hAnsiTheme="majorHAnsi" w:cstheme="majorHAnsi"/>
          <w:sz w:val="22"/>
          <w:szCs w:val="22"/>
        </w:rPr>
        <w:t>a subset of individuals</w:t>
      </w:r>
      <w:r w:rsidR="004E05B9" w:rsidRPr="005759D1">
        <w:rPr>
          <w:rFonts w:asciiTheme="majorHAnsi" w:hAnsiTheme="majorHAnsi" w:cstheme="majorHAnsi"/>
          <w:sz w:val="22"/>
          <w:szCs w:val="22"/>
        </w:rPr>
        <w:t xml:space="preserve"> including</w:t>
      </w:r>
      <w:r w:rsidR="002042A8" w:rsidRPr="005759D1">
        <w:rPr>
          <w:rFonts w:asciiTheme="majorHAnsi" w:hAnsiTheme="majorHAnsi" w:cstheme="majorHAnsi"/>
          <w:sz w:val="22"/>
          <w:szCs w:val="22"/>
        </w:rPr>
        <w:t xml:space="preserve"> a) autoimmune respons</w:t>
      </w:r>
      <w:r w:rsidR="00400D40" w:rsidRPr="005759D1">
        <w:rPr>
          <w:rFonts w:asciiTheme="majorHAnsi" w:hAnsiTheme="majorHAnsi" w:cstheme="majorHAnsi"/>
          <w:sz w:val="22"/>
          <w:szCs w:val="22"/>
        </w:rPr>
        <w:t xml:space="preserve">e, supported by detection of </w:t>
      </w:r>
      <w:r w:rsidR="002042A8" w:rsidRPr="005759D1">
        <w:rPr>
          <w:rFonts w:asciiTheme="majorHAnsi" w:hAnsiTheme="majorHAnsi" w:cstheme="majorHAnsi"/>
          <w:sz w:val="22"/>
          <w:szCs w:val="22"/>
        </w:rPr>
        <w:t>several types of autoantibodies with specificity for: 1) M2 muscarinic receptor, 2) myosin or 3) heat shock proteins</w:t>
      </w:r>
      <w:r w:rsidR="00FE3191" w:rsidRPr="005759D1">
        <w:rPr>
          <w:rFonts w:asciiTheme="majorHAnsi" w:hAnsiTheme="majorHAnsi" w:cstheme="majorHAnsi"/>
          <w:sz w:val="22"/>
          <w:szCs w:val="22"/>
        </w:rPr>
        <w:t xml:space="preserve"> </w:t>
      </w:r>
      <w:r w:rsidR="002042A8" w:rsidRPr="005759D1">
        <w:rPr>
          <w:rFonts w:asciiTheme="majorHAnsi" w:hAnsiTheme="majorHAnsi" w:cstheme="majorHAnsi"/>
          <w:sz w:val="22"/>
          <w:szCs w:val="22"/>
        </w:rPr>
        <w:t>(</w:t>
      </w:r>
      <w:r w:rsidR="00D9737D" w:rsidRPr="005759D1">
        <w:rPr>
          <w:rFonts w:asciiTheme="majorHAnsi" w:hAnsiTheme="majorHAnsi" w:cstheme="majorHAnsi"/>
          <w:color w:val="FF0000"/>
          <w:sz w:val="22"/>
          <w:szCs w:val="22"/>
        </w:rPr>
        <w:t>12</w:t>
      </w:r>
      <w:r w:rsidR="002042A8" w:rsidRPr="005759D1">
        <w:rPr>
          <w:rFonts w:asciiTheme="majorHAnsi" w:hAnsiTheme="majorHAnsi" w:cstheme="majorHAnsi"/>
          <w:sz w:val="22"/>
          <w:szCs w:val="22"/>
        </w:rPr>
        <w:t>)</w:t>
      </w:r>
      <w:r w:rsidR="00400D40" w:rsidRPr="005759D1">
        <w:rPr>
          <w:rFonts w:asciiTheme="majorHAnsi" w:hAnsiTheme="majorHAnsi" w:cstheme="majorHAnsi"/>
          <w:sz w:val="22"/>
          <w:szCs w:val="22"/>
        </w:rPr>
        <w:t>,</w:t>
      </w:r>
      <w:r w:rsidR="002042A8" w:rsidRPr="005759D1">
        <w:rPr>
          <w:rFonts w:asciiTheme="majorHAnsi" w:hAnsiTheme="majorHAnsi" w:cstheme="majorHAnsi"/>
          <w:sz w:val="22"/>
          <w:szCs w:val="22"/>
        </w:rPr>
        <w:t xml:space="preserve"> </w:t>
      </w:r>
      <w:r w:rsidR="00EB0AF8" w:rsidRPr="005759D1">
        <w:rPr>
          <w:rFonts w:asciiTheme="majorHAnsi" w:hAnsiTheme="majorHAnsi" w:cstheme="majorHAnsi"/>
          <w:sz w:val="22"/>
          <w:szCs w:val="22"/>
        </w:rPr>
        <w:t xml:space="preserve">and </w:t>
      </w:r>
      <w:r w:rsidR="002042A8" w:rsidRPr="005759D1">
        <w:rPr>
          <w:rFonts w:asciiTheme="majorHAnsi" w:hAnsiTheme="majorHAnsi" w:cstheme="majorHAnsi"/>
          <w:sz w:val="22"/>
          <w:szCs w:val="22"/>
        </w:rPr>
        <w:t xml:space="preserve">b) </w:t>
      </w:r>
      <w:r w:rsidR="00EB0AF8" w:rsidRPr="005759D1">
        <w:rPr>
          <w:rFonts w:asciiTheme="majorHAnsi" w:hAnsiTheme="majorHAnsi" w:cstheme="majorHAnsi"/>
          <w:sz w:val="22"/>
          <w:szCs w:val="22"/>
        </w:rPr>
        <w:t xml:space="preserve">chronic underlying infectious </w:t>
      </w:r>
      <w:r w:rsidR="000C4685" w:rsidRPr="005759D1">
        <w:rPr>
          <w:rFonts w:asciiTheme="majorHAnsi" w:hAnsiTheme="majorHAnsi" w:cstheme="majorHAnsi"/>
          <w:sz w:val="22"/>
          <w:szCs w:val="22"/>
        </w:rPr>
        <w:t xml:space="preserve">processes including chlamydial and </w:t>
      </w:r>
      <w:r w:rsidR="000C4685" w:rsidRPr="005759D1">
        <w:rPr>
          <w:rFonts w:asciiTheme="majorHAnsi" w:hAnsiTheme="majorHAnsi" w:cstheme="majorHAnsi"/>
          <w:i/>
          <w:sz w:val="22"/>
          <w:szCs w:val="22"/>
        </w:rPr>
        <w:t>H. pylori</w:t>
      </w:r>
      <w:r w:rsidR="000C4685" w:rsidRPr="005759D1">
        <w:rPr>
          <w:rFonts w:asciiTheme="majorHAnsi" w:hAnsiTheme="majorHAnsi" w:cstheme="majorHAnsi"/>
          <w:sz w:val="22"/>
          <w:szCs w:val="22"/>
        </w:rPr>
        <w:t xml:space="preserve"> </w:t>
      </w:r>
      <w:r w:rsidR="002042A8" w:rsidRPr="005759D1">
        <w:rPr>
          <w:rFonts w:asciiTheme="majorHAnsi" w:hAnsiTheme="majorHAnsi" w:cstheme="majorHAnsi"/>
          <w:sz w:val="22"/>
          <w:szCs w:val="22"/>
        </w:rPr>
        <w:t>infection</w:t>
      </w:r>
      <w:r w:rsidR="00400D40" w:rsidRPr="005759D1">
        <w:rPr>
          <w:rFonts w:asciiTheme="majorHAnsi" w:hAnsiTheme="majorHAnsi" w:cstheme="majorHAnsi"/>
          <w:sz w:val="22"/>
          <w:szCs w:val="22"/>
        </w:rPr>
        <w:t xml:space="preserve">. </w:t>
      </w:r>
      <w:r w:rsidR="002042A8" w:rsidRPr="005759D1">
        <w:rPr>
          <w:rFonts w:asciiTheme="majorHAnsi" w:hAnsiTheme="majorHAnsi" w:cstheme="majorHAnsi"/>
          <w:sz w:val="22"/>
          <w:szCs w:val="22"/>
        </w:rPr>
        <w:t xml:space="preserve"> </w:t>
      </w:r>
      <w:r w:rsidR="00400D40" w:rsidRPr="005759D1">
        <w:rPr>
          <w:rFonts w:asciiTheme="majorHAnsi" w:hAnsiTheme="majorHAnsi" w:cstheme="majorHAnsi"/>
          <w:sz w:val="22"/>
          <w:szCs w:val="22"/>
        </w:rPr>
        <w:t>However,</w:t>
      </w:r>
      <w:r w:rsidR="00EB0AF8" w:rsidRPr="005759D1">
        <w:rPr>
          <w:rFonts w:asciiTheme="majorHAnsi" w:hAnsiTheme="majorHAnsi" w:cstheme="majorHAnsi"/>
          <w:sz w:val="22"/>
          <w:szCs w:val="22"/>
        </w:rPr>
        <w:t xml:space="preserve"> </w:t>
      </w:r>
      <w:r w:rsidR="002042A8" w:rsidRPr="005759D1">
        <w:rPr>
          <w:rFonts w:asciiTheme="majorHAnsi" w:hAnsiTheme="majorHAnsi" w:cstheme="majorHAnsi"/>
          <w:sz w:val="22"/>
          <w:szCs w:val="22"/>
        </w:rPr>
        <w:t>causality remains to be demonstrated</w:t>
      </w:r>
      <w:r w:rsidR="00FE3191" w:rsidRPr="005759D1">
        <w:rPr>
          <w:rFonts w:asciiTheme="majorHAnsi" w:hAnsiTheme="majorHAnsi" w:cstheme="majorHAnsi"/>
          <w:sz w:val="22"/>
          <w:szCs w:val="22"/>
        </w:rPr>
        <w:t xml:space="preserve"> </w:t>
      </w:r>
      <w:r w:rsidR="002042A8" w:rsidRPr="005759D1">
        <w:rPr>
          <w:rFonts w:asciiTheme="majorHAnsi" w:hAnsiTheme="majorHAnsi" w:cstheme="majorHAnsi"/>
          <w:sz w:val="22"/>
          <w:szCs w:val="22"/>
        </w:rPr>
        <w:t>(</w:t>
      </w:r>
      <w:r w:rsidR="00D9737D" w:rsidRPr="005759D1">
        <w:rPr>
          <w:rFonts w:asciiTheme="majorHAnsi" w:hAnsiTheme="majorHAnsi" w:cstheme="majorHAnsi"/>
          <w:color w:val="FF0000"/>
          <w:sz w:val="22"/>
          <w:szCs w:val="22"/>
        </w:rPr>
        <w:t>13</w:t>
      </w:r>
      <w:r w:rsidR="002042A8" w:rsidRPr="005759D1">
        <w:rPr>
          <w:rFonts w:asciiTheme="majorHAnsi" w:hAnsiTheme="majorHAnsi" w:cstheme="majorHAnsi"/>
          <w:sz w:val="22"/>
          <w:szCs w:val="22"/>
        </w:rPr>
        <w:t>)</w:t>
      </w:r>
      <w:r w:rsidR="00400D40" w:rsidRPr="005759D1">
        <w:rPr>
          <w:rFonts w:asciiTheme="majorHAnsi" w:hAnsiTheme="majorHAnsi" w:cstheme="majorHAnsi"/>
          <w:sz w:val="22"/>
          <w:szCs w:val="22"/>
        </w:rPr>
        <w:t xml:space="preserve">.  Whether mechanisms associated with development of AF independent of surgical exposure are related to those involved in POAF also remains unknown.  </w:t>
      </w:r>
    </w:p>
    <w:p w:rsidR="00C717F1" w:rsidRPr="005759D1" w:rsidRDefault="00C717F1" w:rsidP="00933C39">
      <w:pPr>
        <w:rPr>
          <w:rFonts w:asciiTheme="majorHAnsi" w:hAnsiTheme="majorHAnsi" w:cstheme="majorHAnsi"/>
          <w:sz w:val="22"/>
          <w:szCs w:val="22"/>
        </w:rPr>
      </w:pPr>
    </w:p>
    <w:p w:rsidR="00055334" w:rsidRPr="005759D1" w:rsidRDefault="00FB7480" w:rsidP="00B95639">
      <w:pPr>
        <w:ind w:left="360" w:firstLine="360"/>
        <w:rPr>
          <w:rFonts w:asciiTheme="majorHAnsi" w:hAnsiTheme="majorHAnsi" w:cstheme="majorHAnsi"/>
          <w:b/>
          <w:sz w:val="22"/>
          <w:szCs w:val="22"/>
        </w:rPr>
      </w:pPr>
      <w:r w:rsidRPr="005759D1">
        <w:rPr>
          <w:rFonts w:asciiTheme="majorHAnsi" w:hAnsiTheme="majorHAnsi" w:cstheme="majorHAnsi"/>
          <w:b/>
          <w:sz w:val="22"/>
          <w:szCs w:val="22"/>
        </w:rPr>
        <w:t>C.2</w:t>
      </w:r>
      <w:r w:rsidRPr="005759D1">
        <w:rPr>
          <w:rFonts w:asciiTheme="majorHAnsi" w:hAnsiTheme="majorHAnsi" w:cstheme="majorHAnsi"/>
          <w:b/>
          <w:sz w:val="22"/>
          <w:szCs w:val="22"/>
        </w:rPr>
        <w:tab/>
        <w:t xml:space="preserve">  </w:t>
      </w:r>
      <w:r w:rsidR="00933C39" w:rsidRPr="005759D1">
        <w:rPr>
          <w:rFonts w:asciiTheme="majorHAnsi" w:hAnsiTheme="majorHAnsi" w:cstheme="majorHAnsi"/>
          <w:b/>
          <w:sz w:val="22"/>
          <w:szCs w:val="22"/>
        </w:rPr>
        <w:t>Prevention</w:t>
      </w:r>
      <w:r w:rsidR="00055334" w:rsidRPr="005759D1">
        <w:rPr>
          <w:rFonts w:asciiTheme="majorHAnsi" w:hAnsiTheme="majorHAnsi" w:cstheme="majorHAnsi"/>
          <w:b/>
          <w:sz w:val="22"/>
          <w:szCs w:val="22"/>
        </w:rPr>
        <w:t xml:space="preserve"> </w:t>
      </w:r>
      <w:r w:rsidR="00400D40" w:rsidRPr="005759D1">
        <w:rPr>
          <w:rFonts w:asciiTheme="majorHAnsi" w:hAnsiTheme="majorHAnsi" w:cstheme="majorHAnsi"/>
          <w:b/>
          <w:sz w:val="22"/>
          <w:szCs w:val="22"/>
        </w:rPr>
        <w:t>and Prediction</w:t>
      </w:r>
    </w:p>
    <w:p w:rsidR="00D9737D" w:rsidRPr="005759D1" w:rsidRDefault="00AE3F50" w:rsidP="008F1F53">
      <w:pPr>
        <w:rPr>
          <w:rFonts w:asciiTheme="majorHAnsi" w:hAnsiTheme="majorHAnsi" w:cstheme="majorHAnsi"/>
          <w:sz w:val="22"/>
          <w:szCs w:val="22"/>
        </w:rPr>
      </w:pPr>
      <w:r w:rsidRPr="005759D1">
        <w:rPr>
          <w:rFonts w:asciiTheme="majorHAnsi" w:hAnsiTheme="majorHAnsi" w:cstheme="majorHAnsi"/>
          <w:sz w:val="22"/>
          <w:szCs w:val="22"/>
        </w:rPr>
        <w:t xml:space="preserve">Beyond the development of risk indices which are largely based on clinical parameters, predictive biomarkers remain elusive.  </w:t>
      </w:r>
      <w:r w:rsidR="00933C39" w:rsidRPr="005759D1">
        <w:rPr>
          <w:rFonts w:asciiTheme="majorHAnsi" w:hAnsiTheme="majorHAnsi" w:cstheme="majorHAnsi"/>
          <w:sz w:val="22"/>
          <w:szCs w:val="22"/>
        </w:rPr>
        <w:t xml:space="preserve">Preventive measures </w:t>
      </w:r>
      <w:r w:rsidR="00400D40" w:rsidRPr="005759D1">
        <w:rPr>
          <w:rFonts w:asciiTheme="majorHAnsi" w:hAnsiTheme="majorHAnsi" w:cstheme="majorHAnsi"/>
          <w:sz w:val="22"/>
          <w:szCs w:val="22"/>
        </w:rPr>
        <w:t xml:space="preserve">to date have </w:t>
      </w:r>
      <w:r w:rsidR="00933C39" w:rsidRPr="005759D1">
        <w:rPr>
          <w:rFonts w:asciiTheme="majorHAnsi" w:hAnsiTheme="majorHAnsi" w:cstheme="majorHAnsi"/>
          <w:sz w:val="22"/>
          <w:szCs w:val="22"/>
        </w:rPr>
        <w:t>largely target</w:t>
      </w:r>
      <w:r w:rsidR="00400D40" w:rsidRPr="005759D1">
        <w:rPr>
          <w:rFonts w:asciiTheme="majorHAnsi" w:hAnsiTheme="majorHAnsi" w:cstheme="majorHAnsi"/>
          <w:sz w:val="22"/>
          <w:szCs w:val="22"/>
        </w:rPr>
        <w:t>ed</w:t>
      </w:r>
      <w:r w:rsidR="00933C39" w:rsidRPr="005759D1">
        <w:rPr>
          <w:rFonts w:asciiTheme="majorHAnsi" w:hAnsiTheme="majorHAnsi" w:cstheme="majorHAnsi"/>
          <w:sz w:val="22"/>
          <w:szCs w:val="22"/>
        </w:rPr>
        <w:t xml:space="preserve"> intervention</w:t>
      </w:r>
      <w:r w:rsidR="005F4D61" w:rsidRPr="005759D1">
        <w:rPr>
          <w:rFonts w:asciiTheme="majorHAnsi" w:hAnsiTheme="majorHAnsi" w:cstheme="majorHAnsi"/>
          <w:sz w:val="22"/>
          <w:szCs w:val="22"/>
        </w:rPr>
        <w:t xml:space="preserve"> at the level of </w:t>
      </w:r>
      <w:r w:rsidR="00400D40" w:rsidRPr="005759D1">
        <w:rPr>
          <w:rFonts w:asciiTheme="majorHAnsi" w:hAnsiTheme="majorHAnsi" w:cstheme="majorHAnsi"/>
          <w:sz w:val="22"/>
          <w:szCs w:val="22"/>
        </w:rPr>
        <w:t xml:space="preserve">the current rudimentary understanding of </w:t>
      </w:r>
      <w:r w:rsidR="005F4D61" w:rsidRPr="005759D1">
        <w:rPr>
          <w:rFonts w:asciiTheme="majorHAnsi" w:hAnsiTheme="majorHAnsi" w:cstheme="majorHAnsi"/>
          <w:sz w:val="22"/>
          <w:szCs w:val="22"/>
        </w:rPr>
        <w:t xml:space="preserve">physiological </w:t>
      </w:r>
      <w:r w:rsidR="00933C39" w:rsidRPr="005759D1">
        <w:rPr>
          <w:rFonts w:asciiTheme="majorHAnsi" w:hAnsiTheme="majorHAnsi" w:cstheme="majorHAnsi"/>
          <w:sz w:val="22"/>
          <w:szCs w:val="22"/>
        </w:rPr>
        <w:t>pathways believed to contribut</w:t>
      </w:r>
      <w:r w:rsidR="005F4D61" w:rsidRPr="005759D1">
        <w:rPr>
          <w:rFonts w:asciiTheme="majorHAnsi" w:hAnsiTheme="majorHAnsi" w:cstheme="majorHAnsi"/>
          <w:sz w:val="22"/>
          <w:szCs w:val="22"/>
        </w:rPr>
        <w:t>e</w:t>
      </w:r>
      <w:r w:rsidR="00933C39" w:rsidRPr="005759D1">
        <w:rPr>
          <w:rFonts w:asciiTheme="majorHAnsi" w:hAnsiTheme="majorHAnsi" w:cstheme="majorHAnsi"/>
          <w:sz w:val="22"/>
          <w:szCs w:val="22"/>
        </w:rPr>
        <w:t xml:space="preserve"> to </w:t>
      </w:r>
      <w:r w:rsidR="005F4D61" w:rsidRPr="005759D1">
        <w:rPr>
          <w:rFonts w:asciiTheme="majorHAnsi" w:hAnsiTheme="majorHAnsi" w:cstheme="majorHAnsi"/>
          <w:sz w:val="22"/>
          <w:szCs w:val="22"/>
        </w:rPr>
        <w:t xml:space="preserve">development of POAF.  </w:t>
      </w:r>
      <w:r w:rsidR="00A6308D" w:rsidRPr="005759D1">
        <w:rPr>
          <w:rFonts w:asciiTheme="majorHAnsi" w:hAnsiTheme="majorHAnsi" w:cstheme="majorHAnsi"/>
          <w:sz w:val="22"/>
          <w:szCs w:val="22"/>
        </w:rPr>
        <w:t xml:space="preserve">Based on strength of the evidence, which has been somewhat mixed due to heterogeneity in study designs, recent clinical guidelines, reviews and meta-analyses support the following approaches to prevention:  </w:t>
      </w:r>
      <w:r w:rsidR="005F4D61" w:rsidRPr="005759D1">
        <w:rPr>
          <w:rFonts w:asciiTheme="majorHAnsi" w:hAnsiTheme="majorHAnsi" w:cstheme="majorHAnsi"/>
          <w:sz w:val="22"/>
          <w:szCs w:val="22"/>
        </w:rPr>
        <w:t xml:space="preserve">treatment of patients with beta blockers, the adrenergic blocker carvedilol due to its anti -oxidant and -inflammatory activities and efficacy as a cationic channel blocker, </w:t>
      </w:r>
      <w:r w:rsidR="00A6308D" w:rsidRPr="005759D1">
        <w:rPr>
          <w:rFonts w:asciiTheme="majorHAnsi" w:hAnsiTheme="majorHAnsi" w:cstheme="majorHAnsi"/>
          <w:sz w:val="22"/>
          <w:szCs w:val="22"/>
        </w:rPr>
        <w:t xml:space="preserve">use of </w:t>
      </w:r>
      <w:r w:rsidR="001D1702" w:rsidRPr="005759D1">
        <w:rPr>
          <w:rFonts w:asciiTheme="majorHAnsi" w:hAnsiTheme="majorHAnsi" w:cstheme="majorHAnsi"/>
          <w:sz w:val="22"/>
          <w:szCs w:val="22"/>
        </w:rPr>
        <w:t xml:space="preserve">K+ channel blockers (Amiodorone and Sotalol), </w:t>
      </w:r>
      <w:r w:rsidR="00C32709" w:rsidRPr="005759D1">
        <w:rPr>
          <w:rFonts w:asciiTheme="majorHAnsi" w:hAnsiTheme="majorHAnsi" w:cstheme="majorHAnsi"/>
          <w:sz w:val="22"/>
          <w:szCs w:val="22"/>
        </w:rPr>
        <w:t xml:space="preserve">use of </w:t>
      </w:r>
      <w:r w:rsidR="001D1702" w:rsidRPr="005759D1">
        <w:rPr>
          <w:rFonts w:asciiTheme="majorHAnsi" w:hAnsiTheme="majorHAnsi" w:cstheme="majorHAnsi"/>
          <w:sz w:val="22"/>
          <w:szCs w:val="22"/>
        </w:rPr>
        <w:t xml:space="preserve">Ca++ channel blockers (non-dihydropyridine and diltiazem), </w:t>
      </w:r>
      <w:r w:rsidR="00C32709" w:rsidRPr="005759D1">
        <w:rPr>
          <w:rFonts w:asciiTheme="majorHAnsi" w:hAnsiTheme="majorHAnsi" w:cstheme="majorHAnsi"/>
          <w:sz w:val="22"/>
          <w:szCs w:val="22"/>
        </w:rPr>
        <w:t xml:space="preserve">use of </w:t>
      </w:r>
      <w:r w:rsidR="005F4D61" w:rsidRPr="005759D1">
        <w:rPr>
          <w:rFonts w:asciiTheme="majorHAnsi" w:hAnsiTheme="majorHAnsi" w:cstheme="majorHAnsi"/>
          <w:sz w:val="22"/>
          <w:szCs w:val="22"/>
        </w:rPr>
        <w:t xml:space="preserve">ACE inhibitors, </w:t>
      </w:r>
      <w:r w:rsidR="00C32709" w:rsidRPr="005759D1">
        <w:rPr>
          <w:rFonts w:asciiTheme="majorHAnsi" w:hAnsiTheme="majorHAnsi" w:cstheme="majorHAnsi"/>
          <w:sz w:val="22"/>
          <w:szCs w:val="22"/>
        </w:rPr>
        <w:t xml:space="preserve">administration of </w:t>
      </w:r>
      <w:r w:rsidR="00A6308D" w:rsidRPr="005759D1">
        <w:rPr>
          <w:rFonts w:asciiTheme="majorHAnsi" w:hAnsiTheme="majorHAnsi" w:cstheme="majorHAnsi"/>
          <w:sz w:val="22"/>
          <w:szCs w:val="22"/>
        </w:rPr>
        <w:t xml:space="preserve">Mg++ to address Mg deficiency, </w:t>
      </w:r>
      <w:r w:rsidR="005F4D61" w:rsidRPr="005759D1">
        <w:rPr>
          <w:rFonts w:asciiTheme="majorHAnsi" w:hAnsiTheme="majorHAnsi" w:cstheme="majorHAnsi"/>
          <w:sz w:val="22"/>
          <w:szCs w:val="22"/>
        </w:rPr>
        <w:t>use of sodium nitroprusside as a nitric oxide donor,</w:t>
      </w:r>
      <w:r w:rsidR="00400D40" w:rsidRPr="005759D1">
        <w:rPr>
          <w:rFonts w:asciiTheme="majorHAnsi" w:hAnsiTheme="majorHAnsi" w:cstheme="majorHAnsi"/>
          <w:sz w:val="22"/>
          <w:szCs w:val="22"/>
        </w:rPr>
        <w:t xml:space="preserve"> </w:t>
      </w:r>
      <w:r w:rsidR="00A6308D" w:rsidRPr="005759D1">
        <w:rPr>
          <w:rFonts w:asciiTheme="majorHAnsi" w:hAnsiTheme="majorHAnsi" w:cstheme="majorHAnsi"/>
          <w:sz w:val="22"/>
          <w:szCs w:val="22"/>
        </w:rPr>
        <w:t xml:space="preserve">and </w:t>
      </w:r>
      <w:r w:rsidR="00655C34" w:rsidRPr="005759D1">
        <w:rPr>
          <w:rFonts w:asciiTheme="majorHAnsi" w:hAnsiTheme="majorHAnsi" w:cstheme="majorHAnsi"/>
          <w:sz w:val="22"/>
          <w:szCs w:val="22"/>
        </w:rPr>
        <w:t>pre-</w:t>
      </w:r>
      <w:r w:rsidR="00333067" w:rsidRPr="005759D1">
        <w:rPr>
          <w:rFonts w:asciiTheme="majorHAnsi" w:hAnsiTheme="majorHAnsi" w:cstheme="majorHAnsi"/>
          <w:sz w:val="22"/>
          <w:szCs w:val="22"/>
        </w:rPr>
        <w:t xml:space="preserve">operative statin </w:t>
      </w:r>
      <w:r w:rsidR="00400D40" w:rsidRPr="005759D1">
        <w:rPr>
          <w:rFonts w:asciiTheme="majorHAnsi" w:hAnsiTheme="majorHAnsi" w:cstheme="majorHAnsi"/>
          <w:sz w:val="22"/>
          <w:szCs w:val="22"/>
        </w:rPr>
        <w:t>therapy</w:t>
      </w:r>
      <w:r w:rsidR="00333067" w:rsidRPr="005759D1">
        <w:rPr>
          <w:rFonts w:asciiTheme="majorHAnsi" w:hAnsiTheme="majorHAnsi" w:cstheme="majorHAnsi"/>
          <w:sz w:val="22"/>
          <w:szCs w:val="22"/>
        </w:rPr>
        <w:t xml:space="preserve"> to mitigate inflammatory response</w:t>
      </w:r>
      <w:r w:rsidR="00A6308D" w:rsidRPr="005759D1">
        <w:rPr>
          <w:rFonts w:asciiTheme="majorHAnsi" w:hAnsiTheme="majorHAnsi" w:cstheme="majorHAnsi"/>
          <w:sz w:val="22"/>
          <w:szCs w:val="22"/>
        </w:rPr>
        <w:t xml:space="preserve"> (</w:t>
      </w:r>
      <w:r w:rsidR="00D9737D" w:rsidRPr="005759D1">
        <w:rPr>
          <w:rFonts w:asciiTheme="majorHAnsi" w:hAnsiTheme="majorHAnsi" w:cstheme="majorHAnsi"/>
          <w:color w:val="FF0000"/>
          <w:sz w:val="22"/>
          <w:szCs w:val="22"/>
        </w:rPr>
        <w:t>1,3,10,14,15</w:t>
      </w:r>
      <w:r w:rsidR="00A6308D" w:rsidRPr="005759D1">
        <w:rPr>
          <w:rFonts w:asciiTheme="majorHAnsi" w:hAnsiTheme="majorHAnsi" w:cstheme="majorHAnsi"/>
          <w:sz w:val="22"/>
          <w:szCs w:val="22"/>
        </w:rPr>
        <w:t>).</w:t>
      </w:r>
      <w:r w:rsidR="00C32709" w:rsidRPr="005759D1">
        <w:rPr>
          <w:rFonts w:asciiTheme="majorHAnsi" w:hAnsiTheme="majorHAnsi" w:cstheme="majorHAnsi"/>
          <w:sz w:val="22"/>
          <w:szCs w:val="22"/>
        </w:rPr>
        <w:t xml:space="preserve">  However, incidence of POAF had not decreased appreciably despite attempts at pharmacological intervention to deter its emergence and continues to place patients undergoing CABG at risk.</w:t>
      </w:r>
      <w:r w:rsidR="00A6308D" w:rsidRPr="005759D1">
        <w:rPr>
          <w:rFonts w:asciiTheme="majorHAnsi" w:hAnsiTheme="majorHAnsi" w:cstheme="majorHAnsi"/>
          <w:sz w:val="22"/>
          <w:szCs w:val="22"/>
        </w:rPr>
        <w:t xml:space="preserve">  </w:t>
      </w:r>
    </w:p>
    <w:p w:rsidR="00357BE0" w:rsidRPr="005759D1" w:rsidRDefault="00FB7480" w:rsidP="00FB7480">
      <w:pPr>
        <w:ind w:firstLine="720"/>
        <w:rPr>
          <w:rFonts w:asciiTheme="majorHAnsi" w:hAnsiTheme="majorHAnsi" w:cstheme="majorHAnsi"/>
          <w:b/>
          <w:sz w:val="22"/>
          <w:szCs w:val="22"/>
        </w:rPr>
      </w:pPr>
      <w:r w:rsidRPr="005759D1">
        <w:rPr>
          <w:rFonts w:asciiTheme="majorHAnsi" w:hAnsiTheme="majorHAnsi" w:cstheme="majorHAnsi"/>
          <w:b/>
          <w:sz w:val="22"/>
          <w:szCs w:val="22"/>
        </w:rPr>
        <w:lastRenderedPageBreak/>
        <w:t>C.3</w:t>
      </w:r>
      <w:r w:rsidRPr="005759D1">
        <w:rPr>
          <w:rFonts w:asciiTheme="majorHAnsi" w:hAnsiTheme="majorHAnsi" w:cstheme="majorHAnsi"/>
          <w:b/>
          <w:sz w:val="22"/>
          <w:szCs w:val="22"/>
        </w:rPr>
        <w:tab/>
      </w:r>
      <w:r w:rsidR="00B76CAF" w:rsidRPr="005759D1">
        <w:rPr>
          <w:rFonts w:asciiTheme="majorHAnsi" w:hAnsiTheme="majorHAnsi" w:cstheme="majorHAnsi"/>
          <w:b/>
          <w:sz w:val="22"/>
          <w:szCs w:val="22"/>
        </w:rPr>
        <w:t>Screening assays using biological markers</w:t>
      </w:r>
    </w:p>
    <w:p w:rsidR="00C717F1" w:rsidRPr="005759D1" w:rsidRDefault="00C717F1" w:rsidP="006B74B8">
      <w:pPr>
        <w:ind w:left="720"/>
        <w:rPr>
          <w:rFonts w:asciiTheme="majorHAnsi" w:hAnsiTheme="majorHAnsi" w:cstheme="majorHAnsi"/>
          <w:b/>
          <w:sz w:val="22"/>
          <w:szCs w:val="22"/>
        </w:rPr>
      </w:pPr>
    </w:p>
    <w:p w:rsidR="00B76CAF" w:rsidRPr="005759D1" w:rsidRDefault="00FB7480" w:rsidP="006B74B8">
      <w:pPr>
        <w:ind w:left="720"/>
        <w:rPr>
          <w:rFonts w:asciiTheme="majorHAnsi" w:hAnsiTheme="majorHAnsi" w:cstheme="majorHAnsi"/>
          <w:b/>
          <w:sz w:val="22"/>
          <w:szCs w:val="22"/>
        </w:rPr>
      </w:pPr>
      <w:r w:rsidRPr="005759D1">
        <w:rPr>
          <w:rFonts w:asciiTheme="majorHAnsi" w:hAnsiTheme="majorHAnsi" w:cstheme="majorHAnsi"/>
          <w:b/>
          <w:sz w:val="22"/>
          <w:szCs w:val="22"/>
        </w:rPr>
        <w:t>C3.1</w:t>
      </w:r>
      <w:r w:rsidR="006B74B8" w:rsidRPr="005759D1">
        <w:rPr>
          <w:rFonts w:asciiTheme="majorHAnsi" w:hAnsiTheme="majorHAnsi" w:cstheme="majorHAnsi"/>
          <w:b/>
          <w:sz w:val="22"/>
          <w:szCs w:val="22"/>
        </w:rPr>
        <w:t xml:space="preserve">  </w:t>
      </w:r>
      <w:r w:rsidR="00B76CAF" w:rsidRPr="005759D1">
        <w:rPr>
          <w:rFonts w:asciiTheme="majorHAnsi" w:hAnsiTheme="majorHAnsi" w:cstheme="majorHAnsi"/>
          <w:b/>
          <w:sz w:val="22"/>
          <w:szCs w:val="22"/>
        </w:rPr>
        <w:t>Biomarkers</w:t>
      </w:r>
    </w:p>
    <w:p w:rsidR="001669C8" w:rsidRPr="005759D1" w:rsidRDefault="00D11B65" w:rsidP="00646360">
      <w:pPr>
        <w:rPr>
          <w:rFonts w:asciiTheme="majorHAnsi" w:hAnsiTheme="majorHAnsi" w:cstheme="majorHAnsi"/>
          <w:sz w:val="22"/>
          <w:szCs w:val="22"/>
        </w:rPr>
      </w:pPr>
      <w:r w:rsidRPr="005759D1">
        <w:rPr>
          <w:rFonts w:asciiTheme="majorHAnsi" w:hAnsiTheme="majorHAnsi" w:cstheme="majorHAnsi"/>
          <w:sz w:val="22"/>
          <w:szCs w:val="22"/>
        </w:rPr>
        <w:t xml:space="preserve">To date, </w:t>
      </w:r>
      <w:r w:rsidR="002C45AB" w:rsidRPr="005759D1">
        <w:rPr>
          <w:rFonts w:asciiTheme="majorHAnsi" w:hAnsiTheme="majorHAnsi" w:cstheme="majorHAnsi"/>
          <w:sz w:val="22"/>
          <w:szCs w:val="22"/>
        </w:rPr>
        <w:t xml:space="preserve">due largely to the current incomplete understanding of the pathophysiology underlying emergence of POAF, few </w:t>
      </w:r>
      <w:r w:rsidRPr="005759D1">
        <w:rPr>
          <w:rFonts w:asciiTheme="majorHAnsi" w:hAnsiTheme="majorHAnsi" w:cstheme="majorHAnsi"/>
          <w:sz w:val="22"/>
          <w:szCs w:val="22"/>
        </w:rPr>
        <w:t xml:space="preserve">studies </w:t>
      </w:r>
      <w:r w:rsidR="002C45AB" w:rsidRPr="005759D1">
        <w:rPr>
          <w:rFonts w:asciiTheme="majorHAnsi" w:hAnsiTheme="majorHAnsi" w:cstheme="majorHAnsi"/>
          <w:sz w:val="22"/>
          <w:szCs w:val="22"/>
        </w:rPr>
        <w:t xml:space="preserve">have identified relevant </w:t>
      </w:r>
      <w:r w:rsidRPr="005759D1">
        <w:rPr>
          <w:rFonts w:asciiTheme="majorHAnsi" w:hAnsiTheme="majorHAnsi" w:cstheme="majorHAnsi"/>
          <w:sz w:val="22"/>
          <w:szCs w:val="22"/>
        </w:rPr>
        <w:t xml:space="preserve">biomarkers </w:t>
      </w:r>
      <w:r w:rsidR="002C45AB" w:rsidRPr="005759D1">
        <w:rPr>
          <w:rFonts w:asciiTheme="majorHAnsi" w:hAnsiTheme="majorHAnsi" w:cstheme="majorHAnsi"/>
          <w:sz w:val="22"/>
          <w:szCs w:val="22"/>
        </w:rPr>
        <w:t xml:space="preserve">with capacity to predict </w:t>
      </w:r>
      <w:r w:rsidR="00E332DA" w:rsidRPr="005759D1">
        <w:rPr>
          <w:rFonts w:asciiTheme="majorHAnsi" w:hAnsiTheme="majorHAnsi" w:cstheme="majorHAnsi"/>
          <w:sz w:val="22"/>
          <w:szCs w:val="22"/>
        </w:rPr>
        <w:t xml:space="preserve">risk for POAF following CABG.  </w:t>
      </w:r>
      <w:r w:rsidR="002C45AB" w:rsidRPr="005759D1">
        <w:rPr>
          <w:rFonts w:asciiTheme="majorHAnsi" w:hAnsiTheme="majorHAnsi" w:cstheme="majorHAnsi"/>
          <w:sz w:val="22"/>
          <w:szCs w:val="22"/>
        </w:rPr>
        <w:t xml:space="preserve">Historically, </w:t>
      </w:r>
      <w:r w:rsidR="00AB5B66" w:rsidRPr="005759D1">
        <w:rPr>
          <w:rFonts w:asciiTheme="majorHAnsi" w:hAnsiTheme="majorHAnsi" w:cstheme="majorHAnsi"/>
          <w:sz w:val="22"/>
          <w:szCs w:val="22"/>
        </w:rPr>
        <w:t xml:space="preserve">research </w:t>
      </w:r>
      <w:r w:rsidR="002C45AB" w:rsidRPr="005759D1">
        <w:rPr>
          <w:rFonts w:asciiTheme="majorHAnsi" w:hAnsiTheme="majorHAnsi" w:cstheme="majorHAnsi"/>
          <w:sz w:val="22"/>
          <w:szCs w:val="22"/>
        </w:rPr>
        <w:t>with potential</w:t>
      </w:r>
      <w:r w:rsidR="00AB5B66" w:rsidRPr="005759D1">
        <w:rPr>
          <w:rFonts w:asciiTheme="majorHAnsi" w:hAnsiTheme="majorHAnsi" w:cstheme="majorHAnsi"/>
          <w:sz w:val="22"/>
          <w:szCs w:val="22"/>
        </w:rPr>
        <w:t xml:space="preserve"> biomarkers has been </w:t>
      </w:r>
      <w:r w:rsidR="002C45AB" w:rsidRPr="005759D1">
        <w:rPr>
          <w:rFonts w:asciiTheme="majorHAnsi" w:hAnsiTheme="majorHAnsi" w:cstheme="majorHAnsi"/>
          <w:sz w:val="22"/>
          <w:szCs w:val="22"/>
        </w:rPr>
        <w:t>directed at elucidating</w:t>
      </w:r>
      <w:r w:rsidR="00AB5B66" w:rsidRPr="005759D1">
        <w:rPr>
          <w:rFonts w:asciiTheme="majorHAnsi" w:hAnsiTheme="majorHAnsi" w:cstheme="majorHAnsi"/>
          <w:sz w:val="22"/>
          <w:szCs w:val="22"/>
        </w:rPr>
        <w:t xml:space="preserve"> biological pathways underlying </w:t>
      </w:r>
      <w:r w:rsidR="00DB45F2" w:rsidRPr="005759D1">
        <w:rPr>
          <w:rFonts w:asciiTheme="majorHAnsi" w:hAnsiTheme="majorHAnsi" w:cstheme="majorHAnsi"/>
          <w:sz w:val="22"/>
          <w:szCs w:val="22"/>
        </w:rPr>
        <w:t xml:space="preserve">AF </w:t>
      </w:r>
      <w:r w:rsidR="00AB5B66" w:rsidRPr="005759D1">
        <w:rPr>
          <w:rFonts w:asciiTheme="majorHAnsi" w:hAnsiTheme="majorHAnsi" w:cstheme="majorHAnsi"/>
          <w:sz w:val="22"/>
          <w:szCs w:val="22"/>
        </w:rPr>
        <w:t xml:space="preserve">emergence. </w:t>
      </w:r>
      <w:r w:rsidR="0041141F" w:rsidRPr="005759D1">
        <w:rPr>
          <w:rFonts w:asciiTheme="majorHAnsi" w:hAnsiTheme="majorHAnsi" w:cstheme="majorHAnsi"/>
          <w:sz w:val="22"/>
          <w:szCs w:val="22"/>
        </w:rPr>
        <w:t xml:space="preserve"> </w:t>
      </w:r>
      <w:r w:rsidR="00DB45F2" w:rsidRPr="005759D1">
        <w:rPr>
          <w:rFonts w:asciiTheme="majorHAnsi" w:hAnsiTheme="majorHAnsi" w:cstheme="majorHAnsi"/>
          <w:sz w:val="22"/>
          <w:szCs w:val="22"/>
        </w:rPr>
        <w:t>Some of these</w:t>
      </w:r>
      <w:r w:rsidR="0041141F" w:rsidRPr="005759D1">
        <w:rPr>
          <w:rFonts w:asciiTheme="majorHAnsi" w:hAnsiTheme="majorHAnsi" w:cstheme="majorHAnsi"/>
          <w:sz w:val="22"/>
          <w:szCs w:val="22"/>
        </w:rPr>
        <w:t xml:space="preserve"> studies </w:t>
      </w:r>
      <w:r w:rsidR="00DB45F2" w:rsidRPr="005759D1">
        <w:rPr>
          <w:rFonts w:asciiTheme="majorHAnsi" w:hAnsiTheme="majorHAnsi" w:cstheme="majorHAnsi"/>
          <w:sz w:val="22"/>
          <w:szCs w:val="22"/>
        </w:rPr>
        <w:t>were</w:t>
      </w:r>
      <w:r w:rsidR="0041141F" w:rsidRPr="005759D1">
        <w:rPr>
          <w:rFonts w:asciiTheme="majorHAnsi" w:hAnsiTheme="majorHAnsi" w:cstheme="majorHAnsi"/>
          <w:sz w:val="22"/>
          <w:szCs w:val="22"/>
        </w:rPr>
        <w:t xml:space="preserve"> done </w:t>
      </w:r>
      <w:r w:rsidR="00DB45F2" w:rsidRPr="005759D1">
        <w:rPr>
          <w:rFonts w:asciiTheme="majorHAnsi" w:hAnsiTheme="majorHAnsi" w:cstheme="majorHAnsi"/>
          <w:i/>
          <w:sz w:val="22"/>
          <w:szCs w:val="22"/>
        </w:rPr>
        <w:t>in vitro</w:t>
      </w:r>
      <w:r w:rsidR="00DB45F2" w:rsidRPr="005759D1">
        <w:rPr>
          <w:rFonts w:asciiTheme="majorHAnsi" w:hAnsiTheme="majorHAnsi" w:cstheme="majorHAnsi"/>
          <w:sz w:val="22"/>
          <w:szCs w:val="22"/>
        </w:rPr>
        <w:t xml:space="preserve"> using</w:t>
      </w:r>
      <w:r w:rsidR="0041141F" w:rsidRPr="005759D1">
        <w:rPr>
          <w:rFonts w:asciiTheme="majorHAnsi" w:hAnsiTheme="majorHAnsi" w:cstheme="majorHAnsi"/>
          <w:sz w:val="22"/>
          <w:szCs w:val="22"/>
        </w:rPr>
        <w:t xml:space="preserve"> cell </w:t>
      </w:r>
      <w:r w:rsidR="00DB45F2" w:rsidRPr="005759D1">
        <w:rPr>
          <w:rFonts w:asciiTheme="majorHAnsi" w:hAnsiTheme="majorHAnsi" w:cstheme="majorHAnsi"/>
          <w:sz w:val="22"/>
          <w:szCs w:val="22"/>
        </w:rPr>
        <w:t>culture assays or histological studies using tissue</w:t>
      </w:r>
      <w:r w:rsidR="00E45567" w:rsidRPr="005759D1">
        <w:rPr>
          <w:rFonts w:asciiTheme="majorHAnsi" w:hAnsiTheme="majorHAnsi" w:cstheme="majorHAnsi"/>
          <w:sz w:val="22"/>
          <w:szCs w:val="22"/>
        </w:rPr>
        <w:t xml:space="preserve"> specimens.  </w:t>
      </w:r>
      <w:r w:rsidR="0041141F" w:rsidRPr="005759D1">
        <w:rPr>
          <w:rFonts w:asciiTheme="majorHAnsi" w:hAnsiTheme="majorHAnsi" w:cstheme="majorHAnsi"/>
          <w:sz w:val="22"/>
          <w:szCs w:val="22"/>
        </w:rPr>
        <w:t>As such</w:t>
      </w:r>
      <w:r w:rsidR="00584060" w:rsidRPr="005759D1">
        <w:rPr>
          <w:rFonts w:asciiTheme="majorHAnsi" w:hAnsiTheme="majorHAnsi" w:cstheme="majorHAnsi"/>
          <w:sz w:val="22"/>
          <w:szCs w:val="22"/>
        </w:rPr>
        <w:t>,</w:t>
      </w:r>
      <w:r w:rsidR="00DB45F2" w:rsidRPr="005759D1">
        <w:rPr>
          <w:rFonts w:asciiTheme="majorHAnsi" w:hAnsiTheme="majorHAnsi" w:cstheme="majorHAnsi"/>
          <w:sz w:val="22"/>
          <w:szCs w:val="22"/>
        </w:rPr>
        <w:t xml:space="preserve"> </w:t>
      </w:r>
      <w:r w:rsidR="001401FE" w:rsidRPr="005759D1">
        <w:rPr>
          <w:rFonts w:asciiTheme="majorHAnsi" w:hAnsiTheme="majorHAnsi" w:cstheme="majorHAnsi"/>
          <w:sz w:val="22"/>
          <w:szCs w:val="22"/>
        </w:rPr>
        <w:t xml:space="preserve">these </w:t>
      </w:r>
      <w:r w:rsidR="00DB45F2" w:rsidRPr="005759D1">
        <w:rPr>
          <w:rFonts w:asciiTheme="majorHAnsi" w:hAnsiTheme="majorHAnsi" w:cstheme="majorHAnsi"/>
          <w:sz w:val="22"/>
          <w:szCs w:val="22"/>
        </w:rPr>
        <w:t xml:space="preserve">tissue samples </w:t>
      </w:r>
      <w:r w:rsidR="0041141F" w:rsidRPr="005759D1">
        <w:rPr>
          <w:rFonts w:asciiTheme="majorHAnsi" w:hAnsiTheme="majorHAnsi" w:cstheme="majorHAnsi"/>
          <w:sz w:val="22"/>
          <w:szCs w:val="22"/>
        </w:rPr>
        <w:t xml:space="preserve">do not represent viable </w:t>
      </w:r>
      <w:r w:rsidR="009E0281" w:rsidRPr="005759D1">
        <w:rPr>
          <w:rFonts w:asciiTheme="majorHAnsi" w:hAnsiTheme="majorHAnsi" w:cstheme="majorHAnsi"/>
          <w:sz w:val="22"/>
          <w:szCs w:val="22"/>
        </w:rPr>
        <w:t>bio</w:t>
      </w:r>
      <w:r w:rsidR="0041141F" w:rsidRPr="005759D1">
        <w:rPr>
          <w:rFonts w:asciiTheme="majorHAnsi" w:hAnsiTheme="majorHAnsi" w:cstheme="majorHAnsi"/>
          <w:sz w:val="22"/>
          <w:szCs w:val="22"/>
        </w:rPr>
        <w:t>markers</w:t>
      </w:r>
      <w:r w:rsidR="009E0281" w:rsidRPr="005759D1">
        <w:rPr>
          <w:rFonts w:asciiTheme="majorHAnsi" w:hAnsiTheme="majorHAnsi" w:cstheme="majorHAnsi"/>
          <w:sz w:val="22"/>
          <w:szCs w:val="22"/>
        </w:rPr>
        <w:t xml:space="preserve"> useful for clinical </w:t>
      </w:r>
      <w:r w:rsidR="002C45AB" w:rsidRPr="005759D1">
        <w:rPr>
          <w:rFonts w:asciiTheme="majorHAnsi" w:hAnsiTheme="majorHAnsi" w:cstheme="majorHAnsi"/>
          <w:sz w:val="22"/>
          <w:szCs w:val="22"/>
        </w:rPr>
        <w:t xml:space="preserve">pre-surgical </w:t>
      </w:r>
      <w:r w:rsidR="009E0281" w:rsidRPr="005759D1">
        <w:rPr>
          <w:rFonts w:asciiTheme="majorHAnsi" w:hAnsiTheme="majorHAnsi" w:cstheme="majorHAnsi"/>
          <w:sz w:val="22"/>
          <w:szCs w:val="22"/>
        </w:rPr>
        <w:t xml:space="preserve">screening to identify individuals at risk for development of POAF </w:t>
      </w:r>
      <w:r w:rsidR="002C45AB" w:rsidRPr="005759D1">
        <w:rPr>
          <w:rFonts w:asciiTheme="majorHAnsi" w:hAnsiTheme="majorHAnsi" w:cstheme="majorHAnsi"/>
          <w:sz w:val="22"/>
          <w:szCs w:val="22"/>
        </w:rPr>
        <w:t>and who may require alternative of more aggressive intervention to prevent its onset.</w:t>
      </w:r>
    </w:p>
    <w:p w:rsidR="001669C8" w:rsidRPr="005759D1" w:rsidRDefault="001669C8" w:rsidP="00646360">
      <w:pPr>
        <w:rPr>
          <w:rFonts w:asciiTheme="majorHAnsi" w:hAnsiTheme="majorHAnsi" w:cstheme="majorHAnsi"/>
          <w:sz w:val="22"/>
          <w:szCs w:val="22"/>
        </w:rPr>
      </w:pPr>
    </w:p>
    <w:p w:rsidR="00637865" w:rsidRPr="005759D1" w:rsidRDefault="00584060" w:rsidP="00646360">
      <w:pPr>
        <w:rPr>
          <w:rFonts w:asciiTheme="majorHAnsi" w:hAnsiTheme="majorHAnsi" w:cstheme="majorHAnsi"/>
          <w:sz w:val="22"/>
          <w:szCs w:val="22"/>
        </w:rPr>
      </w:pPr>
      <w:r w:rsidRPr="005759D1">
        <w:rPr>
          <w:rFonts w:asciiTheme="majorHAnsi" w:hAnsiTheme="majorHAnsi" w:cstheme="majorHAnsi"/>
          <w:sz w:val="22"/>
          <w:szCs w:val="22"/>
        </w:rPr>
        <w:t>Other</w:t>
      </w:r>
      <w:r w:rsidR="00E45567" w:rsidRPr="005759D1">
        <w:rPr>
          <w:rFonts w:asciiTheme="majorHAnsi" w:hAnsiTheme="majorHAnsi" w:cstheme="majorHAnsi"/>
          <w:sz w:val="22"/>
          <w:szCs w:val="22"/>
        </w:rPr>
        <w:t xml:space="preserve"> studies </w:t>
      </w:r>
      <w:r w:rsidRPr="005759D1">
        <w:rPr>
          <w:rFonts w:asciiTheme="majorHAnsi" w:hAnsiTheme="majorHAnsi" w:cstheme="majorHAnsi"/>
          <w:sz w:val="22"/>
          <w:szCs w:val="22"/>
        </w:rPr>
        <w:t xml:space="preserve">have </w:t>
      </w:r>
      <w:r w:rsidR="00E45567" w:rsidRPr="005759D1">
        <w:rPr>
          <w:rFonts w:asciiTheme="majorHAnsi" w:hAnsiTheme="majorHAnsi" w:cstheme="majorHAnsi"/>
          <w:sz w:val="22"/>
          <w:szCs w:val="22"/>
        </w:rPr>
        <w:t xml:space="preserve">applied case-control study design comparing individuals who had undergone CABG and subsequently developed POAF to those who remained in normal sinus rhythm, to determine expression patterns or serum or plasma levels of the index markers pre and post-surgery.  </w:t>
      </w:r>
      <w:r w:rsidR="0041141F" w:rsidRPr="005759D1">
        <w:rPr>
          <w:rFonts w:asciiTheme="majorHAnsi" w:hAnsiTheme="majorHAnsi" w:cstheme="majorHAnsi"/>
          <w:sz w:val="22"/>
          <w:szCs w:val="22"/>
        </w:rPr>
        <w:t xml:space="preserve">For example, </w:t>
      </w:r>
      <w:r w:rsidR="00E332DA" w:rsidRPr="005759D1">
        <w:rPr>
          <w:rFonts w:asciiTheme="majorHAnsi" w:hAnsiTheme="majorHAnsi" w:cstheme="majorHAnsi"/>
          <w:sz w:val="22"/>
          <w:szCs w:val="22"/>
        </w:rPr>
        <w:t xml:space="preserve">Ucar </w:t>
      </w:r>
      <w:r w:rsidR="00E332DA" w:rsidRPr="005759D1">
        <w:rPr>
          <w:rFonts w:asciiTheme="majorHAnsi" w:hAnsiTheme="majorHAnsi" w:cstheme="majorHAnsi"/>
          <w:i/>
          <w:sz w:val="22"/>
          <w:szCs w:val="22"/>
        </w:rPr>
        <w:t>et al</w:t>
      </w:r>
      <w:r w:rsidR="00E332DA" w:rsidRPr="005759D1">
        <w:rPr>
          <w:rFonts w:asciiTheme="majorHAnsi" w:hAnsiTheme="majorHAnsi" w:cstheme="majorHAnsi"/>
          <w:sz w:val="22"/>
          <w:szCs w:val="22"/>
        </w:rPr>
        <w:t xml:space="preserve"> (2007) examined plasma levels of IL6 and high sensitivity C-reactive protein (h</w:t>
      </w:r>
      <w:r w:rsidR="00E97391" w:rsidRPr="005759D1">
        <w:rPr>
          <w:rFonts w:asciiTheme="majorHAnsi" w:hAnsiTheme="majorHAnsi" w:cstheme="majorHAnsi"/>
          <w:sz w:val="22"/>
          <w:szCs w:val="22"/>
        </w:rPr>
        <w:t>s</w:t>
      </w:r>
      <w:r w:rsidR="00E332DA" w:rsidRPr="005759D1">
        <w:rPr>
          <w:rFonts w:asciiTheme="majorHAnsi" w:hAnsiTheme="majorHAnsi" w:cstheme="majorHAnsi"/>
          <w:sz w:val="22"/>
          <w:szCs w:val="22"/>
        </w:rPr>
        <w:t xml:space="preserve">CRP) pre and post </w:t>
      </w:r>
      <w:r w:rsidR="00AB5B66" w:rsidRPr="005759D1">
        <w:rPr>
          <w:rFonts w:asciiTheme="majorHAnsi" w:hAnsiTheme="majorHAnsi" w:cstheme="majorHAnsi"/>
          <w:sz w:val="22"/>
          <w:szCs w:val="22"/>
        </w:rPr>
        <w:t>CABG and while they observed significant elevations post surgery in levels of both inflammatory markers, these were not predictive pre-surgically</w:t>
      </w:r>
      <w:r w:rsidR="00D9737D" w:rsidRPr="005759D1">
        <w:rPr>
          <w:rFonts w:asciiTheme="majorHAnsi" w:hAnsiTheme="majorHAnsi" w:cstheme="majorHAnsi"/>
          <w:sz w:val="22"/>
          <w:szCs w:val="22"/>
        </w:rPr>
        <w:t>(</w:t>
      </w:r>
      <w:r w:rsidR="00D9737D" w:rsidRPr="005759D1">
        <w:rPr>
          <w:rFonts w:asciiTheme="majorHAnsi" w:hAnsiTheme="majorHAnsi" w:cstheme="majorHAnsi"/>
          <w:color w:val="FF0000"/>
          <w:sz w:val="22"/>
          <w:szCs w:val="22"/>
        </w:rPr>
        <w:t>16</w:t>
      </w:r>
      <w:r w:rsidR="00D9737D" w:rsidRPr="005759D1">
        <w:rPr>
          <w:rFonts w:asciiTheme="majorHAnsi" w:hAnsiTheme="majorHAnsi" w:cstheme="majorHAnsi"/>
          <w:sz w:val="22"/>
          <w:szCs w:val="22"/>
        </w:rPr>
        <w:t>)</w:t>
      </w:r>
      <w:r w:rsidR="00AB5B66" w:rsidRPr="005759D1">
        <w:rPr>
          <w:rFonts w:asciiTheme="majorHAnsi" w:hAnsiTheme="majorHAnsi" w:cstheme="majorHAnsi"/>
          <w:sz w:val="22"/>
          <w:szCs w:val="22"/>
        </w:rPr>
        <w:t xml:space="preserve">.  </w:t>
      </w:r>
      <w:r w:rsidR="00E97391" w:rsidRPr="005759D1">
        <w:rPr>
          <w:rFonts w:asciiTheme="majorHAnsi" w:hAnsiTheme="majorHAnsi" w:cstheme="majorHAnsi"/>
          <w:sz w:val="22"/>
          <w:szCs w:val="22"/>
        </w:rPr>
        <w:t xml:space="preserve">A more recent study by Kaireviciute </w:t>
      </w:r>
      <w:r w:rsidR="00E97391" w:rsidRPr="005759D1">
        <w:rPr>
          <w:rFonts w:asciiTheme="majorHAnsi" w:hAnsiTheme="majorHAnsi" w:cstheme="majorHAnsi"/>
          <w:i/>
          <w:sz w:val="22"/>
          <w:szCs w:val="22"/>
        </w:rPr>
        <w:t>et al</w:t>
      </w:r>
      <w:r w:rsidR="00E97391" w:rsidRPr="005759D1">
        <w:rPr>
          <w:rFonts w:asciiTheme="majorHAnsi" w:hAnsiTheme="majorHAnsi" w:cstheme="majorHAnsi"/>
          <w:sz w:val="22"/>
          <w:szCs w:val="22"/>
        </w:rPr>
        <w:t xml:space="preserve"> (2010) confirmed statistically significant differences in levels of hsCRP in serum collect</w:t>
      </w:r>
      <w:r w:rsidR="003D599C" w:rsidRPr="005759D1">
        <w:rPr>
          <w:rFonts w:asciiTheme="majorHAnsi" w:hAnsiTheme="majorHAnsi" w:cstheme="majorHAnsi"/>
          <w:sz w:val="22"/>
          <w:szCs w:val="22"/>
        </w:rPr>
        <w:t xml:space="preserve">ed peripherally and from atria or atrial </w:t>
      </w:r>
      <w:r w:rsidR="00E97391" w:rsidRPr="005759D1">
        <w:rPr>
          <w:rFonts w:asciiTheme="majorHAnsi" w:hAnsiTheme="majorHAnsi" w:cstheme="majorHAnsi"/>
          <w:sz w:val="22"/>
          <w:szCs w:val="22"/>
        </w:rPr>
        <w:t xml:space="preserve">appendages prior to surgery in patients with coronary artery disease. Significant difference in </w:t>
      </w:r>
      <w:r w:rsidR="003D599C" w:rsidRPr="005759D1">
        <w:rPr>
          <w:rFonts w:asciiTheme="majorHAnsi" w:hAnsiTheme="majorHAnsi" w:cstheme="majorHAnsi"/>
          <w:sz w:val="22"/>
          <w:szCs w:val="22"/>
        </w:rPr>
        <w:t xml:space="preserve">intracardiac </w:t>
      </w:r>
      <w:r w:rsidR="00E97391" w:rsidRPr="005759D1">
        <w:rPr>
          <w:rFonts w:asciiTheme="majorHAnsi" w:hAnsiTheme="majorHAnsi" w:cstheme="majorHAnsi"/>
          <w:sz w:val="22"/>
          <w:szCs w:val="22"/>
        </w:rPr>
        <w:t xml:space="preserve">levels of IL6 were also detected </w:t>
      </w:r>
      <w:r w:rsidR="003D599C" w:rsidRPr="005759D1">
        <w:rPr>
          <w:rFonts w:asciiTheme="majorHAnsi" w:hAnsiTheme="majorHAnsi" w:cstheme="majorHAnsi"/>
          <w:sz w:val="22"/>
          <w:szCs w:val="22"/>
        </w:rPr>
        <w:t>but these were not detected peripherally (</w:t>
      </w:r>
      <w:r w:rsidR="00D9737D" w:rsidRPr="005759D1">
        <w:rPr>
          <w:rFonts w:asciiTheme="majorHAnsi" w:hAnsiTheme="majorHAnsi" w:cstheme="majorHAnsi"/>
          <w:color w:val="FF0000"/>
          <w:sz w:val="22"/>
          <w:szCs w:val="22"/>
        </w:rPr>
        <w:t>17</w:t>
      </w:r>
      <w:r w:rsidR="003D599C" w:rsidRPr="005759D1">
        <w:rPr>
          <w:rFonts w:asciiTheme="majorHAnsi" w:hAnsiTheme="majorHAnsi" w:cstheme="majorHAnsi"/>
          <w:sz w:val="22"/>
          <w:szCs w:val="22"/>
        </w:rPr>
        <w:t xml:space="preserve">).  </w:t>
      </w:r>
      <w:r w:rsidR="000C6C0C" w:rsidRPr="005759D1">
        <w:rPr>
          <w:rFonts w:asciiTheme="majorHAnsi" w:hAnsiTheme="majorHAnsi" w:cstheme="majorHAnsi"/>
          <w:sz w:val="22"/>
          <w:szCs w:val="22"/>
        </w:rPr>
        <w:t xml:space="preserve">By contrast, a study by Neumann </w:t>
      </w:r>
      <w:r w:rsidR="000C6C0C" w:rsidRPr="005759D1">
        <w:rPr>
          <w:rFonts w:asciiTheme="majorHAnsi" w:hAnsiTheme="majorHAnsi" w:cstheme="majorHAnsi"/>
          <w:i/>
          <w:sz w:val="22"/>
          <w:szCs w:val="22"/>
        </w:rPr>
        <w:t>et al</w:t>
      </w:r>
      <w:r w:rsidR="000C6C0C" w:rsidRPr="005759D1">
        <w:rPr>
          <w:rFonts w:asciiTheme="majorHAnsi" w:hAnsiTheme="majorHAnsi" w:cstheme="majorHAnsi"/>
          <w:sz w:val="22"/>
          <w:szCs w:val="22"/>
        </w:rPr>
        <w:t xml:space="preserve"> (2007) found no association with persistent or permanent AF and inflammatory markers hsCRP, Il1 or Il6, but did demonstrate association with markers of oxidative stress (</w:t>
      </w:r>
      <w:r w:rsidR="00637865" w:rsidRPr="005759D1">
        <w:rPr>
          <w:rFonts w:asciiTheme="majorHAnsi" w:hAnsiTheme="majorHAnsi" w:cstheme="majorHAnsi"/>
          <w:color w:val="FF0000"/>
          <w:sz w:val="22"/>
          <w:szCs w:val="22"/>
        </w:rPr>
        <w:t>18</w:t>
      </w:r>
      <w:r w:rsidR="000C6C0C" w:rsidRPr="005759D1">
        <w:rPr>
          <w:rFonts w:asciiTheme="majorHAnsi" w:hAnsiTheme="majorHAnsi" w:cstheme="majorHAnsi"/>
          <w:sz w:val="22"/>
          <w:szCs w:val="22"/>
        </w:rPr>
        <w:t xml:space="preserve">).  </w:t>
      </w:r>
      <w:r w:rsidR="00E52273" w:rsidRPr="005759D1">
        <w:rPr>
          <w:rFonts w:asciiTheme="majorHAnsi" w:hAnsiTheme="majorHAnsi" w:cstheme="majorHAnsi"/>
          <w:sz w:val="22"/>
          <w:szCs w:val="22"/>
        </w:rPr>
        <w:t>Preoperative plasma B-type natriuretic peptide (BNP) level was examined retrospectively by Wazni among POAF cases and controls following cardiac surgery.  Investigators determined BNP was elevated among cases and proposed it as an independent predictor</w:t>
      </w:r>
      <w:r w:rsidR="00637865" w:rsidRPr="005759D1">
        <w:rPr>
          <w:rFonts w:asciiTheme="majorHAnsi" w:hAnsiTheme="majorHAnsi" w:cstheme="majorHAnsi"/>
          <w:sz w:val="22"/>
          <w:szCs w:val="22"/>
        </w:rPr>
        <w:t xml:space="preserve"> of POAF(</w:t>
      </w:r>
      <w:r w:rsidR="00637865" w:rsidRPr="005759D1">
        <w:rPr>
          <w:rFonts w:asciiTheme="majorHAnsi" w:hAnsiTheme="majorHAnsi" w:cstheme="majorHAnsi"/>
          <w:color w:val="FF0000"/>
          <w:sz w:val="22"/>
          <w:szCs w:val="22"/>
        </w:rPr>
        <w:t>19</w:t>
      </w:r>
      <w:r w:rsidR="00637865" w:rsidRPr="005759D1">
        <w:rPr>
          <w:rFonts w:asciiTheme="majorHAnsi" w:hAnsiTheme="majorHAnsi" w:cstheme="majorHAnsi"/>
          <w:sz w:val="22"/>
          <w:szCs w:val="22"/>
        </w:rPr>
        <w:t>).</w:t>
      </w:r>
      <w:r w:rsidR="00C5081E" w:rsidRPr="005759D1">
        <w:rPr>
          <w:rFonts w:asciiTheme="majorHAnsi" w:hAnsiTheme="majorHAnsi" w:cstheme="majorHAnsi"/>
          <w:sz w:val="22"/>
          <w:szCs w:val="22"/>
        </w:rPr>
        <w:t xml:space="preserve">  </w:t>
      </w:r>
    </w:p>
    <w:p w:rsidR="00637865" w:rsidRPr="005759D1" w:rsidRDefault="00637865" w:rsidP="00646360">
      <w:pPr>
        <w:rPr>
          <w:rFonts w:asciiTheme="majorHAnsi" w:hAnsiTheme="majorHAnsi" w:cstheme="majorHAnsi"/>
          <w:sz w:val="22"/>
          <w:szCs w:val="22"/>
        </w:rPr>
      </w:pPr>
    </w:p>
    <w:p w:rsidR="00637865" w:rsidRPr="005759D1" w:rsidRDefault="00C5081E" w:rsidP="00646360">
      <w:pPr>
        <w:rPr>
          <w:rFonts w:asciiTheme="majorHAnsi" w:hAnsiTheme="majorHAnsi" w:cstheme="majorHAnsi"/>
          <w:sz w:val="22"/>
          <w:szCs w:val="22"/>
        </w:rPr>
      </w:pPr>
      <w:r w:rsidRPr="005759D1">
        <w:rPr>
          <w:rFonts w:asciiTheme="majorHAnsi" w:hAnsiTheme="majorHAnsi" w:cstheme="majorHAnsi"/>
          <w:sz w:val="22"/>
          <w:szCs w:val="22"/>
        </w:rPr>
        <w:t>H</w:t>
      </w:r>
      <w:r w:rsidR="0041141F" w:rsidRPr="005759D1">
        <w:rPr>
          <w:rFonts w:asciiTheme="majorHAnsi" w:hAnsiTheme="majorHAnsi" w:cstheme="majorHAnsi"/>
          <w:sz w:val="22"/>
          <w:szCs w:val="22"/>
        </w:rPr>
        <w:t>eat shock proteins (hsp</w:t>
      </w:r>
      <w:r w:rsidR="002402E9" w:rsidRPr="005759D1">
        <w:rPr>
          <w:rFonts w:asciiTheme="majorHAnsi" w:hAnsiTheme="majorHAnsi" w:cstheme="majorHAnsi"/>
          <w:sz w:val="22"/>
          <w:szCs w:val="22"/>
        </w:rPr>
        <w:t>)</w:t>
      </w:r>
      <w:r w:rsidRPr="005759D1">
        <w:rPr>
          <w:rFonts w:asciiTheme="majorHAnsi" w:hAnsiTheme="majorHAnsi" w:cstheme="majorHAnsi"/>
          <w:sz w:val="22"/>
          <w:szCs w:val="22"/>
        </w:rPr>
        <w:t>,</w:t>
      </w:r>
      <w:r w:rsidR="0041141F" w:rsidRPr="005759D1">
        <w:rPr>
          <w:rFonts w:asciiTheme="majorHAnsi" w:hAnsiTheme="majorHAnsi" w:cstheme="majorHAnsi"/>
          <w:sz w:val="22"/>
          <w:szCs w:val="22"/>
        </w:rPr>
        <w:t xml:space="preserve"> </w:t>
      </w:r>
      <w:r w:rsidR="00C519C3" w:rsidRPr="005759D1">
        <w:rPr>
          <w:rFonts w:asciiTheme="majorHAnsi" w:hAnsiTheme="majorHAnsi" w:cstheme="majorHAnsi"/>
          <w:sz w:val="22"/>
          <w:szCs w:val="22"/>
        </w:rPr>
        <w:t>chaperone</w:t>
      </w:r>
      <w:r w:rsidR="0041141F" w:rsidRPr="005759D1">
        <w:rPr>
          <w:rFonts w:asciiTheme="majorHAnsi" w:hAnsiTheme="majorHAnsi" w:cstheme="majorHAnsi"/>
          <w:sz w:val="22"/>
          <w:szCs w:val="22"/>
        </w:rPr>
        <w:t xml:space="preserve"> molecules</w:t>
      </w:r>
      <w:r w:rsidR="002402E9" w:rsidRPr="005759D1">
        <w:rPr>
          <w:rFonts w:asciiTheme="majorHAnsi" w:hAnsiTheme="majorHAnsi" w:cstheme="majorHAnsi"/>
          <w:sz w:val="22"/>
          <w:szCs w:val="22"/>
        </w:rPr>
        <w:t xml:space="preserve"> involved in protein folding and maintenance of structural integrity of atrial myocytes</w:t>
      </w:r>
      <w:r w:rsidRPr="005759D1">
        <w:rPr>
          <w:rFonts w:asciiTheme="majorHAnsi" w:hAnsiTheme="majorHAnsi" w:cstheme="majorHAnsi"/>
          <w:sz w:val="22"/>
          <w:szCs w:val="22"/>
        </w:rPr>
        <w:t>, have similarly been proposed as predictors of POAF emergence.</w:t>
      </w:r>
      <w:r w:rsidR="0041141F" w:rsidRPr="005759D1">
        <w:rPr>
          <w:rFonts w:asciiTheme="majorHAnsi" w:hAnsiTheme="majorHAnsi" w:cstheme="majorHAnsi"/>
          <w:sz w:val="22"/>
          <w:szCs w:val="22"/>
        </w:rPr>
        <w:t xml:space="preserve">  </w:t>
      </w:r>
      <w:r w:rsidR="002402E9" w:rsidRPr="005759D1">
        <w:rPr>
          <w:rFonts w:asciiTheme="majorHAnsi" w:hAnsiTheme="majorHAnsi" w:cstheme="majorHAnsi"/>
          <w:sz w:val="22"/>
          <w:szCs w:val="22"/>
        </w:rPr>
        <w:t xml:space="preserve">Oc </w:t>
      </w:r>
      <w:r w:rsidR="002402E9" w:rsidRPr="005759D1">
        <w:rPr>
          <w:rFonts w:asciiTheme="majorHAnsi" w:hAnsiTheme="majorHAnsi" w:cstheme="majorHAnsi"/>
          <w:i/>
          <w:sz w:val="22"/>
          <w:szCs w:val="22"/>
        </w:rPr>
        <w:t>et al</w:t>
      </w:r>
      <w:r w:rsidR="002402E9" w:rsidRPr="005759D1">
        <w:rPr>
          <w:rFonts w:asciiTheme="majorHAnsi" w:hAnsiTheme="majorHAnsi" w:cstheme="majorHAnsi"/>
          <w:sz w:val="22"/>
          <w:szCs w:val="22"/>
        </w:rPr>
        <w:t xml:space="preserve"> (2008) demonstrated that HSP70 levels were significantly elevated in patients who experienced POAF both pre and post-surgery compared to patients who maintained normal sinus rhythm</w:t>
      </w:r>
      <w:r w:rsidR="00637865" w:rsidRPr="005759D1">
        <w:rPr>
          <w:rFonts w:asciiTheme="majorHAnsi" w:hAnsiTheme="majorHAnsi" w:cstheme="majorHAnsi"/>
          <w:sz w:val="22"/>
          <w:szCs w:val="22"/>
        </w:rPr>
        <w:t xml:space="preserve"> (</w:t>
      </w:r>
      <w:r w:rsidR="00637865" w:rsidRPr="005759D1">
        <w:rPr>
          <w:rFonts w:asciiTheme="majorHAnsi" w:hAnsiTheme="majorHAnsi" w:cstheme="majorHAnsi"/>
          <w:color w:val="FF0000"/>
          <w:sz w:val="22"/>
          <w:szCs w:val="22"/>
        </w:rPr>
        <w:t>20</w:t>
      </w:r>
      <w:r w:rsidR="00637865" w:rsidRPr="005759D1">
        <w:rPr>
          <w:rFonts w:asciiTheme="majorHAnsi" w:hAnsiTheme="majorHAnsi" w:cstheme="majorHAnsi"/>
          <w:sz w:val="22"/>
          <w:szCs w:val="22"/>
        </w:rPr>
        <w:t>)</w:t>
      </w:r>
      <w:r w:rsidR="002402E9" w:rsidRPr="005759D1">
        <w:rPr>
          <w:rFonts w:asciiTheme="majorHAnsi" w:hAnsiTheme="majorHAnsi" w:cstheme="majorHAnsi"/>
          <w:sz w:val="22"/>
          <w:szCs w:val="22"/>
        </w:rPr>
        <w:t xml:space="preserve">.  </w:t>
      </w:r>
      <w:r w:rsidR="00637865" w:rsidRPr="005759D1">
        <w:rPr>
          <w:rFonts w:asciiTheme="majorHAnsi" w:hAnsiTheme="majorHAnsi" w:cstheme="majorHAnsi"/>
          <w:sz w:val="22"/>
          <w:szCs w:val="22"/>
        </w:rPr>
        <w:t xml:space="preserve">However, Mandel </w:t>
      </w:r>
      <w:r w:rsidR="00637865" w:rsidRPr="005759D1">
        <w:rPr>
          <w:rFonts w:asciiTheme="majorHAnsi" w:hAnsiTheme="majorHAnsi" w:cstheme="majorHAnsi"/>
          <w:i/>
          <w:sz w:val="22"/>
          <w:szCs w:val="22"/>
        </w:rPr>
        <w:t>et al</w:t>
      </w:r>
      <w:r w:rsidR="00637865" w:rsidRPr="005759D1">
        <w:rPr>
          <w:rFonts w:asciiTheme="majorHAnsi" w:hAnsiTheme="majorHAnsi" w:cstheme="majorHAnsi"/>
          <w:sz w:val="22"/>
          <w:szCs w:val="22"/>
        </w:rPr>
        <w:t xml:space="preserve"> reported in 2005 that HSP 70 was only elevated intracellularly and not in serum (</w:t>
      </w:r>
      <w:r w:rsidR="00637865" w:rsidRPr="005759D1">
        <w:rPr>
          <w:rFonts w:asciiTheme="majorHAnsi" w:hAnsiTheme="majorHAnsi" w:cstheme="majorHAnsi"/>
          <w:color w:val="FF0000"/>
          <w:sz w:val="22"/>
          <w:szCs w:val="22"/>
        </w:rPr>
        <w:t>21</w:t>
      </w:r>
      <w:r w:rsidR="00637865" w:rsidRPr="005759D1">
        <w:rPr>
          <w:rFonts w:asciiTheme="majorHAnsi" w:hAnsiTheme="majorHAnsi" w:cstheme="majorHAnsi"/>
          <w:sz w:val="22"/>
          <w:szCs w:val="22"/>
        </w:rPr>
        <w:t xml:space="preserve">).  </w:t>
      </w:r>
      <w:r w:rsidR="004E0B42" w:rsidRPr="005759D1">
        <w:rPr>
          <w:rFonts w:asciiTheme="majorHAnsi" w:hAnsiTheme="majorHAnsi" w:cstheme="majorHAnsi"/>
          <w:sz w:val="22"/>
          <w:szCs w:val="22"/>
        </w:rPr>
        <w:t xml:space="preserve">Further, in </w:t>
      </w:r>
      <w:r w:rsidR="00D47879" w:rsidRPr="005759D1">
        <w:rPr>
          <w:rFonts w:asciiTheme="majorHAnsi" w:hAnsiTheme="majorHAnsi" w:cstheme="majorHAnsi"/>
          <w:sz w:val="22"/>
          <w:szCs w:val="22"/>
        </w:rPr>
        <w:t>two separate studies</w:t>
      </w:r>
      <w:r w:rsidR="004E0B42" w:rsidRPr="005759D1">
        <w:rPr>
          <w:rFonts w:asciiTheme="majorHAnsi" w:hAnsiTheme="majorHAnsi" w:cstheme="majorHAnsi"/>
          <w:sz w:val="22"/>
          <w:szCs w:val="22"/>
        </w:rPr>
        <w:t xml:space="preserve">, </w:t>
      </w:r>
      <w:r w:rsidR="00637865" w:rsidRPr="005759D1">
        <w:rPr>
          <w:rFonts w:asciiTheme="majorHAnsi" w:hAnsiTheme="majorHAnsi" w:cstheme="majorHAnsi"/>
          <w:sz w:val="22"/>
          <w:szCs w:val="22"/>
        </w:rPr>
        <w:t xml:space="preserve">both </w:t>
      </w:r>
      <w:r w:rsidR="004E0B42" w:rsidRPr="005759D1">
        <w:rPr>
          <w:rFonts w:asciiTheme="majorHAnsi" w:hAnsiTheme="majorHAnsi" w:cstheme="majorHAnsi"/>
          <w:sz w:val="22"/>
          <w:szCs w:val="22"/>
        </w:rPr>
        <w:t xml:space="preserve">Oc </w:t>
      </w:r>
      <w:r w:rsidR="004E0B42" w:rsidRPr="005759D1">
        <w:rPr>
          <w:rFonts w:asciiTheme="majorHAnsi" w:hAnsiTheme="majorHAnsi" w:cstheme="majorHAnsi"/>
          <w:i/>
          <w:sz w:val="22"/>
          <w:szCs w:val="22"/>
        </w:rPr>
        <w:t>et al</w:t>
      </w:r>
      <w:r w:rsidR="004E0B42" w:rsidRPr="005759D1">
        <w:rPr>
          <w:rFonts w:asciiTheme="majorHAnsi" w:hAnsiTheme="majorHAnsi" w:cstheme="majorHAnsi"/>
          <w:sz w:val="22"/>
          <w:szCs w:val="22"/>
        </w:rPr>
        <w:t xml:space="preserve"> </w:t>
      </w:r>
      <w:r w:rsidR="00637865" w:rsidRPr="005759D1">
        <w:rPr>
          <w:rFonts w:asciiTheme="majorHAnsi" w:hAnsiTheme="majorHAnsi" w:cstheme="majorHAnsi"/>
          <w:sz w:val="22"/>
          <w:szCs w:val="22"/>
        </w:rPr>
        <w:t>(2007)(</w:t>
      </w:r>
      <w:r w:rsidR="00637865" w:rsidRPr="005759D1">
        <w:rPr>
          <w:rFonts w:asciiTheme="majorHAnsi" w:hAnsiTheme="majorHAnsi" w:cstheme="majorHAnsi"/>
          <w:color w:val="FF0000"/>
          <w:sz w:val="22"/>
          <w:szCs w:val="22"/>
        </w:rPr>
        <w:t>22</w:t>
      </w:r>
      <w:r w:rsidR="00637865" w:rsidRPr="005759D1">
        <w:rPr>
          <w:rFonts w:asciiTheme="majorHAnsi" w:hAnsiTheme="majorHAnsi" w:cstheme="majorHAnsi"/>
          <w:sz w:val="22"/>
          <w:szCs w:val="22"/>
        </w:rPr>
        <w:t xml:space="preserve">) </w:t>
      </w:r>
      <w:r w:rsidR="00D47879" w:rsidRPr="005759D1">
        <w:rPr>
          <w:rFonts w:asciiTheme="majorHAnsi" w:hAnsiTheme="majorHAnsi" w:cstheme="majorHAnsi"/>
          <w:sz w:val="22"/>
          <w:szCs w:val="22"/>
        </w:rPr>
        <w:t xml:space="preserve">and Mandel </w:t>
      </w:r>
      <w:r w:rsidR="00D47879" w:rsidRPr="005759D1">
        <w:rPr>
          <w:rFonts w:asciiTheme="majorHAnsi" w:hAnsiTheme="majorHAnsi" w:cstheme="majorHAnsi"/>
          <w:i/>
          <w:sz w:val="22"/>
          <w:szCs w:val="22"/>
        </w:rPr>
        <w:t>et al</w:t>
      </w:r>
      <w:r w:rsidR="00D47879" w:rsidRPr="005759D1">
        <w:rPr>
          <w:rFonts w:asciiTheme="majorHAnsi" w:hAnsiTheme="majorHAnsi" w:cstheme="majorHAnsi"/>
          <w:sz w:val="22"/>
          <w:szCs w:val="22"/>
        </w:rPr>
        <w:t xml:space="preserve"> (20</w:t>
      </w:r>
      <w:r w:rsidR="00637865" w:rsidRPr="005759D1">
        <w:rPr>
          <w:rFonts w:asciiTheme="majorHAnsi" w:hAnsiTheme="majorHAnsi" w:cstheme="majorHAnsi"/>
          <w:sz w:val="22"/>
          <w:szCs w:val="22"/>
        </w:rPr>
        <w:t>04</w:t>
      </w:r>
      <w:r w:rsidR="00D47879" w:rsidRPr="005759D1">
        <w:rPr>
          <w:rFonts w:asciiTheme="majorHAnsi" w:hAnsiTheme="majorHAnsi" w:cstheme="majorHAnsi"/>
          <w:sz w:val="22"/>
          <w:szCs w:val="22"/>
        </w:rPr>
        <w:t>)</w:t>
      </w:r>
      <w:r w:rsidR="00637865" w:rsidRPr="005759D1">
        <w:rPr>
          <w:rFonts w:asciiTheme="majorHAnsi" w:hAnsiTheme="majorHAnsi" w:cstheme="majorHAnsi"/>
          <w:sz w:val="22"/>
          <w:szCs w:val="22"/>
        </w:rPr>
        <w:t>(</w:t>
      </w:r>
      <w:r w:rsidR="00637865" w:rsidRPr="005759D1">
        <w:rPr>
          <w:rFonts w:asciiTheme="majorHAnsi" w:hAnsiTheme="majorHAnsi" w:cstheme="majorHAnsi"/>
          <w:color w:val="FF0000"/>
          <w:sz w:val="22"/>
          <w:szCs w:val="22"/>
        </w:rPr>
        <w:t>23</w:t>
      </w:r>
      <w:r w:rsidR="00637865" w:rsidRPr="005759D1">
        <w:rPr>
          <w:rFonts w:asciiTheme="majorHAnsi" w:hAnsiTheme="majorHAnsi" w:cstheme="majorHAnsi"/>
          <w:sz w:val="22"/>
          <w:szCs w:val="22"/>
        </w:rPr>
        <w:t>)</w:t>
      </w:r>
      <w:r w:rsidR="00D47879" w:rsidRPr="005759D1">
        <w:rPr>
          <w:rFonts w:asciiTheme="majorHAnsi" w:hAnsiTheme="majorHAnsi" w:cstheme="majorHAnsi"/>
          <w:sz w:val="22"/>
          <w:szCs w:val="22"/>
        </w:rPr>
        <w:t xml:space="preserve"> </w:t>
      </w:r>
      <w:r w:rsidR="004E0B42" w:rsidRPr="005759D1">
        <w:rPr>
          <w:rFonts w:asciiTheme="majorHAnsi" w:hAnsiTheme="majorHAnsi" w:cstheme="majorHAnsi"/>
          <w:sz w:val="22"/>
          <w:szCs w:val="22"/>
        </w:rPr>
        <w:t>demonstrated significantly elevated levels of pre surgical HSP</w:t>
      </w:r>
      <w:r w:rsidR="00D47879" w:rsidRPr="005759D1">
        <w:rPr>
          <w:rFonts w:asciiTheme="majorHAnsi" w:hAnsiTheme="majorHAnsi" w:cstheme="majorHAnsi"/>
          <w:sz w:val="22"/>
          <w:szCs w:val="22"/>
        </w:rPr>
        <w:t xml:space="preserve">60 and </w:t>
      </w:r>
      <w:r w:rsidR="004E0B42" w:rsidRPr="005759D1">
        <w:rPr>
          <w:rFonts w:asciiTheme="majorHAnsi" w:hAnsiTheme="majorHAnsi" w:cstheme="majorHAnsi"/>
          <w:sz w:val="22"/>
          <w:szCs w:val="22"/>
        </w:rPr>
        <w:t xml:space="preserve">65 </w:t>
      </w:r>
      <w:r w:rsidR="004E0B42" w:rsidRPr="005759D1">
        <w:rPr>
          <w:rFonts w:asciiTheme="majorHAnsi" w:hAnsiTheme="majorHAnsi" w:cstheme="majorHAnsi"/>
          <w:i/>
          <w:sz w:val="22"/>
          <w:szCs w:val="22"/>
        </w:rPr>
        <w:t>antibody</w:t>
      </w:r>
      <w:r w:rsidR="00D47879" w:rsidRPr="005759D1">
        <w:rPr>
          <w:rFonts w:asciiTheme="majorHAnsi" w:hAnsiTheme="majorHAnsi" w:cstheme="majorHAnsi"/>
          <w:i/>
          <w:sz w:val="22"/>
          <w:szCs w:val="22"/>
        </w:rPr>
        <w:t xml:space="preserve"> </w:t>
      </w:r>
      <w:r w:rsidR="00D47879" w:rsidRPr="005759D1">
        <w:rPr>
          <w:rFonts w:asciiTheme="majorHAnsi" w:hAnsiTheme="majorHAnsi" w:cstheme="majorHAnsi"/>
          <w:sz w:val="22"/>
          <w:szCs w:val="22"/>
        </w:rPr>
        <w:t>(respectively)</w:t>
      </w:r>
      <w:r w:rsidR="00D47879" w:rsidRPr="005759D1">
        <w:rPr>
          <w:rFonts w:asciiTheme="majorHAnsi" w:hAnsiTheme="majorHAnsi" w:cstheme="majorHAnsi"/>
          <w:i/>
          <w:sz w:val="22"/>
          <w:szCs w:val="22"/>
        </w:rPr>
        <w:t xml:space="preserve">, </w:t>
      </w:r>
      <w:r w:rsidR="00D47879" w:rsidRPr="005759D1">
        <w:rPr>
          <w:rFonts w:asciiTheme="majorHAnsi" w:hAnsiTheme="majorHAnsi" w:cstheme="majorHAnsi"/>
          <w:sz w:val="22"/>
          <w:szCs w:val="22"/>
        </w:rPr>
        <w:t>in sera</w:t>
      </w:r>
      <w:r w:rsidR="004E0B42" w:rsidRPr="005759D1">
        <w:rPr>
          <w:rFonts w:asciiTheme="majorHAnsi" w:hAnsiTheme="majorHAnsi" w:cstheme="majorHAnsi"/>
          <w:sz w:val="22"/>
          <w:szCs w:val="22"/>
        </w:rPr>
        <w:t xml:space="preserve"> of patients who developed POAF compared to controls who maintained sinus rhythm following CABG surgery.  </w:t>
      </w:r>
      <w:r w:rsidR="00D47879" w:rsidRPr="005759D1">
        <w:rPr>
          <w:rFonts w:asciiTheme="majorHAnsi" w:hAnsiTheme="majorHAnsi" w:cstheme="majorHAnsi"/>
          <w:sz w:val="22"/>
          <w:szCs w:val="22"/>
        </w:rPr>
        <w:t xml:space="preserve">It </w:t>
      </w:r>
      <w:r w:rsidR="00584060" w:rsidRPr="005759D1">
        <w:rPr>
          <w:rFonts w:asciiTheme="majorHAnsi" w:hAnsiTheme="majorHAnsi" w:cstheme="majorHAnsi"/>
          <w:sz w:val="22"/>
          <w:szCs w:val="22"/>
        </w:rPr>
        <w:t>has been</w:t>
      </w:r>
      <w:r w:rsidR="00D47879" w:rsidRPr="005759D1">
        <w:rPr>
          <w:rFonts w:asciiTheme="majorHAnsi" w:hAnsiTheme="majorHAnsi" w:cstheme="majorHAnsi"/>
          <w:sz w:val="22"/>
          <w:szCs w:val="22"/>
        </w:rPr>
        <w:t xml:space="preserve"> postulated that t</w:t>
      </w:r>
      <w:r w:rsidR="004E0B42" w:rsidRPr="005759D1">
        <w:rPr>
          <w:rFonts w:asciiTheme="majorHAnsi" w:hAnsiTheme="majorHAnsi" w:cstheme="majorHAnsi"/>
          <w:sz w:val="22"/>
          <w:szCs w:val="22"/>
        </w:rPr>
        <w:t xml:space="preserve">hese complement-fixing antibodies </w:t>
      </w:r>
      <w:r w:rsidR="00D47879" w:rsidRPr="005759D1">
        <w:rPr>
          <w:rFonts w:asciiTheme="majorHAnsi" w:hAnsiTheme="majorHAnsi" w:cstheme="majorHAnsi"/>
          <w:sz w:val="22"/>
          <w:szCs w:val="22"/>
        </w:rPr>
        <w:t xml:space="preserve">bind to </w:t>
      </w:r>
      <w:r w:rsidR="004E0B42" w:rsidRPr="005759D1">
        <w:rPr>
          <w:rFonts w:asciiTheme="majorHAnsi" w:hAnsiTheme="majorHAnsi" w:cstheme="majorHAnsi"/>
          <w:sz w:val="22"/>
          <w:szCs w:val="22"/>
        </w:rPr>
        <w:t xml:space="preserve">HSP 60 (mitochondrial DNA) </w:t>
      </w:r>
      <w:r w:rsidR="00D47879" w:rsidRPr="005759D1">
        <w:rPr>
          <w:rFonts w:asciiTheme="majorHAnsi" w:hAnsiTheme="majorHAnsi" w:cstheme="majorHAnsi"/>
          <w:sz w:val="22"/>
          <w:szCs w:val="22"/>
        </w:rPr>
        <w:t xml:space="preserve">when expressed on the surface of atrial myocytes and cause cellular damage.  </w:t>
      </w:r>
    </w:p>
    <w:p w:rsidR="00637865" w:rsidRPr="005759D1" w:rsidRDefault="00637865" w:rsidP="00646360">
      <w:pPr>
        <w:rPr>
          <w:rFonts w:asciiTheme="majorHAnsi" w:hAnsiTheme="majorHAnsi" w:cstheme="majorHAnsi"/>
          <w:sz w:val="22"/>
          <w:szCs w:val="22"/>
        </w:rPr>
      </w:pPr>
    </w:p>
    <w:p w:rsidR="004E0B42" w:rsidRPr="005759D1" w:rsidRDefault="00D20063" w:rsidP="00646360">
      <w:pPr>
        <w:rPr>
          <w:rFonts w:asciiTheme="majorHAnsi" w:hAnsiTheme="majorHAnsi" w:cstheme="majorHAnsi"/>
          <w:sz w:val="22"/>
          <w:szCs w:val="22"/>
        </w:rPr>
      </w:pPr>
      <w:r w:rsidRPr="005759D1">
        <w:rPr>
          <w:rFonts w:asciiTheme="majorHAnsi" w:hAnsiTheme="majorHAnsi" w:cstheme="majorHAnsi"/>
          <w:sz w:val="22"/>
          <w:szCs w:val="22"/>
        </w:rPr>
        <w:t>Albeit,</w:t>
      </w:r>
      <w:r w:rsidR="0072601F" w:rsidRPr="005759D1">
        <w:rPr>
          <w:rFonts w:asciiTheme="majorHAnsi" w:hAnsiTheme="majorHAnsi" w:cstheme="majorHAnsi"/>
          <w:sz w:val="22"/>
          <w:szCs w:val="22"/>
        </w:rPr>
        <w:t xml:space="preserve"> </w:t>
      </w:r>
      <w:r w:rsidR="00584060" w:rsidRPr="005759D1">
        <w:rPr>
          <w:rFonts w:asciiTheme="majorHAnsi" w:hAnsiTheme="majorHAnsi" w:cstheme="majorHAnsi"/>
          <w:sz w:val="22"/>
          <w:szCs w:val="22"/>
        </w:rPr>
        <w:t xml:space="preserve">because </w:t>
      </w:r>
      <w:r w:rsidR="0072601F" w:rsidRPr="005759D1">
        <w:rPr>
          <w:rFonts w:asciiTheme="majorHAnsi" w:hAnsiTheme="majorHAnsi" w:cstheme="majorHAnsi"/>
          <w:sz w:val="22"/>
          <w:szCs w:val="22"/>
        </w:rPr>
        <w:t xml:space="preserve">these studies were </w:t>
      </w:r>
      <w:r w:rsidRPr="005759D1">
        <w:rPr>
          <w:rFonts w:asciiTheme="majorHAnsi" w:hAnsiTheme="majorHAnsi" w:cstheme="majorHAnsi"/>
          <w:sz w:val="22"/>
          <w:szCs w:val="22"/>
        </w:rPr>
        <w:t xml:space="preserve">largely </w:t>
      </w:r>
      <w:r w:rsidR="00584060" w:rsidRPr="005759D1">
        <w:rPr>
          <w:rFonts w:asciiTheme="majorHAnsi" w:hAnsiTheme="majorHAnsi" w:cstheme="majorHAnsi"/>
          <w:sz w:val="22"/>
          <w:szCs w:val="22"/>
        </w:rPr>
        <w:t>done o</w:t>
      </w:r>
      <w:r w:rsidR="0072601F" w:rsidRPr="005759D1">
        <w:rPr>
          <w:rFonts w:asciiTheme="majorHAnsi" w:hAnsiTheme="majorHAnsi" w:cstheme="majorHAnsi"/>
          <w:sz w:val="22"/>
          <w:szCs w:val="22"/>
        </w:rPr>
        <w:t>n small numbers of patients</w:t>
      </w:r>
      <w:r w:rsidR="00584060" w:rsidRPr="005759D1">
        <w:rPr>
          <w:rFonts w:asciiTheme="majorHAnsi" w:hAnsiTheme="majorHAnsi" w:cstheme="majorHAnsi"/>
          <w:sz w:val="22"/>
          <w:szCs w:val="22"/>
        </w:rPr>
        <w:t xml:space="preserve"> and have not been validated in other expanded patient populations,</w:t>
      </w:r>
      <w:r w:rsidRPr="005759D1">
        <w:rPr>
          <w:rFonts w:asciiTheme="majorHAnsi" w:hAnsiTheme="majorHAnsi" w:cstheme="majorHAnsi"/>
          <w:sz w:val="22"/>
          <w:szCs w:val="22"/>
        </w:rPr>
        <w:t xml:space="preserve"> </w:t>
      </w:r>
      <w:r w:rsidR="00584060" w:rsidRPr="005759D1">
        <w:rPr>
          <w:rFonts w:asciiTheme="majorHAnsi" w:hAnsiTheme="majorHAnsi" w:cstheme="majorHAnsi"/>
          <w:sz w:val="22"/>
          <w:szCs w:val="22"/>
        </w:rPr>
        <w:t xml:space="preserve">they </w:t>
      </w:r>
      <w:r w:rsidR="009E0281" w:rsidRPr="005759D1">
        <w:rPr>
          <w:rFonts w:asciiTheme="majorHAnsi" w:hAnsiTheme="majorHAnsi" w:cstheme="majorHAnsi"/>
          <w:sz w:val="22"/>
          <w:szCs w:val="22"/>
        </w:rPr>
        <w:t xml:space="preserve">currently </w:t>
      </w:r>
      <w:r w:rsidR="00584060" w:rsidRPr="005759D1">
        <w:rPr>
          <w:rFonts w:asciiTheme="majorHAnsi" w:hAnsiTheme="majorHAnsi" w:cstheme="majorHAnsi"/>
          <w:sz w:val="22"/>
          <w:szCs w:val="22"/>
        </w:rPr>
        <w:t xml:space="preserve">only </w:t>
      </w:r>
      <w:r w:rsidRPr="005759D1">
        <w:rPr>
          <w:rFonts w:asciiTheme="majorHAnsi" w:hAnsiTheme="majorHAnsi" w:cstheme="majorHAnsi"/>
          <w:sz w:val="22"/>
          <w:szCs w:val="22"/>
        </w:rPr>
        <w:t>represent pilot data</w:t>
      </w:r>
      <w:r w:rsidR="00584060" w:rsidRPr="005759D1">
        <w:rPr>
          <w:rFonts w:asciiTheme="majorHAnsi" w:hAnsiTheme="majorHAnsi" w:cstheme="majorHAnsi"/>
          <w:sz w:val="22"/>
          <w:szCs w:val="22"/>
        </w:rPr>
        <w:t xml:space="preserve"> with respect to their potential utility as clinically predictive biomarkers</w:t>
      </w:r>
      <w:r w:rsidRPr="005759D1">
        <w:rPr>
          <w:rFonts w:asciiTheme="majorHAnsi" w:hAnsiTheme="majorHAnsi" w:cstheme="majorHAnsi"/>
          <w:sz w:val="22"/>
          <w:szCs w:val="22"/>
        </w:rPr>
        <w:t xml:space="preserve">.  Any </w:t>
      </w:r>
      <w:r w:rsidR="009E0281" w:rsidRPr="005759D1">
        <w:rPr>
          <w:rFonts w:asciiTheme="majorHAnsi" w:hAnsiTheme="majorHAnsi" w:cstheme="majorHAnsi"/>
          <w:sz w:val="22"/>
          <w:szCs w:val="22"/>
        </w:rPr>
        <w:t>candidate</w:t>
      </w:r>
      <w:r w:rsidRPr="005759D1">
        <w:rPr>
          <w:rFonts w:asciiTheme="majorHAnsi" w:hAnsiTheme="majorHAnsi" w:cstheme="majorHAnsi"/>
          <w:sz w:val="22"/>
          <w:szCs w:val="22"/>
        </w:rPr>
        <w:t xml:space="preserve"> biomarker or panel of markers will need</w:t>
      </w:r>
      <w:r w:rsidR="0072601F" w:rsidRPr="005759D1">
        <w:rPr>
          <w:rFonts w:asciiTheme="majorHAnsi" w:hAnsiTheme="majorHAnsi" w:cstheme="majorHAnsi"/>
          <w:sz w:val="22"/>
          <w:szCs w:val="22"/>
        </w:rPr>
        <w:t xml:space="preserve"> to be tested on a large scale and characterized relative to sensitivity, specificity and predictive value to determine their relatively utility as screening biomarkers for prediction of POAF. </w:t>
      </w:r>
    </w:p>
    <w:p w:rsidR="001959B1" w:rsidRPr="005759D1" w:rsidRDefault="001959B1" w:rsidP="006B74B8">
      <w:pPr>
        <w:ind w:left="720"/>
        <w:rPr>
          <w:rFonts w:asciiTheme="majorHAnsi" w:hAnsiTheme="majorHAnsi" w:cstheme="majorHAnsi"/>
          <w:b/>
          <w:i/>
          <w:sz w:val="22"/>
          <w:szCs w:val="22"/>
        </w:rPr>
      </w:pPr>
    </w:p>
    <w:p w:rsidR="00B76CAF" w:rsidRPr="005759D1" w:rsidRDefault="00FB7480" w:rsidP="006B74B8">
      <w:pPr>
        <w:ind w:left="720"/>
        <w:rPr>
          <w:rFonts w:asciiTheme="majorHAnsi" w:hAnsiTheme="majorHAnsi" w:cstheme="majorHAnsi"/>
          <w:b/>
          <w:i/>
          <w:sz w:val="22"/>
          <w:szCs w:val="22"/>
        </w:rPr>
      </w:pPr>
      <w:r w:rsidRPr="005759D1">
        <w:rPr>
          <w:rFonts w:asciiTheme="majorHAnsi" w:hAnsiTheme="majorHAnsi" w:cstheme="majorHAnsi"/>
          <w:b/>
          <w:i/>
          <w:sz w:val="22"/>
          <w:szCs w:val="22"/>
        </w:rPr>
        <w:t>C3.2</w:t>
      </w:r>
      <w:r w:rsidR="006B74B8" w:rsidRPr="005759D1">
        <w:rPr>
          <w:rFonts w:asciiTheme="majorHAnsi" w:hAnsiTheme="majorHAnsi" w:cstheme="majorHAnsi"/>
          <w:b/>
          <w:i/>
          <w:sz w:val="22"/>
          <w:szCs w:val="22"/>
        </w:rPr>
        <w:t xml:space="preserve">  </w:t>
      </w:r>
      <w:r w:rsidR="00B76CAF" w:rsidRPr="005759D1">
        <w:rPr>
          <w:rFonts w:asciiTheme="majorHAnsi" w:hAnsiTheme="majorHAnsi" w:cstheme="majorHAnsi"/>
          <w:b/>
          <w:i/>
          <w:sz w:val="22"/>
          <w:szCs w:val="22"/>
        </w:rPr>
        <w:t xml:space="preserve">Candidate genes and </w:t>
      </w:r>
      <w:r w:rsidR="00646360" w:rsidRPr="005759D1">
        <w:rPr>
          <w:rFonts w:asciiTheme="majorHAnsi" w:hAnsiTheme="majorHAnsi" w:cstheme="majorHAnsi"/>
          <w:b/>
          <w:i/>
          <w:sz w:val="22"/>
          <w:szCs w:val="22"/>
        </w:rPr>
        <w:t>SNPs</w:t>
      </w:r>
    </w:p>
    <w:p w:rsidR="00C5081E" w:rsidRPr="005759D1" w:rsidRDefault="00646360" w:rsidP="00646360">
      <w:pPr>
        <w:rPr>
          <w:rFonts w:asciiTheme="majorHAnsi" w:hAnsiTheme="majorHAnsi" w:cstheme="majorHAnsi"/>
          <w:sz w:val="22"/>
          <w:szCs w:val="22"/>
        </w:rPr>
      </w:pPr>
      <w:r w:rsidRPr="005759D1">
        <w:rPr>
          <w:rFonts w:asciiTheme="majorHAnsi" w:hAnsiTheme="majorHAnsi" w:cstheme="majorHAnsi"/>
          <w:sz w:val="22"/>
          <w:szCs w:val="22"/>
        </w:rPr>
        <w:t>Because of the complex interplay of biological pathways contributing to emergence of POAF, it is not unexpected that genetic predisposition may contribute to susceptibility to POAF.  Both familial and ‘lone’ AF (occurring in the absence of any recognized risk factors)</w:t>
      </w:r>
      <w:r w:rsidR="002B0D8F" w:rsidRPr="005759D1">
        <w:rPr>
          <w:rFonts w:asciiTheme="majorHAnsi" w:hAnsiTheme="majorHAnsi" w:cstheme="majorHAnsi"/>
          <w:sz w:val="22"/>
          <w:szCs w:val="22"/>
        </w:rPr>
        <w:t>, have been reported.</w:t>
      </w:r>
      <w:r w:rsidRPr="005759D1">
        <w:rPr>
          <w:rFonts w:asciiTheme="majorHAnsi" w:hAnsiTheme="majorHAnsi" w:cstheme="majorHAnsi"/>
          <w:sz w:val="22"/>
          <w:szCs w:val="22"/>
        </w:rPr>
        <w:t xml:space="preserve"> </w:t>
      </w:r>
      <w:r w:rsidR="00A970C9" w:rsidRPr="005759D1">
        <w:rPr>
          <w:rFonts w:asciiTheme="majorHAnsi" w:hAnsiTheme="majorHAnsi" w:cstheme="majorHAnsi"/>
          <w:sz w:val="22"/>
          <w:szCs w:val="22"/>
        </w:rPr>
        <w:t xml:space="preserve"> </w:t>
      </w:r>
      <w:r w:rsidR="002B0D8F" w:rsidRPr="005759D1">
        <w:rPr>
          <w:rFonts w:asciiTheme="majorHAnsi" w:hAnsiTheme="majorHAnsi" w:cstheme="majorHAnsi"/>
          <w:sz w:val="22"/>
          <w:szCs w:val="22"/>
        </w:rPr>
        <w:t>Thus, ide</w:t>
      </w:r>
      <w:r w:rsidR="00FB0C5D" w:rsidRPr="005759D1">
        <w:rPr>
          <w:rFonts w:asciiTheme="majorHAnsi" w:hAnsiTheme="majorHAnsi" w:cstheme="majorHAnsi"/>
          <w:sz w:val="22"/>
          <w:szCs w:val="22"/>
        </w:rPr>
        <w:t xml:space="preserve">ntification of candidate genes </w:t>
      </w:r>
      <w:r w:rsidR="002B0D8F" w:rsidRPr="005759D1">
        <w:rPr>
          <w:rFonts w:asciiTheme="majorHAnsi" w:hAnsiTheme="majorHAnsi" w:cstheme="majorHAnsi"/>
          <w:sz w:val="22"/>
          <w:szCs w:val="22"/>
        </w:rPr>
        <w:t xml:space="preserve">demonstrating association with POAF which impact on numerous biological pathways is not surprising. </w:t>
      </w:r>
      <w:r w:rsidR="00A970C9" w:rsidRPr="005759D1">
        <w:rPr>
          <w:rFonts w:asciiTheme="majorHAnsi" w:hAnsiTheme="majorHAnsi" w:cstheme="majorHAnsi"/>
          <w:sz w:val="22"/>
          <w:szCs w:val="22"/>
        </w:rPr>
        <w:t xml:space="preserve"> </w:t>
      </w:r>
      <w:r w:rsidRPr="005759D1">
        <w:rPr>
          <w:rFonts w:asciiTheme="majorHAnsi" w:hAnsiTheme="majorHAnsi" w:cstheme="majorHAnsi"/>
          <w:sz w:val="22"/>
          <w:szCs w:val="22"/>
        </w:rPr>
        <w:t>For example</w:t>
      </w:r>
      <w:r w:rsidR="00B133F7" w:rsidRPr="005759D1">
        <w:rPr>
          <w:rFonts w:asciiTheme="majorHAnsi" w:hAnsiTheme="majorHAnsi" w:cstheme="majorHAnsi"/>
          <w:sz w:val="22"/>
          <w:szCs w:val="22"/>
        </w:rPr>
        <w:t>,</w:t>
      </w:r>
      <w:r w:rsidRPr="005759D1">
        <w:rPr>
          <w:rFonts w:asciiTheme="majorHAnsi" w:hAnsiTheme="majorHAnsi" w:cstheme="majorHAnsi"/>
          <w:sz w:val="22"/>
          <w:szCs w:val="22"/>
        </w:rPr>
        <w:t xml:space="preserve"> a </w:t>
      </w:r>
      <w:r w:rsidR="00B133F7" w:rsidRPr="005759D1">
        <w:rPr>
          <w:rFonts w:asciiTheme="majorHAnsi" w:hAnsiTheme="majorHAnsi" w:cstheme="majorHAnsi"/>
          <w:sz w:val="22"/>
          <w:szCs w:val="22"/>
        </w:rPr>
        <w:t xml:space="preserve">2007 </w:t>
      </w:r>
      <w:r w:rsidRPr="005759D1">
        <w:rPr>
          <w:rFonts w:asciiTheme="majorHAnsi" w:hAnsiTheme="majorHAnsi" w:cstheme="majorHAnsi"/>
          <w:sz w:val="22"/>
          <w:szCs w:val="22"/>
        </w:rPr>
        <w:t xml:space="preserve">study by Ramlawi </w:t>
      </w:r>
      <w:r w:rsidRPr="005759D1">
        <w:rPr>
          <w:rFonts w:asciiTheme="majorHAnsi" w:hAnsiTheme="majorHAnsi" w:cstheme="majorHAnsi"/>
          <w:i/>
          <w:sz w:val="22"/>
          <w:szCs w:val="22"/>
        </w:rPr>
        <w:t>et al</w:t>
      </w:r>
      <w:r w:rsidRPr="005759D1">
        <w:rPr>
          <w:rFonts w:asciiTheme="majorHAnsi" w:hAnsiTheme="majorHAnsi" w:cstheme="majorHAnsi"/>
          <w:sz w:val="22"/>
          <w:szCs w:val="22"/>
        </w:rPr>
        <w:t xml:space="preserve"> suggested a ‘differential </w:t>
      </w:r>
      <w:r w:rsidR="00B133F7" w:rsidRPr="005759D1">
        <w:rPr>
          <w:rFonts w:asciiTheme="majorHAnsi" w:hAnsiTheme="majorHAnsi" w:cstheme="majorHAnsi"/>
          <w:sz w:val="22"/>
          <w:szCs w:val="22"/>
        </w:rPr>
        <w:t>oxidative genomic response’ which included risk genes in cases and protective genes among patients who maintained a normal sinus rhythm</w:t>
      </w:r>
      <w:r w:rsidR="002D32B6" w:rsidRPr="005759D1">
        <w:rPr>
          <w:rFonts w:asciiTheme="majorHAnsi" w:hAnsiTheme="majorHAnsi" w:cstheme="majorHAnsi"/>
          <w:sz w:val="22"/>
          <w:szCs w:val="22"/>
        </w:rPr>
        <w:t xml:space="preserve"> (</w:t>
      </w:r>
      <w:r w:rsidR="002D32B6" w:rsidRPr="005759D1">
        <w:rPr>
          <w:rFonts w:asciiTheme="majorHAnsi" w:hAnsiTheme="majorHAnsi" w:cstheme="majorHAnsi"/>
          <w:color w:val="FF0000"/>
          <w:sz w:val="22"/>
          <w:szCs w:val="22"/>
        </w:rPr>
        <w:t>24</w:t>
      </w:r>
      <w:r w:rsidR="002D32B6" w:rsidRPr="005759D1">
        <w:rPr>
          <w:rFonts w:asciiTheme="majorHAnsi" w:hAnsiTheme="majorHAnsi" w:cstheme="majorHAnsi"/>
          <w:sz w:val="22"/>
          <w:szCs w:val="22"/>
        </w:rPr>
        <w:t>)</w:t>
      </w:r>
      <w:r w:rsidR="00B133F7" w:rsidRPr="005759D1">
        <w:rPr>
          <w:rFonts w:asciiTheme="majorHAnsi" w:hAnsiTheme="majorHAnsi" w:cstheme="majorHAnsi"/>
          <w:sz w:val="22"/>
          <w:szCs w:val="22"/>
        </w:rPr>
        <w:t xml:space="preserve">.  </w:t>
      </w:r>
      <w:r w:rsidR="007B5609" w:rsidRPr="005759D1">
        <w:rPr>
          <w:rFonts w:asciiTheme="majorHAnsi" w:hAnsiTheme="majorHAnsi" w:cstheme="majorHAnsi"/>
          <w:sz w:val="22"/>
          <w:szCs w:val="22"/>
        </w:rPr>
        <w:t>Linkage analysis in monogenic AF (‘lone’ AF)</w:t>
      </w:r>
      <w:r w:rsidR="00617D97" w:rsidRPr="005759D1">
        <w:rPr>
          <w:rFonts w:asciiTheme="majorHAnsi" w:hAnsiTheme="majorHAnsi" w:cstheme="majorHAnsi"/>
          <w:sz w:val="22"/>
          <w:szCs w:val="22"/>
        </w:rPr>
        <w:t xml:space="preserve"> has been associated</w:t>
      </w:r>
      <w:r w:rsidR="007B5609" w:rsidRPr="005759D1">
        <w:rPr>
          <w:rFonts w:asciiTheme="majorHAnsi" w:hAnsiTheme="majorHAnsi" w:cstheme="majorHAnsi"/>
          <w:sz w:val="22"/>
          <w:szCs w:val="22"/>
        </w:rPr>
        <w:t xml:space="preserve"> with 7</w:t>
      </w:r>
      <w:r w:rsidR="00617D97" w:rsidRPr="005759D1">
        <w:rPr>
          <w:rFonts w:asciiTheme="majorHAnsi" w:hAnsiTheme="majorHAnsi" w:cstheme="majorHAnsi"/>
          <w:sz w:val="22"/>
          <w:szCs w:val="22"/>
        </w:rPr>
        <w:t xml:space="preserve"> genetic loci</w:t>
      </w:r>
      <w:r w:rsidR="007B5609" w:rsidRPr="005759D1">
        <w:rPr>
          <w:rFonts w:asciiTheme="majorHAnsi" w:hAnsiTheme="majorHAnsi" w:cstheme="majorHAnsi"/>
          <w:sz w:val="22"/>
          <w:szCs w:val="22"/>
        </w:rPr>
        <w:t xml:space="preserve"> (11p15.5, 21q22, 17q, 7q35-36, 5p13, 6q14-16 and 10q22</w:t>
      </w:r>
      <w:r w:rsidR="00A970C9" w:rsidRPr="005759D1">
        <w:rPr>
          <w:rFonts w:asciiTheme="majorHAnsi" w:hAnsiTheme="majorHAnsi" w:cstheme="majorHAnsi"/>
          <w:sz w:val="22"/>
          <w:szCs w:val="22"/>
        </w:rPr>
        <w:t>)</w:t>
      </w:r>
      <w:r w:rsidR="007B5609" w:rsidRPr="005759D1">
        <w:rPr>
          <w:rFonts w:asciiTheme="majorHAnsi" w:hAnsiTheme="majorHAnsi" w:cstheme="majorHAnsi"/>
          <w:sz w:val="22"/>
          <w:szCs w:val="22"/>
        </w:rPr>
        <w:t xml:space="preserve"> </w:t>
      </w:r>
      <w:r w:rsidR="00617D97" w:rsidRPr="005759D1">
        <w:rPr>
          <w:rFonts w:asciiTheme="majorHAnsi" w:hAnsiTheme="majorHAnsi" w:cstheme="majorHAnsi"/>
          <w:sz w:val="22"/>
          <w:szCs w:val="22"/>
        </w:rPr>
        <w:t xml:space="preserve">with </w:t>
      </w:r>
      <w:r w:rsidR="007B5609" w:rsidRPr="005759D1">
        <w:rPr>
          <w:rFonts w:asciiTheme="majorHAnsi" w:hAnsiTheme="majorHAnsi" w:cstheme="majorHAnsi"/>
          <w:sz w:val="22"/>
          <w:szCs w:val="22"/>
        </w:rPr>
        <w:t>some</w:t>
      </w:r>
      <w:r w:rsidR="00617D97" w:rsidRPr="005759D1">
        <w:rPr>
          <w:rFonts w:asciiTheme="majorHAnsi" w:hAnsiTheme="majorHAnsi" w:cstheme="majorHAnsi"/>
          <w:sz w:val="22"/>
          <w:szCs w:val="22"/>
        </w:rPr>
        <w:t xml:space="preserve"> contributing to causation. </w:t>
      </w:r>
      <w:r w:rsidR="00702EA9" w:rsidRPr="005759D1">
        <w:rPr>
          <w:rFonts w:asciiTheme="majorHAnsi" w:hAnsiTheme="majorHAnsi" w:cstheme="majorHAnsi"/>
          <w:sz w:val="22"/>
          <w:szCs w:val="22"/>
        </w:rPr>
        <w:t xml:space="preserve">These chromosomal loci include genes which encode K channel subunits </w:t>
      </w:r>
      <w:r w:rsidR="002D32B6" w:rsidRPr="005759D1">
        <w:rPr>
          <w:rFonts w:asciiTheme="majorHAnsi" w:hAnsiTheme="majorHAnsi" w:cstheme="majorHAnsi"/>
          <w:sz w:val="22"/>
          <w:szCs w:val="22"/>
        </w:rPr>
        <w:t xml:space="preserve">KCNQ1, KCNE2, KCNJ2 and KCNH2 </w:t>
      </w:r>
      <w:r w:rsidR="00410975" w:rsidRPr="005759D1">
        <w:rPr>
          <w:rFonts w:asciiTheme="majorHAnsi" w:hAnsiTheme="majorHAnsi" w:cstheme="majorHAnsi"/>
          <w:sz w:val="22"/>
          <w:szCs w:val="22"/>
        </w:rPr>
        <w:t>(</w:t>
      </w:r>
      <w:r w:rsidR="002D32B6" w:rsidRPr="005759D1">
        <w:rPr>
          <w:rFonts w:asciiTheme="majorHAnsi" w:hAnsiTheme="majorHAnsi" w:cstheme="majorHAnsi"/>
          <w:color w:val="FF0000"/>
          <w:sz w:val="22"/>
          <w:szCs w:val="22"/>
        </w:rPr>
        <w:t>25-27</w:t>
      </w:r>
      <w:r w:rsidR="007B5609" w:rsidRPr="005759D1">
        <w:rPr>
          <w:rFonts w:asciiTheme="majorHAnsi" w:hAnsiTheme="majorHAnsi" w:cstheme="majorHAnsi"/>
          <w:sz w:val="22"/>
          <w:szCs w:val="22"/>
        </w:rPr>
        <w:t>)</w:t>
      </w:r>
      <w:r w:rsidR="002D32B6" w:rsidRPr="005759D1">
        <w:rPr>
          <w:rFonts w:asciiTheme="majorHAnsi" w:hAnsiTheme="majorHAnsi" w:cstheme="majorHAnsi"/>
          <w:sz w:val="22"/>
          <w:szCs w:val="22"/>
        </w:rPr>
        <w:t>.</w:t>
      </w:r>
      <w:r w:rsidR="00617D97" w:rsidRPr="005759D1">
        <w:rPr>
          <w:rFonts w:asciiTheme="majorHAnsi" w:hAnsiTheme="majorHAnsi" w:cstheme="majorHAnsi"/>
          <w:sz w:val="22"/>
          <w:szCs w:val="22"/>
        </w:rPr>
        <w:t xml:space="preserve"> </w:t>
      </w:r>
      <w:r w:rsidR="00A970C9" w:rsidRPr="005759D1">
        <w:rPr>
          <w:rFonts w:asciiTheme="majorHAnsi" w:hAnsiTheme="majorHAnsi" w:cstheme="majorHAnsi"/>
          <w:sz w:val="22"/>
          <w:szCs w:val="22"/>
        </w:rPr>
        <w:t xml:space="preserve"> </w:t>
      </w:r>
      <w:r w:rsidR="00410975" w:rsidRPr="005759D1">
        <w:rPr>
          <w:rFonts w:asciiTheme="majorHAnsi" w:hAnsiTheme="majorHAnsi" w:cstheme="majorHAnsi"/>
          <w:sz w:val="22"/>
          <w:szCs w:val="22"/>
        </w:rPr>
        <w:t xml:space="preserve">Interestingly, cardiac arrhythmia and thyroid dysfunction are both linked to KCNQ1 and KCNE mutations </w:t>
      </w:r>
      <w:r w:rsidR="002D32B6" w:rsidRPr="005759D1">
        <w:rPr>
          <w:rFonts w:asciiTheme="majorHAnsi" w:hAnsiTheme="majorHAnsi" w:cstheme="majorHAnsi"/>
          <w:sz w:val="22"/>
          <w:szCs w:val="22"/>
        </w:rPr>
        <w:t>(</w:t>
      </w:r>
      <w:r w:rsidR="002D32B6" w:rsidRPr="005759D1">
        <w:rPr>
          <w:rFonts w:asciiTheme="majorHAnsi" w:hAnsiTheme="majorHAnsi" w:cstheme="majorHAnsi"/>
          <w:color w:val="FF0000"/>
          <w:sz w:val="22"/>
          <w:szCs w:val="22"/>
        </w:rPr>
        <w:t>28</w:t>
      </w:r>
      <w:r w:rsidR="00410975" w:rsidRPr="005759D1">
        <w:rPr>
          <w:rFonts w:asciiTheme="majorHAnsi" w:hAnsiTheme="majorHAnsi" w:cstheme="majorHAnsi"/>
          <w:sz w:val="22"/>
          <w:szCs w:val="22"/>
        </w:rPr>
        <w:t xml:space="preserve">).  </w:t>
      </w:r>
      <w:r w:rsidR="00612697" w:rsidRPr="005759D1">
        <w:rPr>
          <w:rFonts w:asciiTheme="majorHAnsi" w:hAnsiTheme="majorHAnsi" w:cstheme="majorHAnsi"/>
          <w:sz w:val="22"/>
          <w:szCs w:val="22"/>
        </w:rPr>
        <w:t xml:space="preserve">Other </w:t>
      </w:r>
      <w:r w:rsidR="00617D97" w:rsidRPr="005759D1">
        <w:rPr>
          <w:rFonts w:asciiTheme="majorHAnsi" w:hAnsiTheme="majorHAnsi" w:cstheme="majorHAnsi"/>
          <w:sz w:val="22"/>
          <w:szCs w:val="22"/>
        </w:rPr>
        <w:t xml:space="preserve">genes </w:t>
      </w:r>
      <w:r w:rsidR="00617D97" w:rsidRPr="005759D1">
        <w:rPr>
          <w:rFonts w:asciiTheme="majorHAnsi" w:hAnsiTheme="majorHAnsi" w:cstheme="majorHAnsi"/>
          <w:sz w:val="22"/>
          <w:szCs w:val="22"/>
        </w:rPr>
        <w:lastRenderedPageBreak/>
        <w:t>contributing to AF in the context of underlying diseases in the general population include genes related to angiotensin converting enzyme (ACE)</w:t>
      </w:r>
      <w:r w:rsidR="00612697" w:rsidRPr="005759D1">
        <w:rPr>
          <w:rFonts w:asciiTheme="majorHAnsi" w:hAnsiTheme="majorHAnsi" w:cstheme="majorHAnsi"/>
          <w:sz w:val="22"/>
          <w:szCs w:val="22"/>
        </w:rPr>
        <w:t xml:space="preserve"> gene SNPs (M235, G6 and G217)</w:t>
      </w:r>
      <w:r w:rsidR="00617D97" w:rsidRPr="005759D1">
        <w:rPr>
          <w:rFonts w:asciiTheme="majorHAnsi" w:hAnsiTheme="majorHAnsi" w:cstheme="majorHAnsi"/>
          <w:sz w:val="22"/>
          <w:szCs w:val="22"/>
        </w:rPr>
        <w:t xml:space="preserve">, </w:t>
      </w:r>
      <w:r w:rsidR="00612697" w:rsidRPr="005759D1">
        <w:rPr>
          <w:rFonts w:asciiTheme="majorHAnsi" w:hAnsiTheme="majorHAnsi" w:cstheme="majorHAnsi"/>
          <w:sz w:val="22"/>
          <w:szCs w:val="22"/>
        </w:rPr>
        <w:t xml:space="preserve">connexin 40 </w:t>
      </w:r>
      <w:r w:rsidR="00460392" w:rsidRPr="005759D1">
        <w:rPr>
          <w:rFonts w:asciiTheme="majorHAnsi" w:hAnsiTheme="majorHAnsi" w:cstheme="majorHAnsi"/>
          <w:sz w:val="22"/>
          <w:szCs w:val="22"/>
        </w:rPr>
        <w:t xml:space="preserve">which functions in electrical coupling of atrial myocytes </w:t>
      </w:r>
      <w:r w:rsidR="00612697" w:rsidRPr="005759D1">
        <w:rPr>
          <w:rFonts w:asciiTheme="majorHAnsi" w:hAnsiTheme="majorHAnsi" w:cstheme="majorHAnsi"/>
          <w:sz w:val="22"/>
          <w:szCs w:val="22"/>
        </w:rPr>
        <w:t xml:space="preserve">(promoter haplotype  -44A,+71G) and </w:t>
      </w:r>
      <w:r w:rsidR="00460392" w:rsidRPr="005759D1">
        <w:rPr>
          <w:rFonts w:asciiTheme="majorHAnsi" w:hAnsiTheme="majorHAnsi" w:cstheme="majorHAnsi"/>
          <w:sz w:val="22"/>
          <w:szCs w:val="22"/>
        </w:rPr>
        <w:t xml:space="preserve">SNPs in the promoter regions </w:t>
      </w:r>
      <w:r w:rsidR="00612697" w:rsidRPr="005759D1">
        <w:rPr>
          <w:rFonts w:asciiTheme="majorHAnsi" w:hAnsiTheme="majorHAnsi" w:cstheme="majorHAnsi"/>
          <w:sz w:val="22"/>
          <w:szCs w:val="22"/>
        </w:rPr>
        <w:t xml:space="preserve">its regulatory </w:t>
      </w:r>
      <w:r w:rsidR="00460392" w:rsidRPr="005759D1">
        <w:rPr>
          <w:rFonts w:asciiTheme="majorHAnsi" w:hAnsiTheme="majorHAnsi" w:cstheme="majorHAnsi"/>
          <w:sz w:val="22"/>
          <w:szCs w:val="22"/>
        </w:rPr>
        <w:t>transcription factor, Sp1 and GATA4</w:t>
      </w:r>
      <w:r w:rsidR="00612697" w:rsidRPr="005759D1">
        <w:rPr>
          <w:rFonts w:asciiTheme="majorHAnsi" w:hAnsiTheme="majorHAnsi" w:cstheme="majorHAnsi"/>
          <w:sz w:val="22"/>
          <w:szCs w:val="22"/>
        </w:rPr>
        <w:t xml:space="preserve">) </w:t>
      </w:r>
      <w:r w:rsidR="00617D97" w:rsidRPr="005759D1">
        <w:rPr>
          <w:rFonts w:asciiTheme="majorHAnsi" w:hAnsiTheme="majorHAnsi" w:cstheme="majorHAnsi"/>
          <w:sz w:val="22"/>
          <w:szCs w:val="22"/>
        </w:rPr>
        <w:t>and cardiac ion channels</w:t>
      </w:r>
      <w:r w:rsidR="00612697" w:rsidRPr="005759D1">
        <w:rPr>
          <w:rFonts w:asciiTheme="majorHAnsi" w:hAnsiTheme="majorHAnsi" w:cstheme="majorHAnsi"/>
          <w:sz w:val="22"/>
          <w:szCs w:val="22"/>
        </w:rPr>
        <w:t xml:space="preserve"> (K+ (</w:t>
      </w:r>
      <w:r w:rsidR="00612697" w:rsidRPr="005759D1">
        <w:rPr>
          <w:rFonts w:asciiTheme="majorHAnsi" w:hAnsiTheme="majorHAnsi" w:cstheme="majorHAnsi"/>
          <w:i/>
          <w:sz w:val="22"/>
          <w:szCs w:val="22"/>
        </w:rPr>
        <w:t>mink</w:t>
      </w:r>
      <w:r w:rsidR="00612697" w:rsidRPr="005759D1">
        <w:rPr>
          <w:rFonts w:asciiTheme="majorHAnsi" w:hAnsiTheme="majorHAnsi" w:cstheme="majorHAnsi"/>
          <w:sz w:val="22"/>
          <w:szCs w:val="22"/>
        </w:rPr>
        <w:t>) and Na+(SCN5A))</w:t>
      </w:r>
      <w:r w:rsidR="000109CC" w:rsidRPr="005759D1">
        <w:rPr>
          <w:rFonts w:asciiTheme="majorHAnsi" w:hAnsiTheme="majorHAnsi" w:cstheme="majorHAnsi"/>
          <w:sz w:val="22"/>
          <w:szCs w:val="22"/>
        </w:rPr>
        <w:t>,</w:t>
      </w:r>
      <w:r w:rsidR="00617D97" w:rsidRPr="005759D1">
        <w:rPr>
          <w:rFonts w:asciiTheme="majorHAnsi" w:hAnsiTheme="majorHAnsi" w:cstheme="majorHAnsi"/>
          <w:sz w:val="22"/>
          <w:szCs w:val="22"/>
        </w:rPr>
        <w:t xml:space="preserve"> genes associated with inflammatory response molecules (interleukins</w:t>
      </w:r>
      <w:r w:rsidR="00A970C9" w:rsidRPr="005759D1">
        <w:rPr>
          <w:rFonts w:asciiTheme="majorHAnsi" w:hAnsiTheme="majorHAnsi" w:cstheme="majorHAnsi"/>
          <w:sz w:val="22"/>
          <w:szCs w:val="22"/>
        </w:rPr>
        <w:t>)</w:t>
      </w:r>
      <w:r w:rsidR="00460392" w:rsidRPr="005759D1">
        <w:rPr>
          <w:rFonts w:asciiTheme="majorHAnsi" w:hAnsiTheme="majorHAnsi" w:cstheme="majorHAnsi"/>
          <w:sz w:val="22"/>
          <w:szCs w:val="22"/>
        </w:rPr>
        <w:t>:  I</w:t>
      </w:r>
      <w:r w:rsidR="00612697" w:rsidRPr="005759D1">
        <w:rPr>
          <w:rFonts w:asciiTheme="majorHAnsi" w:hAnsiTheme="majorHAnsi" w:cstheme="majorHAnsi"/>
          <w:sz w:val="22"/>
          <w:szCs w:val="22"/>
        </w:rPr>
        <w:t>l6</w:t>
      </w:r>
      <w:r w:rsidR="00460392" w:rsidRPr="005759D1">
        <w:rPr>
          <w:rFonts w:asciiTheme="majorHAnsi" w:hAnsiTheme="majorHAnsi" w:cstheme="majorHAnsi"/>
          <w:sz w:val="22"/>
          <w:szCs w:val="22"/>
        </w:rPr>
        <w:t>, MMp2 (risk alleles</w:t>
      </w:r>
      <w:r w:rsidR="00A970C9" w:rsidRPr="005759D1">
        <w:rPr>
          <w:rFonts w:asciiTheme="majorHAnsi" w:hAnsiTheme="majorHAnsi" w:cstheme="majorHAnsi"/>
          <w:sz w:val="22"/>
          <w:szCs w:val="22"/>
        </w:rPr>
        <w:t>)</w:t>
      </w:r>
      <w:r w:rsidR="00612697" w:rsidRPr="005759D1">
        <w:rPr>
          <w:rFonts w:asciiTheme="majorHAnsi" w:hAnsiTheme="majorHAnsi" w:cstheme="majorHAnsi"/>
          <w:sz w:val="22"/>
          <w:szCs w:val="22"/>
        </w:rPr>
        <w:t xml:space="preserve"> and IL10</w:t>
      </w:r>
      <w:r w:rsidR="00460392" w:rsidRPr="005759D1">
        <w:rPr>
          <w:rFonts w:asciiTheme="majorHAnsi" w:hAnsiTheme="majorHAnsi" w:cstheme="majorHAnsi"/>
          <w:sz w:val="22"/>
          <w:szCs w:val="22"/>
        </w:rPr>
        <w:t xml:space="preserve"> (protective SNP</w:t>
      </w:r>
      <w:r w:rsidR="000109CC" w:rsidRPr="005759D1">
        <w:rPr>
          <w:rFonts w:asciiTheme="majorHAnsi" w:hAnsiTheme="majorHAnsi" w:cstheme="majorHAnsi"/>
          <w:sz w:val="22"/>
          <w:szCs w:val="22"/>
        </w:rPr>
        <w:t>) and TGFβ polymorphism +915 G-C at codon 25</w:t>
      </w:r>
      <w:r w:rsidR="00617D97" w:rsidRPr="005759D1">
        <w:rPr>
          <w:rFonts w:asciiTheme="majorHAnsi" w:hAnsiTheme="majorHAnsi" w:cstheme="majorHAnsi"/>
          <w:sz w:val="22"/>
          <w:szCs w:val="22"/>
        </w:rPr>
        <w:t xml:space="preserve"> (</w:t>
      </w:r>
      <w:r w:rsidR="006758F8" w:rsidRPr="005759D1">
        <w:rPr>
          <w:rFonts w:asciiTheme="majorHAnsi" w:hAnsiTheme="majorHAnsi" w:cstheme="majorHAnsi"/>
          <w:color w:val="FF0000"/>
          <w:sz w:val="22"/>
          <w:szCs w:val="22"/>
        </w:rPr>
        <w:t>25-30</w:t>
      </w:r>
      <w:r w:rsidR="00617D97" w:rsidRPr="005759D1">
        <w:rPr>
          <w:rFonts w:asciiTheme="majorHAnsi" w:hAnsiTheme="majorHAnsi" w:cstheme="majorHAnsi"/>
          <w:sz w:val="22"/>
          <w:szCs w:val="22"/>
        </w:rPr>
        <w:t>)</w:t>
      </w:r>
      <w:r w:rsidR="007B5609" w:rsidRPr="005759D1">
        <w:rPr>
          <w:rFonts w:asciiTheme="majorHAnsi" w:hAnsiTheme="majorHAnsi" w:cstheme="majorHAnsi"/>
          <w:sz w:val="22"/>
          <w:szCs w:val="22"/>
        </w:rPr>
        <w:t xml:space="preserve">.  </w:t>
      </w:r>
      <w:r w:rsidR="009E0281" w:rsidRPr="005759D1">
        <w:rPr>
          <w:rFonts w:asciiTheme="majorHAnsi" w:hAnsiTheme="majorHAnsi" w:cstheme="majorHAnsi"/>
          <w:sz w:val="22"/>
          <w:szCs w:val="22"/>
        </w:rPr>
        <w:t xml:space="preserve">An interesting study by Afzal </w:t>
      </w:r>
      <w:r w:rsidR="009E0281" w:rsidRPr="005759D1">
        <w:rPr>
          <w:rFonts w:asciiTheme="majorHAnsi" w:hAnsiTheme="majorHAnsi" w:cstheme="majorHAnsi"/>
          <w:i/>
          <w:sz w:val="22"/>
          <w:szCs w:val="22"/>
        </w:rPr>
        <w:t>et al</w:t>
      </w:r>
      <w:r w:rsidR="009E0281" w:rsidRPr="005759D1">
        <w:rPr>
          <w:rFonts w:asciiTheme="majorHAnsi" w:hAnsiTheme="majorHAnsi" w:cstheme="majorHAnsi"/>
          <w:sz w:val="22"/>
          <w:szCs w:val="22"/>
        </w:rPr>
        <w:t xml:space="preserve"> reported that individuals encoding a Met439Thr SNP in the HSP70 gene had a statistically significant higher incidence of POAF compared to individuals coding wild type genotype</w:t>
      </w:r>
      <w:r w:rsidR="00357BE0" w:rsidRPr="005759D1">
        <w:rPr>
          <w:rFonts w:asciiTheme="majorHAnsi" w:hAnsiTheme="majorHAnsi" w:cstheme="majorHAnsi"/>
          <w:sz w:val="22"/>
          <w:szCs w:val="22"/>
        </w:rPr>
        <w:t xml:space="preserve"> (</w:t>
      </w:r>
      <w:r w:rsidR="006758F8" w:rsidRPr="005759D1">
        <w:rPr>
          <w:rFonts w:asciiTheme="majorHAnsi" w:hAnsiTheme="majorHAnsi" w:cstheme="majorHAnsi"/>
          <w:color w:val="FF0000"/>
          <w:sz w:val="22"/>
          <w:szCs w:val="22"/>
        </w:rPr>
        <w:t>31</w:t>
      </w:r>
      <w:r w:rsidR="00357BE0" w:rsidRPr="005759D1">
        <w:rPr>
          <w:rFonts w:asciiTheme="majorHAnsi" w:hAnsiTheme="majorHAnsi" w:cstheme="majorHAnsi"/>
          <w:sz w:val="22"/>
          <w:szCs w:val="22"/>
        </w:rPr>
        <w:t>)</w:t>
      </w:r>
      <w:r w:rsidR="009E0281" w:rsidRPr="005759D1">
        <w:rPr>
          <w:rFonts w:asciiTheme="majorHAnsi" w:hAnsiTheme="majorHAnsi" w:cstheme="majorHAnsi"/>
          <w:sz w:val="22"/>
          <w:szCs w:val="22"/>
        </w:rPr>
        <w:t>.  Frequency of POAF incidence was approximately equivalent to population</w:t>
      </w:r>
      <w:r w:rsidR="00C5081E" w:rsidRPr="005759D1">
        <w:rPr>
          <w:rFonts w:asciiTheme="majorHAnsi" w:hAnsiTheme="majorHAnsi" w:cstheme="majorHAnsi"/>
          <w:sz w:val="22"/>
          <w:szCs w:val="22"/>
        </w:rPr>
        <w:t xml:space="preserve"> frequency of the HSP 70 SNP.  However, they reported that s</w:t>
      </w:r>
      <w:r w:rsidR="009E0281" w:rsidRPr="005759D1">
        <w:rPr>
          <w:rFonts w:asciiTheme="majorHAnsi" w:hAnsiTheme="majorHAnsi" w:cstheme="majorHAnsi"/>
          <w:sz w:val="22"/>
          <w:szCs w:val="22"/>
        </w:rPr>
        <w:t>erum levels of HSP 70 did not correl</w:t>
      </w:r>
      <w:r w:rsidR="00C5081E" w:rsidRPr="005759D1">
        <w:rPr>
          <w:rFonts w:asciiTheme="majorHAnsi" w:hAnsiTheme="majorHAnsi" w:cstheme="majorHAnsi"/>
          <w:sz w:val="22"/>
          <w:szCs w:val="22"/>
        </w:rPr>
        <w:t xml:space="preserve">ate with POAF incidence, in contrast to findings reported by Oc </w:t>
      </w:r>
      <w:r w:rsidR="00C5081E" w:rsidRPr="005759D1">
        <w:rPr>
          <w:rFonts w:asciiTheme="majorHAnsi" w:hAnsiTheme="majorHAnsi" w:cstheme="majorHAnsi"/>
          <w:i/>
          <w:sz w:val="22"/>
          <w:szCs w:val="22"/>
        </w:rPr>
        <w:t>et al</w:t>
      </w:r>
      <w:r w:rsidR="009E0281" w:rsidRPr="005759D1">
        <w:rPr>
          <w:rFonts w:asciiTheme="majorHAnsi" w:hAnsiTheme="majorHAnsi" w:cstheme="majorHAnsi"/>
          <w:sz w:val="22"/>
          <w:szCs w:val="22"/>
        </w:rPr>
        <w:t>(</w:t>
      </w:r>
      <w:r w:rsidR="006758F8" w:rsidRPr="005759D1">
        <w:rPr>
          <w:rFonts w:asciiTheme="majorHAnsi" w:hAnsiTheme="majorHAnsi" w:cstheme="majorHAnsi"/>
          <w:color w:val="FF0000"/>
          <w:sz w:val="22"/>
          <w:szCs w:val="22"/>
        </w:rPr>
        <w:t>20</w:t>
      </w:r>
      <w:r w:rsidR="009E0281" w:rsidRPr="005759D1">
        <w:rPr>
          <w:rFonts w:asciiTheme="majorHAnsi" w:hAnsiTheme="majorHAnsi" w:cstheme="majorHAnsi"/>
          <w:sz w:val="22"/>
          <w:szCs w:val="22"/>
        </w:rPr>
        <w:t>)</w:t>
      </w:r>
      <w:r w:rsidR="00A970C9" w:rsidRPr="005759D1">
        <w:rPr>
          <w:rFonts w:asciiTheme="majorHAnsi" w:hAnsiTheme="majorHAnsi" w:cstheme="majorHAnsi"/>
          <w:sz w:val="22"/>
          <w:szCs w:val="22"/>
        </w:rPr>
        <w:t>.</w:t>
      </w:r>
      <w:r w:rsidR="009E0281" w:rsidRPr="005759D1">
        <w:rPr>
          <w:rFonts w:asciiTheme="majorHAnsi" w:hAnsiTheme="majorHAnsi" w:cstheme="majorHAnsi"/>
          <w:sz w:val="22"/>
          <w:szCs w:val="22"/>
        </w:rPr>
        <w:t xml:space="preserve"> </w:t>
      </w:r>
    </w:p>
    <w:p w:rsidR="00584060" w:rsidRPr="005759D1" w:rsidRDefault="00584060" w:rsidP="00646360">
      <w:pPr>
        <w:rPr>
          <w:rFonts w:asciiTheme="majorHAnsi" w:hAnsiTheme="majorHAnsi" w:cstheme="majorHAnsi"/>
          <w:sz w:val="22"/>
          <w:szCs w:val="22"/>
        </w:rPr>
      </w:pPr>
    </w:p>
    <w:p w:rsidR="00B76CAF" w:rsidRPr="005759D1" w:rsidRDefault="00460392" w:rsidP="008F1F53">
      <w:pPr>
        <w:rPr>
          <w:rFonts w:asciiTheme="majorHAnsi" w:hAnsiTheme="majorHAnsi" w:cstheme="majorHAnsi"/>
          <w:sz w:val="22"/>
          <w:szCs w:val="22"/>
        </w:rPr>
      </w:pPr>
      <w:r w:rsidRPr="005759D1">
        <w:rPr>
          <w:rFonts w:asciiTheme="majorHAnsi" w:hAnsiTheme="majorHAnsi" w:cstheme="majorHAnsi"/>
          <w:sz w:val="22"/>
          <w:szCs w:val="22"/>
        </w:rPr>
        <w:t xml:space="preserve">While </w:t>
      </w:r>
      <w:r w:rsidR="00C5081E" w:rsidRPr="005759D1">
        <w:rPr>
          <w:rFonts w:asciiTheme="majorHAnsi" w:hAnsiTheme="majorHAnsi" w:cstheme="majorHAnsi"/>
          <w:sz w:val="22"/>
          <w:szCs w:val="22"/>
        </w:rPr>
        <w:t>genotypic screening holds some promise for several candidate markers</w:t>
      </w:r>
      <w:r w:rsidRPr="005759D1">
        <w:rPr>
          <w:rFonts w:asciiTheme="majorHAnsi" w:hAnsiTheme="majorHAnsi" w:cstheme="majorHAnsi"/>
          <w:sz w:val="22"/>
          <w:szCs w:val="22"/>
        </w:rPr>
        <w:t xml:space="preserve">, </w:t>
      </w:r>
      <w:r w:rsidR="00C5081E" w:rsidRPr="005759D1">
        <w:rPr>
          <w:rFonts w:asciiTheme="majorHAnsi" w:hAnsiTheme="majorHAnsi" w:cstheme="majorHAnsi"/>
          <w:sz w:val="22"/>
          <w:szCs w:val="22"/>
        </w:rPr>
        <w:t xml:space="preserve">potential association </w:t>
      </w:r>
      <w:r w:rsidRPr="005759D1">
        <w:rPr>
          <w:rFonts w:asciiTheme="majorHAnsi" w:hAnsiTheme="majorHAnsi" w:cstheme="majorHAnsi"/>
          <w:sz w:val="22"/>
          <w:szCs w:val="22"/>
        </w:rPr>
        <w:t>remain</w:t>
      </w:r>
      <w:r w:rsidR="00C5081E" w:rsidRPr="005759D1">
        <w:rPr>
          <w:rFonts w:asciiTheme="majorHAnsi" w:hAnsiTheme="majorHAnsi" w:cstheme="majorHAnsi"/>
          <w:sz w:val="22"/>
          <w:szCs w:val="22"/>
        </w:rPr>
        <w:t>s</w:t>
      </w:r>
      <w:r w:rsidRPr="005759D1">
        <w:rPr>
          <w:rFonts w:asciiTheme="majorHAnsi" w:hAnsiTheme="majorHAnsi" w:cstheme="majorHAnsi"/>
          <w:sz w:val="22"/>
          <w:szCs w:val="22"/>
        </w:rPr>
        <w:t xml:space="preserve"> to be validated in powered studies</w:t>
      </w:r>
      <w:r w:rsidR="00584060" w:rsidRPr="005759D1">
        <w:rPr>
          <w:rFonts w:asciiTheme="majorHAnsi" w:hAnsiTheme="majorHAnsi" w:cstheme="majorHAnsi"/>
          <w:sz w:val="22"/>
          <w:szCs w:val="22"/>
        </w:rPr>
        <w:t>.  Such studies will need to</w:t>
      </w:r>
      <w:r w:rsidRPr="005759D1">
        <w:rPr>
          <w:rFonts w:asciiTheme="majorHAnsi" w:hAnsiTheme="majorHAnsi" w:cstheme="majorHAnsi"/>
          <w:sz w:val="22"/>
          <w:szCs w:val="22"/>
        </w:rPr>
        <w:t xml:space="preserve"> </w:t>
      </w:r>
      <w:r w:rsidR="00584060" w:rsidRPr="005759D1">
        <w:rPr>
          <w:rFonts w:asciiTheme="majorHAnsi" w:hAnsiTheme="majorHAnsi" w:cstheme="majorHAnsi"/>
          <w:sz w:val="22"/>
          <w:szCs w:val="22"/>
        </w:rPr>
        <w:t>target</w:t>
      </w:r>
      <w:r w:rsidRPr="005759D1">
        <w:rPr>
          <w:rFonts w:asciiTheme="majorHAnsi" w:hAnsiTheme="majorHAnsi" w:cstheme="majorHAnsi"/>
          <w:sz w:val="22"/>
          <w:szCs w:val="22"/>
        </w:rPr>
        <w:t xml:space="preserve"> genetically homogeneous pop</w:t>
      </w:r>
      <w:r w:rsidR="009E0281" w:rsidRPr="005759D1">
        <w:rPr>
          <w:rFonts w:asciiTheme="majorHAnsi" w:hAnsiTheme="majorHAnsi" w:cstheme="majorHAnsi"/>
          <w:sz w:val="22"/>
          <w:szCs w:val="22"/>
        </w:rPr>
        <w:t xml:space="preserve">ulations </w:t>
      </w:r>
      <w:r w:rsidR="00584060" w:rsidRPr="005759D1">
        <w:rPr>
          <w:rFonts w:asciiTheme="majorHAnsi" w:hAnsiTheme="majorHAnsi" w:cstheme="majorHAnsi"/>
          <w:sz w:val="22"/>
          <w:szCs w:val="22"/>
        </w:rPr>
        <w:t>with potential for careful phenotypic characterization of</w:t>
      </w:r>
      <w:r w:rsidRPr="005759D1">
        <w:rPr>
          <w:rFonts w:asciiTheme="majorHAnsi" w:hAnsiTheme="majorHAnsi" w:cstheme="majorHAnsi"/>
          <w:sz w:val="22"/>
          <w:szCs w:val="22"/>
        </w:rPr>
        <w:t xml:space="preserve"> subjects </w:t>
      </w:r>
      <w:r w:rsidR="00584060" w:rsidRPr="005759D1">
        <w:rPr>
          <w:rFonts w:asciiTheme="majorHAnsi" w:hAnsiTheme="majorHAnsi" w:cstheme="majorHAnsi"/>
          <w:sz w:val="22"/>
          <w:szCs w:val="22"/>
        </w:rPr>
        <w:t>and</w:t>
      </w:r>
      <w:r w:rsidRPr="005759D1">
        <w:rPr>
          <w:rFonts w:asciiTheme="majorHAnsi" w:hAnsiTheme="majorHAnsi" w:cstheme="majorHAnsi"/>
          <w:sz w:val="22"/>
          <w:szCs w:val="22"/>
        </w:rPr>
        <w:t xml:space="preserve"> adjustment for confounding</w:t>
      </w:r>
      <w:r w:rsidR="00AE3F50" w:rsidRPr="005759D1">
        <w:rPr>
          <w:rFonts w:asciiTheme="majorHAnsi" w:hAnsiTheme="majorHAnsi" w:cstheme="majorHAnsi"/>
          <w:sz w:val="22"/>
          <w:szCs w:val="22"/>
        </w:rPr>
        <w:t>. Statistical m</w:t>
      </w:r>
      <w:r w:rsidRPr="005759D1">
        <w:rPr>
          <w:rFonts w:asciiTheme="majorHAnsi" w:hAnsiTheme="majorHAnsi" w:cstheme="majorHAnsi"/>
          <w:sz w:val="22"/>
          <w:szCs w:val="22"/>
        </w:rPr>
        <w:t xml:space="preserve">odeling </w:t>
      </w:r>
      <w:r w:rsidR="00AE3F50" w:rsidRPr="005759D1">
        <w:rPr>
          <w:rFonts w:asciiTheme="majorHAnsi" w:hAnsiTheme="majorHAnsi" w:cstheme="majorHAnsi"/>
          <w:sz w:val="22"/>
          <w:szCs w:val="22"/>
        </w:rPr>
        <w:t xml:space="preserve">will then need to be conducted </w:t>
      </w:r>
      <w:r w:rsidRPr="005759D1">
        <w:rPr>
          <w:rFonts w:asciiTheme="majorHAnsi" w:hAnsiTheme="majorHAnsi" w:cstheme="majorHAnsi"/>
          <w:sz w:val="22"/>
          <w:szCs w:val="22"/>
        </w:rPr>
        <w:t xml:space="preserve">in the context of multi-factorial association, including </w:t>
      </w:r>
      <w:r w:rsidR="00AE3F50" w:rsidRPr="005759D1">
        <w:rPr>
          <w:rFonts w:asciiTheme="majorHAnsi" w:hAnsiTheme="majorHAnsi" w:cstheme="majorHAnsi"/>
          <w:sz w:val="22"/>
          <w:szCs w:val="22"/>
        </w:rPr>
        <w:t xml:space="preserve">evaluation of </w:t>
      </w:r>
      <w:r w:rsidRPr="005759D1">
        <w:rPr>
          <w:rFonts w:asciiTheme="majorHAnsi" w:hAnsiTheme="majorHAnsi" w:cstheme="majorHAnsi"/>
          <w:sz w:val="22"/>
          <w:szCs w:val="22"/>
        </w:rPr>
        <w:t xml:space="preserve">gene-gene and gene-environment association.  </w:t>
      </w:r>
    </w:p>
    <w:p w:rsidR="001959B1" w:rsidRPr="005759D1" w:rsidRDefault="001959B1" w:rsidP="006B74B8">
      <w:pPr>
        <w:ind w:firstLine="720"/>
        <w:rPr>
          <w:rFonts w:asciiTheme="majorHAnsi" w:hAnsiTheme="majorHAnsi" w:cstheme="majorHAnsi"/>
          <w:b/>
          <w:sz w:val="22"/>
          <w:szCs w:val="22"/>
        </w:rPr>
      </w:pPr>
    </w:p>
    <w:p w:rsidR="00F54A72" w:rsidRPr="005759D1" w:rsidRDefault="00FB7480" w:rsidP="006B74B8">
      <w:pPr>
        <w:ind w:firstLine="720"/>
        <w:rPr>
          <w:rFonts w:asciiTheme="majorHAnsi" w:hAnsiTheme="majorHAnsi" w:cstheme="majorHAnsi"/>
          <w:b/>
          <w:sz w:val="22"/>
          <w:szCs w:val="22"/>
        </w:rPr>
      </w:pPr>
      <w:r w:rsidRPr="005759D1">
        <w:rPr>
          <w:rFonts w:asciiTheme="majorHAnsi" w:hAnsiTheme="majorHAnsi" w:cstheme="majorHAnsi"/>
          <w:b/>
          <w:sz w:val="22"/>
          <w:szCs w:val="22"/>
        </w:rPr>
        <w:t>C3.3</w:t>
      </w:r>
      <w:r w:rsidR="006B74B8" w:rsidRPr="005759D1">
        <w:rPr>
          <w:rFonts w:asciiTheme="majorHAnsi" w:hAnsiTheme="majorHAnsi" w:cstheme="majorHAnsi"/>
          <w:b/>
          <w:sz w:val="22"/>
          <w:szCs w:val="22"/>
        </w:rPr>
        <w:t xml:space="preserve"> </w:t>
      </w:r>
      <w:r w:rsidR="00FB3287" w:rsidRPr="005759D1">
        <w:rPr>
          <w:rFonts w:asciiTheme="majorHAnsi" w:hAnsiTheme="majorHAnsi" w:cstheme="majorHAnsi"/>
          <w:b/>
          <w:sz w:val="22"/>
          <w:szCs w:val="22"/>
        </w:rPr>
        <w:t>MicroRNAs (miRNA)</w:t>
      </w:r>
    </w:p>
    <w:p w:rsidR="00F643C1" w:rsidRPr="005759D1" w:rsidRDefault="00F643C1" w:rsidP="008F1F53">
      <w:pPr>
        <w:rPr>
          <w:rFonts w:asciiTheme="majorHAnsi" w:hAnsiTheme="majorHAnsi" w:cstheme="majorHAnsi"/>
          <w:sz w:val="22"/>
          <w:szCs w:val="22"/>
        </w:rPr>
      </w:pPr>
      <w:r w:rsidRPr="005759D1">
        <w:rPr>
          <w:rFonts w:asciiTheme="majorHAnsi" w:hAnsiTheme="majorHAnsi" w:cstheme="majorHAnsi"/>
          <w:sz w:val="22"/>
          <w:szCs w:val="22"/>
        </w:rPr>
        <w:t xml:space="preserve">MiRNA </w:t>
      </w:r>
      <w:r w:rsidR="00874CFB" w:rsidRPr="005759D1">
        <w:rPr>
          <w:rFonts w:asciiTheme="majorHAnsi" w:hAnsiTheme="majorHAnsi" w:cstheme="majorHAnsi"/>
          <w:sz w:val="22"/>
          <w:szCs w:val="22"/>
        </w:rPr>
        <w:t>are non-</w:t>
      </w:r>
      <w:r w:rsidRPr="005759D1">
        <w:rPr>
          <w:rFonts w:asciiTheme="majorHAnsi" w:hAnsiTheme="majorHAnsi" w:cstheme="majorHAnsi"/>
          <w:sz w:val="22"/>
          <w:szCs w:val="22"/>
        </w:rPr>
        <w:t>coding RNA molecule whose function appears to be regulation of gene expression in response to environmental and physiological perturbation</w:t>
      </w:r>
      <w:r w:rsidR="00874CFB" w:rsidRPr="005759D1">
        <w:rPr>
          <w:rFonts w:asciiTheme="majorHAnsi" w:hAnsiTheme="majorHAnsi" w:cstheme="majorHAnsi"/>
          <w:sz w:val="22"/>
          <w:szCs w:val="22"/>
        </w:rPr>
        <w:t xml:space="preserve">.  </w:t>
      </w:r>
      <w:r w:rsidR="00C717F1" w:rsidRPr="005759D1">
        <w:rPr>
          <w:rFonts w:asciiTheme="majorHAnsi" w:hAnsiTheme="majorHAnsi" w:cstheme="majorHAnsi"/>
          <w:sz w:val="22"/>
          <w:szCs w:val="22"/>
        </w:rPr>
        <w:t>These molecules regulate mRNA expression</w:t>
      </w:r>
      <w:r w:rsidR="00A85A18" w:rsidRPr="005759D1">
        <w:rPr>
          <w:rFonts w:asciiTheme="majorHAnsi" w:hAnsiTheme="majorHAnsi" w:cstheme="majorHAnsi"/>
          <w:sz w:val="22"/>
          <w:szCs w:val="22"/>
        </w:rPr>
        <w:t xml:space="preserve"> (Friedman </w:t>
      </w:r>
      <w:r w:rsidR="00A85A18" w:rsidRPr="005759D1">
        <w:rPr>
          <w:rFonts w:asciiTheme="majorHAnsi" w:hAnsiTheme="majorHAnsi" w:cstheme="majorHAnsi"/>
          <w:i/>
          <w:sz w:val="22"/>
          <w:szCs w:val="22"/>
        </w:rPr>
        <w:t>et al.</w:t>
      </w:r>
      <w:r w:rsidR="00A85A18" w:rsidRPr="005759D1">
        <w:rPr>
          <w:rFonts w:asciiTheme="majorHAnsi" w:hAnsiTheme="majorHAnsi" w:cstheme="majorHAnsi"/>
          <w:sz w:val="22"/>
          <w:szCs w:val="22"/>
        </w:rPr>
        <w:t xml:space="preserve"> 2009)</w:t>
      </w:r>
      <w:r w:rsidR="00C717F1" w:rsidRPr="005759D1">
        <w:rPr>
          <w:rFonts w:asciiTheme="majorHAnsi" w:hAnsiTheme="majorHAnsi" w:cstheme="majorHAnsi"/>
          <w:sz w:val="22"/>
          <w:szCs w:val="22"/>
        </w:rPr>
        <w:t xml:space="preserve">. </w:t>
      </w:r>
      <w:r w:rsidR="00883018" w:rsidRPr="005759D1">
        <w:rPr>
          <w:rFonts w:asciiTheme="majorHAnsi" w:hAnsiTheme="majorHAnsi" w:cstheme="majorHAnsi"/>
          <w:sz w:val="22"/>
          <w:szCs w:val="22"/>
        </w:rPr>
        <w:t xml:space="preserve"> In addition, miRNA </w:t>
      </w:r>
      <w:r w:rsidR="00874CFB" w:rsidRPr="005759D1">
        <w:rPr>
          <w:rFonts w:asciiTheme="majorHAnsi" w:hAnsiTheme="majorHAnsi" w:cstheme="majorHAnsi"/>
          <w:sz w:val="22"/>
          <w:szCs w:val="22"/>
        </w:rPr>
        <w:t>appear to be responsive to chemical messengers such as cytokine/ch</w:t>
      </w:r>
      <w:r w:rsidR="007B7DC6" w:rsidRPr="005759D1">
        <w:rPr>
          <w:rFonts w:asciiTheme="majorHAnsi" w:hAnsiTheme="majorHAnsi" w:cstheme="majorHAnsi"/>
          <w:sz w:val="22"/>
          <w:szCs w:val="22"/>
        </w:rPr>
        <w:t>emokine or hormonal signaling and fine tune physiological responses by up or down regulating appropriate and specific gene expression</w:t>
      </w:r>
      <w:r w:rsidR="00C717F1" w:rsidRPr="005759D1">
        <w:rPr>
          <w:rFonts w:asciiTheme="majorHAnsi" w:hAnsiTheme="majorHAnsi" w:cstheme="majorHAnsi"/>
          <w:sz w:val="22"/>
          <w:szCs w:val="22"/>
        </w:rPr>
        <w:t xml:space="preserve"> by regulating mRNA expression</w:t>
      </w:r>
      <w:r w:rsidR="007B7DC6" w:rsidRPr="005759D1">
        <w:rPr>
          <w:rFonts w:asciiTheme="majorHAnsi" w:hAnsiTheme="majorHAnsi" w:cstheme="majorHAnsi"/>
          <w:sz w:val="22"/>
          <w:szCs w:val="22"/>
        </w:rPr>
        <w:t xml:space="preserve">. </w:t>
      </w:r>
      <w:r w:rsidR="00087CDE" w:rsidRPr="005759D1">
        <w:rPr>
          <w:rFonts w:asciiTheme="majorHAnsi" w:hAnsiTheme="majorHAnsi" w:cstheme="majorHAnsi"/>
          <w:sz w:val="22"/>
          <w:szCs w:val="22"/>
        </w:rPr>
        <w:t xml:space="preserve"> </w:t>
      </w:r>
      <w:r w:rsidR="004164B5" w:rsidRPr="005759D1">
        <w:rPr>
          <w:rFonts w:asciiTheme="majorHAnsi" w:hAnsiTheme="majorHAnsi" w:cstheme="majorHAnsi"/>
          <w:sz w:val="22"/>
          <w:szCs w:val="22"/>
        </w:rPr>
        <w:t>It is estimated that 60% of protein coding genes in humans are regulated by miRNA through up or down regulation on mRNA</w:t>
      </w:r>
      <w:r w:rsidR="00616850" w:rsidRPr="005759D1">
        <w:rPr>
          <w:rFonts w:asciiTheme="majorHAnsi" w:hAnsiTheme="majorHAnsi" w:cstheme="majorHAnsi"/>
          <w:sz w:val="22"/>
          <w:szCs w:val="22"/>
        </w:rPr>
        <w:t xml:space="preserve"> (</w:t>
      </w:r>
      <w:r w:rsidR="00F42621" w:rsidRPr="005759D1">
        <w:rPr>
          <w:rFonts w:asciiTheme="majorHAnsi" w:hAnsiTheme="majorHAnsi" w:cstheme="majorHAnsi"/>
          <w:sz w:val="22"/>
          <w:szCs w:val="22"/>
        </w:rPr>
        <w:t xml:space="preserve">Friedman, </w:t>
      </w:r>
      <w:r w:rsidR="00F42621" w:rsidRPr="005759D1">
        <w:rPr>
          <w:rFonts w:asciiTheme="majorHAnsi" w:hAnsiTheme="majorHAnsi" w:cstheme="majorHAnsi"/>
          <w:i/>
          <w:sz w:val="22"/>
          <w:szCs w:val="22"/>
        </w:rPr>
        <w:t>et al.</w:t>
      </w:r>
      <w:r w:rsidR="00F42621" w:rsidRPr="005759D1">
        <w:rPr>
          <w:rFonts w:asciiTheme="majorHAnsi" w:hAnsiTheme="majorHAnsi" w:cstheme="majorHAnsi"/>
          <w:sz w:val="22"/>
          <w:szCs w:val="22"/>
        </w:rPr>
        <w:t xml:space="preserve"> 2009</w:t>
      </w:r>
      <w:r w:rsidR="00616850" w:rsidRPr="005759D1">
        <w:rPr>
          <w:rFonts w:asciiTheme="majorHAnsi" w:hAnsiTheme="majorHAnsi" w:cstheme="majorHAnsi"/>
          <w:sz w:val="22"/>
          <w:szCs w:val="22"/>
        </w:rPr>
        <w:t>)</w:t>
      </w:r>
      <w:r w:rsidR="004164B5" w:rsidRPr="005759D1">
        <w:rPr>
          <w:rFonts w:asciiTheme="majorHAnsi" w:hAnsiTheme="majorHAnsi" w:cstheme="majorHAnsi"/>
          <w:sz w:val="22"/>
          <w:szCs w:val="22"/>
        </w:rPr>
        <w:t xml:space="preserve">.  </w:t>
      </w:r>
      <w:r w:rsidR="00C32709" w:rsidRPr="005759D1">
        <w:rPr>
          <w:rFonts w:asciiTheme="majorHAnsi" w:hAnsiTheme="majorHAnsi" w:cstheme="majorHAnsi"/>
          <w:sz w:val="22"/>
          <w:szCs w:val="22"/>
        </w:rPr>
        <w:t>Because m</w:t>
      </w:r>
      <w:r w:rsidR="007B7DC6" w:rsidRPr="005759D1">
        <w:rPr>
          <w:rFonts w:asciiTheme="majorHAnsi" w:hAnsiTheme="majorHAnsi" w:cstheme="majorHAnsi"/>
          <w:sz w:val="22"/>
          <w:szCs w:val="22"/>
        </w:rPr>
        <w:t xml:space="preserve">any regulatory miRNA have been annotated previously at a genomic level and stored in publically accessible databases, it is possible to measure miRNA activity and associate up and down regulation of level of miRNA with subsequent expression patterns </w:t>
      </w:r>
      <w:r w:rsidR="00C32709" w:rsidRPr="005759D1">
        <w:rPr>
          <w:rFonts w:asciiTheme="majorHAnsi" w:hAnsiTheme="majorHAnsi" w:cstheme="majorHAnsi"/>
          <w:sz w:val="22"/>
          <w:szCs w:val="22"/>
        </w:rPr>
        <w:t>of</w:t>
      </w:r>
      <w:r w:rsidR="007B7DC6" w:rsidRPr="005759D1">
        <w:rPr>
          <w:rFonts w:asciiTheme="majorHAnsi" w:hAnsiTheme="majorHAnsi" w:cstheme="majorHAnsi"/>
          <w:sz w:val="22"/>
          <w:szCs w:val="22"/>
        </w:rPr>
        <w:t xml:space="preserve"> genes</w:t>
      </w:r>
      <w:r w:rsidR="00C32709" w:rsidRPr="005759D1">
        <w:rPr>
          <w:rFonts w:asciiTheme="majorHAnsi" w:hAnsiTheme="majorHAnsi" w:cstheme="majorHAnsi"/>
          <w:sz w:val="22"/>
          <w:szCs w:val="22"/>
        </w:rPr>
        <w:t xml:space="preserve"> in known biological pathways</w:t>
      </w:r>
      <w:r w:rsidR="007B7DC6" w:rsidRPr="005759D1">
        <w:rPr>
          <w:rFonts w:asciiTheme="majorHAnsi" w:hAnsiTheme="majorHAnsi" w:cstheme="majorHAnsi"/>
          <w:sz w:val="22"/>
          <w:szCs w:val="22"/>
        </w:rPr>
        <w:t xml:space="preserve"> regulated</w:t>
      </w:r>
      <w:r w:rsidR="00C32709" w:rsidRPr="005759D1">
        <w:rPr>
          <w:rFonts w:asciiTheme="majorHAnsi" w:hAnsiTheme="majorHAnsi" w:cstheme="majorHAnsi"/>
          <w:sz w:val="22"/>
          <w:szCs w:val="22"/>
        </w:rPr>
        <w:t xml:space="preserve"> by the specific miRNA.  S</w:t>
      </w:r>
      <w:r w:rsidR="007B7DC6" w:rsidRPr="005759D1">
        <w:rPr>
          <w:rFonts w:asciiTheme="majorHAnsi" w:hAnsiTheme="majorHAnsi" w:cstheme="majorHAnsi"/>
          <w:sz w:val="22"/>
          <w:szCs w:val="22"/>
        </w:rPr>
        <w:t xml:space="preserve">tability </w:t>
      </w:r>
      <w:r w:rsidR="00C32709" w:rsidRPr="005759D1">
        <w:rPr>
          <w:rFonts w:asciiTheme="majorHAnsi" w:hAnsiTheme="majorHAnsi" w:cstheme="majorHAnsi"/>
          <w:sz w:val="22"/>
          <w:szCs w:val="22"/>
        </w:rPr>
        <w:t xml:space="preserve">of miRNA </w:t>
      </w:r>
      <w:r w:rsidR="007B7DC6" w:rsidRPr="005759D1">
        <w:rPr>
          <w:rFonts w:asciiTheme="majorHAnsi" w:hAnsiTheme="majorHAnsi" w:cstheme="majorHAnsi"/>
          <w:sz w:val="22"/>
          <w:szCs w:val="22"/>
        </w:rPr>
        <w:t xml:space="preserve">in serum allows for determination of their level of expression and </w:t>
      </w:r>
      <w:r w:rsidR="00C32709" w:rsidRPr="005759D1">
        <w:rPr>
          <w:rFonts w:asciiTheme="majorHAnsi" w:hAnsiTheme="majorHAnsi" w:cstheme="majorHAnsi"/>
          <w:sz w:val="22"/>
          <w:szCs w:val="22"/>
        </w:rPr>
        <w:t xml:space="preserve">subsequently, </w:t>
      </w:r>
      <w:r w:rsidR="007B7DC6" w:rsidRPr="005759D1">
        <w:rPr>
          <w:rFonts w:asciiTheme="majorHAnsi" w:hAnsiTheme="majorHAnsi" w:cstheme="majorHAnsi"/>
          <w:sz w:val="22"/>
          <w:szCs w:val="22"/>
        </w:rPr>
        <w:t>determination o</w:t>
      </w:r>
      <w:r w:rsidR="00F22EB8" w:rsidRPr="005759D1">
        <w:rPr>
          <w:rFonts w:asciiTheme="majorHAnsi" w:hAnsiTheme="majorHAnsi" w:cstheme="majorHAnsi"/>
          <w:sz w:val="22"/>
          <w:szCs w:val="22"/>
        </w:rPr>
        <w:t xml:space="preserve">f gene </w:t>
      </w:r>
      <w:r w:rsidR="00C32709" w:rsidRPr="005759D1">
        <w:rPr>
          <w:rFonts w:asciiTheme="majorHAnsi" w:hAnsiTheme="majorHAnsi" w:cstheme="majorHAnsi"/>
          <w:sz w:val="22"/>
          <w:szCs w:val="22"/>
        </w:rPr>
        <w:t>expression patterns.  G</w:t>
      </w:r>
      <w:r w:rsidR="00F22EB8" w:rsidRPr="005759D1">
        <w:rPr>
          <w:rFonts w:asciiTheme="majorHAnsi" w:hAnsiTheme="majorHAnsi" w:cstheme="majorHAnsi"/>
          <w:sz w:val="22"/>
          <w:szCs w:val="22"/>
        </w:rPr>
        <w:t>ene expression patterns</w:t>
      </w:r>
      <w:r w:rsidR="00C32709" w:rsidRPr="005759D1">
        <w:rPr>
          <w:rFonts w:asciiTheme="majorHAnsi" w:hAnsiTheme="majorHAnsi" w:cstheme="majorHAnsi"/>
          <w:sz w:val="22"/>
          <w:szCs w:val="22"/>
        </w:rPr>
        <w:t>, in turn,</w:t>
      </w:r>
      <w:r w:rsidR="00F22EB8" w:rsidRPr="005759D1">
        <w:rPr>
          <w:rFonts w:asciiTheme="majorHAnsi" w:hAnsiTheme="majorHAnsi" w:cstheme="majorHAnsi"/>
          <w:sz w:val="22"/>
          <w:szCs w:val="22"/>
        </w:rPr>
        <w:t xml:space="preserve"> provide important insight into </w:t>
      </w:r>
      <w:r w:rsidR="007B7DC6" w:rsidRPr="005759D1">
        <w:rPr>
          <w:rFonts w:asciiTheme="majorHAnsi" w:hAnsiTheme="majorHAnsi" w:cstheme="majorHAnsi"/>
          <w:sz w:val="22"/>
          <w:szCs w:val="22"/>
        </w:rPr>
        <w:t xml:space="preserve">biological pathways </w:t>
      </w:r>
      <w:r w:rsidR="00F22EB8" w:rsidRPr="005759D1">
        <w:rPr>
          <w:rFonts w:asciiTheme="majorHAnsi" w:hAnsiTheme="majorHAnsi" w:cstheme="majorHAnsi"/>
          <w:sz w:val="22"/>
          <w:szCs w:val="22"/>
        </w:rPr>
        <w:t>being impacted by</w:t>
      </w:r>
      <w:r w:rsidR="002D1F30" w:rsidRPr="005759D1">
        <w:rPr>
          <w:rFonts w:asciiTheme="majorHAnsi" w:hAnsiTheme="majorHAnsi" w:cstheme="majorHAnsi"/>
          <w:sz w:val="22"/>
          <w:szCs w:val="22"/>
        </w:rPr>
        <w:t xml:space="preserve"> gene expression </w:t>
      </w:r>
      <w:r w:rsidR="006758F8" w:rsidRPr="005759D1">
        <w:rPr>
          <w:rFonts w:asciiTheme="majorHAnsi" w:hAnsiTheme="majorHAnsi" w:cstheme="majorHAnsi"/>
          <w:sz w:val="22"/>
          <w:szCs w:val="22"/>
        </w:rPr>
        <w:t>(</w:t>
      </w:r>
      <w:r w:rsidR="006758F8" w:rsidRPr="005759D1">
        <w:rPr>
          <w:rFonts w:asciiTheme="majorHAnsi" w:hAnsiTheme="majorHAnsi" w:cstheme="majorHAnsi"/>
          <w:color w:val="FF0000"/>
          <w:sz w:val="22"/>
          <w:szCs w:val="22"/>
        </w:rPr>
        <w:t>5,32</w:t>
      </w:r>
      <w:r w:rsidR="00F22EB8" w:rsidRPr="005759D1">
        <w:rPr>
          <w:rFonts w:asciiTheme="majorHAnsi" w:hAnsiTheme="majorHAnsi" w:cstheme="majorHAnsi"/>
          <w:sz w:val="22"/>
          <w:szCs w:val="22"/>
        </w:rPr>
        <w:t>)</w:t>
      </w:r>
      <w:r w:rsidR="002D1F30" w:rsidRPr="005759D1">
        <w:rPr>
          <w:rFonts w:asciiTheme="majorHAnsi" w:hAnsiTheme="majorHAnsi" w:cstheme="majorHAnsi"/>
          <w:sz w:val="22"/>
          <w:szCs w:val="22"/>
        </w:rPr>
        <w:t>.</w:t>
      </w:r>
      <w:r w:rsidR="007B7DC6" w:rsidRPr="005759D1">
        <w:rPr>
          <w:rFonts w:asciiTheme="majorHAnsi" w:hAnsiTheme="majorHAnsi" w:cstheme="majorHAnsi"/>
          <w:sz w:val="22"/>
          <w:szCs w:val="22"/>
        </w:rPr>
        <w:t xml:space="preserve">  </w:t>
      </w:r>
      <w:r w:rsidR="00874CFB" w:rsidRPr="005759D1">
        <w:rPr>
          <w:rFonts w:asciiTheme="majorHAnsi" w:hAnsiTheme="majorHAnsi" w:cstheme="majorHAnsi"/>
          <w:sz w:val="22"/>
          <w:szCs w:val="22"/>
        </w:rPr>
        <w:t xml:space="preserve"> </w:t>
      </w:r>
    </w:p>
    <w:p w:rsidR="00F643C1" w:rsidRPr="005759D1" w:rsidRDefault="00F643C1" w:rsidP="008C7FDC">
      <w:pPr>
        <w:rPr>
          <w:rFonts w:asciiTheme="majorHAnsi" w:hAnsiTheme="majorHAnsi" w:cstheme="majorHAnsi"/>
          <w:sz w:val="22"/>
          <w:szCs w:val="22"/>
        </w:rPr>
      </w:pPr>
    </w:p>
    <w:p w:rsidR="00812E90" w:rsidRPr="005759D1" w:rsidRDefault="0033359E" w:rsidP="008C7FDC">
      <w:pPr>
        <w:rPr>
          <w:rFonts w:asciiTheme="majorHAnsi" w:hAnsiTheme="majorHAnsi" w:cstheme="majorHAnsi"/>
          <w:sz w:val="22"/>
          <w:szCs w:val="22"/>
        </w:rPr>
      </w:pPr>
      <w:r w:rsidRPr="005759D1">
        <w:rPr>
          <w:rFonts w:asciiTheme="majorHAnsi" w:hAnsiTheme="majorHAnsi" w:cstheme="majorHAnsi"/>
          <w:sz w:val="22"/>
          <w:szCs w:val="22"/>
        </w:rPr>
        <w:t xml:space="preserve">Impairment of left atrial function as a predictor of POAF based on similarities noted in the left </w:t>
      </w:r>
      <w:r w:rsidR="00F22EB8" w:rsidRPr="005759D1">
        <w:rPr>
          <w:rFonts w:asciiTheme="majorHAnsi" w:hAnsiTheme="majorHAnsi" w:cstheme="majorHAnsi"/>
          <w:sz w:val="22"/>
          <w:szCs w:val="22"/>
        </w:rPr>
        <w:t>atrium</w:t>
      </w:r>
      <w:r w:rsidRPr="005759D1">
        <w:rPr>
          <w:rFonts w:asciiTheme="majorHAnsi" w:hAnsiTheme="majorHAnsi" w:cstheme="majorHAnsi"/>
          <w:sz w:val="22"/>
          <w:szCs w:val="22"/>
        </w:rPr>
        <w:t xml:space="preserve"> in chronic AF</w:t>
      </w:r>
      <w:r w:rsidR="00C32709" w:rsidRPr="005759D1">
        <w:rPr>
          <w:rFonts w:asciiTheme="majorHAnsi" w:hAnsiTheme="majorHAnsi" w:cstheme="majorHAnsi"/>
          <w:sz w:val="22"/>
          <w:szCs w:val="22"/>
        </w:rPr>
        <w:t>,</w:t>
      </w:r>
      <w:r w:rsidRPr="005759D1">
        <w:rPr>
          <w:rFonts w:asciiTheme="majorHAnsi" w:hAnsiTheme="majorHAnsi" w:cstheme="majorHAnsi"/>
          <w:sz w:val="22"/>
          <w:szCs w:val="22"/>
        </w:rPr>
        <w:t xml:space="preserve"> highly prevalent in the elderly</w:t>
      </w:r>
      <w:r w:rsidR="00C32709" w:rsidRPr="005759D1">
        <w:rPr>
          <w:rFonts w:asciiTheme="majorHAnsi" w:hAnsiTheme="majorHAnsi" w:cstheme="majorHAnsi"/>
          <w:sz w:val="22"/>
          <w:szCs w:val="22"/>
        </w:rPr>
        <w:t>,</w:t>
      </w:r>
      <w:r w:rsidRPr="005759D1">
        <w:rPr>
          <w:rFonts w:asciiTheme="majorHAnsi" w:hAnsiTheme="majorHAnsi" w:cstheme="majorHAnsi"/>
          <w:sz w:val="22"/>
          <w:szCs w:val="22"/>
        </w:rPr>
        <w:t xml:space="preserve"> has been proposed as a central mechanis</w:t>
      </w:r>
      <w:r w:rsidR="00B71DAD" w:rsidRPr="005759D1">
        <w:rPr>
          <w:rFonts w:asciiTheme="majorHAnsi" w:hAnsiTheme="majorHAnsi" w:cstheme="majorHAnsi"/>
          <w:sz w:val="22"/>
          <w:szCs w:val="22"/>
        </w:rPr>
        <w:t>m</w:t>
      </w:r>
      <w:r w:rsidR="00FF0E45" w:rsidRPr="005759D1">
        <w:rPr>
          <w:rFonts w:asciiTheme="majorHAnsi" w:hAnsiTheme="majorHAnsi" w:cstheme="majorHAnsi"/>
          <w:sz w:val="22"/>
          <w:szCs w:val="22"/>
        </w:rPr>
        <w:t xml:space="preserve"> p</w:t>
      </w:r>
      <w:r w:rsidR="006758F8" w:rsidRPr="005759D1">
        <w:rPr>
          <w:rFonts w:asciiTheme="majorHAnsi" w:hAnsiTheme="majorHAnsi" w:cstheme="majorHAnsi"/>
          <w:sz w:val="22"/>
          <w:szCs w:val="22"/>
        </w:rPr>
        <w:t>recipitating onset of POAF (</w:t>
      </w:r>
      <w:r w:rsidR="00901ADF" w:rsidRPr="005759D1">
        <w:rPr>
          <w:rFonts w:asciiTheme="majorHAnsi" w:hAnsiTheme="majorHAnsi" w:cstheme="majorHAnsi"/>
          <w:color w:val="FF0000"/>
          <w:sz w:val="22"/>
          <w:szCs w:val="22"/>
        </w:rPr>
        <w:t>9</w:t>
      </w:r>
      <w:r w:rsidRPr="005759D1">
        <w:rPr>
          <w:rFonts w:asciiTheme="majorHAnsi" w:hAnsiTheme="majorHAnsi" w:cstheme="majorHAnsi"/>
          <w:sz w:val="22"/>
          <w:szCs w:val="22"/>
        </w:rPr>
        <w:t>)</w:t>
      </w:r>
      <w:r w:rsidR="00C32709" w:rsidRPr="005759D1">
        <w:rPr>
          <w:rFonts w:asciiTheme="majorHAnsi" w:hAnsiTheme="majorHAnsi" w:cstheme="majorHAnsi"/>
          <w:sz w:val="22"/>
          <w:szCs w:val="22"/>
        </w:rPr>
        <w:t>.</w:t>
      </w:r>
      <w:r w:rsidR="00D13289" w:rsidRPr="005759D1">
        <w:rPr>
          <w:rFonts w:asciiTheme="majorHAnsi" w:hAnsiTheme="majorHAnsi" w:cstheme="majorHAnsi"/>
          <w:sz w:val="22"/>
          <w:szCs w:val="22"/>
        </w:rPr>
        <w:t xml:space="preserve">  </w:t>
      </w:r>
      <w:r w:rsidR="00DC2E31" w:rsidRPr="005759D1">
        <w:rPr>
          <w:rFonts w:asciiTheme="majorHAnsi" w:hAnsiTheme="majorHAnsi" w:cstheme="majorHAnsi"/>
          <w:sz w:val="22"/>
          <w:szCs w:val="22"/>
        </w:rPr>
        <w:t xml:space="preserve">An elegant study by Barth </w:t>
      </w:r>
      <w:r w:rsidR="00DC2E31" w:rsidRPr="005759D1">
        <w:rPr>
          <w:rFonts w:asciiTheme="majorHAnsi" w:hAnsiTheme="majorHAnsi" w:cstheme="majorHAnsi"/>
          <w:i/>
          <w:sz w:val="22"/>
          <w:szCs w:val="22"/>
        </w:rPr>
        <w:t>el al</w:t>
      </w:r>
      <w:r w:rsidR="00FA0534" w:rsidRPr="005759D1">
        <w:rPr>
          <w:rFonts w:asciiTheme="majorHAnsi" w:hAnsiTheme="majorHAnsi" w:cstheme="majorHAnsi"/>
          <w:sz w:val="22"/>
          <w:szCs w:val="22"/>
        </w:rPr>
        <w:t xml:space="preserve"> undertook</w:t>
      </w:r>
      <w:r w:rsidR="00D13289" w:rsidRPr="005759D1">
        <w:rPr>
          <w:rFonts w:asciiTheme="majorHAnsi" w:hAnsiTheme="majorHAnsi" w:cstheme="majorHAnsi"/>
          <w:sz w:val="22"/>
          <w:szCs w:val="22"/>
        </w:rPr>
        <w:t xml:space="preserve"> transcriptome analysis of </w:t>
      </w:r>
      <w:r w:rsidR="00FA0534" w:rsidRPr="005759D1">
        <w:rPr>
          <w:rFonts w:asciiTheme="majorHAnsi" w:hAnsiTheme="majorHAnsi" w:cstheme="majorHAnsi"/>
          <w:sz w:val="22"/>
          <w:szCs w:val="22"/>
        </w:rPr>
        <w:t xml:space="preserve">gene expression patterns in </w:t>
      </w:r>
      <w:r w:rsidR="00D13289" w:rsidRPr="005759D1">
        <w:rPr>
          <w:rFonts w:asciiTheme="majorHAnsi" w:hAnsiTheme="majorHAnsi" w:cstheme="majorHAnsi"/>
          <w:sz w:val="22"/>
          <w:szCs w:val="22"/>
        </w:rPr>
        <w:t>atrial tissue collected from patients with permanent atrial fibrillation following open heart or CABG surgery</w:t>
      </w:r>
      <w:r w:rsidR="00FA0534" w:rsidRPr="005759D1">
        <w:rPr>
          <w:rFonts w:asciiTheme="majorHAnsi" w:hAnsiTheme="majorHAnsi" w:cstheme="majorHAnsi"/>
          <w:sz w:val="22"/>
          <w:szCs w:val="22"/>
        </w:rPr>
        <w:t xml:space="preserve"> compared with individuals who remained in normal sinus rhythm.  The </w:t>
      </w:r>
      <w:r w:rsidR="00DC2E31" w:rsidRPr="005759D1">
        <w:rPr>
          <w:rFonts w:asciiTheme="majorHAnsi" w:hAnsiTheme="majorHAnsi" w:cstheme="majorHAnsi"/>
          <w:sz w:val="22"/>
          <w:szCs w:val="22"/>
        </w:rPr>
        <w:t xml:space="preserve">mRNA </w:t>
      </w:r>
      <w:r w:rsidR="00FA0534" w:rsidRPr="005759D1">
        <w:rPr>
          <w:rFonts w:asciiTheme="majorHAnsi" w:hAnsiTheme="majorHAnsi" w:cstheme="majorHAnsi"/>
          <w:sz w:val="22"/>
          <w:szCs w:val="22"/>
        </w:rPr>
        <w:t>analysis determined that 1434 genes were deregulated revealing a pattern of up</w:t>
      </w:r>
      <w:r w:rsidR="008147BE" w:rsidRPr="005759D1">
        <w:rPr>
          <w:rFonts w:asciiTheme="majorHAnsi" w:hAnsiTheme="majorHAnsi" w:cstheme="majorHAnsi"/>
          <w:sz w:val="22"/>
          <w:szCs w:val="22"/>
        </w:rPr>
        <w:t xml:space="preserve"> </w:t>
      </w:r>
      <w:r w:rsidR="00FA0534" w:rsidRPr="005759D1">
        <w:rPr>
          <w:rFonts w:asciiTheme="majorHAnsi" w:hAnsiTheme="majorHAnsi" w:cstheme="majorHAnsi"/>
          <w:sz w:val="22"/>
          <w:szCs w:val="22"/>
        </w:rPr>
        <w:t>regulation of predominantly ventricular-expressed genes and down regulation of predomi</w:t>
      </w:r>
      <w:r w:rsidR="00F90440" w:rsidRPr="005759D1">
        <w:rPr>
          <w:rFonts w:asciiTheme="majorHAnsi" w:hAnsiTheme="majorHAnsi" w:cstheme="majorHAnsi"/>
          <w:sz w:val="22"/>
          <w:szCs w:val="22"/>
        </w:rPr>
        <w:t xml:space="preserve">nantly atrial-expressed genes, resulting in a ‘ventricular and fetal-like genomic signature’ in the atrial myocardium.  Closer examination of specific gene expression patterns impacted revealed that atrial remodeling was associated with down regulation of pathways associated more closely with atrial neuroendocrine and cardiac regulatory functions, with remodeling resulting in </w:t>
      </w:r>
      <w:r w:rsidR="00F54A72" w:rsidRPr="005759D1">
        <w:rPr>
          <w:rFonts w:asciiTheme="majorHAnsi" w:hAnsiTheme="majorHAnsi" w:cstheme="majorHAnsi"/>
          <w:sz w:val="22"/>
          <w:szCs w:val="22"/>
        </w:rPr>
        <w:t xml:space="preserve">imbuement of ventricular gene expression patterns which align strongly with ventricular function as a contractile pump.  </w:t>
      </w:r>
      <w:r w:rsidR="009E7445" w:rsidRPr="005759D1">
        <w:rPr>
          <w:rFonts w:asciiTheme="majorHAnsi" w:hAnsiTheme="majorHAnsi" w:cstheme="majorHAnsi"/>
          <w:sz w:val="22"/>
          <w:szCs w:val="22"/>
        </w:rPr>
        <w:t>The authors postulated</w:t>
      </w:r>
      <w:r w:rsidR="00F54A72" w:rsidRPr="005759D1">
        <w:rPr>
          <w:rFonts w:asciiTheme="majorHAnsi" w:hAnsiTheme="majorHAnsi" w:cstheme="majorHAnsi"/>
          <w:sz w:val="22"/>
          <w:szCs w:val="22"/>
        </w:rPr>
        <w:t xml:space="preserve"> this </w:t>
      </w:r>
      <w:r w:rsidR="008C1157" w:rsidRPr="005759D1">
        <w:rPr>
          <w:rFonts w:asciiTheme="majorHAnsi" w:hAnsiTheme="majorHAnsi" w:cstheme="majorHAnsi"/>
          <w:sz w:val="22"/>
          <w:szCs w:val="22"/>
        </w:rPr>
        <w:t>‘ventricularization’</w:t>
      </w:r>
      <w:r w:rsidR="00F54A72" w:rsidRPr="005759D1">
        <w:rPr>
          <w:rFonts w:asciiTheme="majorHAnsi" w:hAnsiTheme="majorHAnsi" w:cstheme="majorHAnsi"/>
          <w:sz w:val="22"/>
          <w:szCs w:val="22"/>
        </w:rPr>
        <w:t xml:space="preserve"> functioned as a compensatory mechanism to support stronger contractile potential of the organ which was compr</w:t>
      </w:r>
      <w:r w:rsidR="008C1157" w:rsidRPr="005759D1">
        <w:rPr>
          <w:rFonts w:asciiTheme="majorHAnsi" w:hAnsiTheme="majorHAnsi" w:cstheme="majorHAnsi"/>
          <w:sz w:val="22"/>
          <w:szCs w:val="22"/>
        </w:rPr>
        <w:t>omised a</w:t>
      </w:r>
      <w:r w:rsidR="00F22EB8" w:rsidRPr="005759D1">
        <w:rPr>
          <w:rFonts w:asciiTheme="majorHAnsi" w:hAnsiTheme="majorHAnsi" w:cstheme="majorHAnsi"/>
          <w:sz w:val="22"/>
          <w:szCs w:val="22"/>
        </w:rPr>
        <w:t xml:space="preserve">t onset of AF.  Concomitantly, </w:t>
      </w:r>
      <w:r w:rsidR="008C1157" w:rsidRPr="005759D1">
        <w:rPr>
          <w:rFonts w:asciiTheme="majorHAnsi" w:hAnsiTheme="majorHAnsi" w:cstheme="majorHAnsi"/>
          <w:sz w:val="22"/>
          <w:szCs w:val="22"/>
        </w:rPr>
        <w:t xml:space="preserve">a great deal of insight was gained with respect to the specific pathways that were impacted as a result of up or down regulation of the miRNA </w:t>
      </w:r>
      <w:r w:rsidR="008C7FDC" w:rsidRPr="005759D1">
        <w:rPr>
          <w:rFonts w:asciiTheme="majorHAnsi" w:hAnsiTheme="majorHAnsi" w:cstheme="majorHAnsi"/>
          <w:sz w:val="22"/>
          <w:szCs w:val="22"/>
        </w:rPr>
        <w:t xml:space="preserve">which was subsequently reflected on the </w:t>
      </w:r>
      <w:r w:rsidR="008C1157" w:rsidRPr="005759D1">
        <w:rPr>
          <w:rFonts w:asciiTheme="majorHAnsi" w:hAnsiTheme="majorHAnsi" w:cstheme="majorHAnsi"/>
          <w:sz w:val="22"/>
          <w:szCs w:val="22"/>
        </w:rPr>
        <w:t>gene expression with</w:t>
      </w:r>
      <w:r w:rsidR="002D1F30" w:rsidRPr="005759D1">
        <w:rPr>
          <w:rFonts w:asciiTheme="majorHAnsi" w:hAnsiTheme="majorHAnsi" w:cstheme="majorHAnsi"/>
          <w:sz w:val="22"/>
          <w:szCs w:val="22"/>
        </w:rPr>
        <w:t xml:space="preserve">in specific biological pathways </w:t>
      </w:r>
      <w:r w:rsidR="008C1157" w:rsidRPr="005759D1">
        <w:rPr>
          <w:rFonts w:asciiTheme="majorHAnsi" w:hAnsiTheme="majorHAnsi" w:cstheme="majorHAnsi"/>
          <w:sz w:val="22"/>
          <w:szCs w:val="22"/>
        </w:rPr>
        <w:t>(</w:t>
      </w:r>
      <w:r w:rsidR="00901ADF" w:rsidRPr="005759D1">
        <w:rPr>
          <w:rFonts w:asciiTheme="majorHAnsi" w:hAnsiTheme="majorHAnsi" w:cstheme="majorHAnsi"/>
          <w:color w:val="FF0000"/>
          <w:sz w:val="22"/>
          <w:szCs w:val="22"/>
        </w:rPr>
        <w:t>5</w:t>
      </w:r>
      <w:r w:rsidR="008C1157" w:rsidRPr="005759D1">
        <w:rPr>
          <w:rFonts w:asciiTheme="majorHAnsi" w:hAnsiTheme="majorHAnsi" w:cstheme="majorHAnsi"/>
          <w:sz w:val="22"/>
          <w:szCs w:val="22"/>
        </w:rPr>
        <w:t>)</w:t>
      </w:r>
      <w:r w:rsidR="002D1F30" w:rsidRPr="005759D1">
        <w:rPr>
          <w:rFonts w:asciiTheme="majorHAnsi" w:hAnsiTheme="majorHAnsi" w:cstheme="majorHAnsi"/>
          <w:sz w:val="22"/>
          <w:szCs w:val="22"/>
        </w:rPr>
        <w:t>.</w:t>
      </w:r>
      <w:r w:rsidR="00F54A72" w:rsidRPr="005759D1">
        <w:rPr>
          <w:rFonts w:asciiTheme="majorHAnsi" w:hAnsiTheme="majorHAnsi" w:cstheme="majorHAnsi"/>
          <w:sz w:val="22"/>
          <w:szCs w:val="22"/>
        </w:rPr>
        <w:t xml:space="preserve"> </w:t>
      </w:r>
      <w:r w:rsidR="001B03CB" w:rsidRPr="005759D1">
        <w:rPr>
          <w:rFonts w:asciiTheme="majorHAnsi" w:hAnsiTheme="majorHAnsi" w:cstheme="majorHAnsi"/>
          <w:sz w:val="22"/>
          <w:szCs w:val="22"/>
        </w:rPr>
        <w:t xml:space="preserve"> </w:t>
      </w:r>
      <w:r w:rsidR="00DC2E31" w:rsidRPr="005759D1">
        <w:rPr>
          <w:rFonts w:asciiTheme="majorHAnsi" w:hAnsiTheme="majorHAnsi" w:cstheme="majorHAnsi"/>
          <w:sz w:val="22"/>
          <w:szCs w:val="22"/>
        </w:rPr>
        <w:t xml:space="preserve">Because miRNA are heavily involved in regulation of mRNA regulation and gene expression in response to mRNA signaling,  </w:t>
      </w:r>
      <w:r w:rsidR="00812E90" w:rsidRPr="005759D1">
        <w:rPr>
          <w:rFonts w:asciiTheme="majorHAnsi" w:hAnsiTheme="majorHAnsi" w:cstheme="majorHAnsi"/>
          <w:b/>
          <w:sz w:val="22"/>
          <w:szCs w:val="22"/>
        </w:rPr>
        <w:t>it is proposed that</w:t>
      </w:r>
      <w:r w:rsidR="00DC2E31" w:rsidRPr="005759D1">
        <w:rPr>
          <w:rFonts w:asciiTheme="majorHAnsi" w:hAnsiTheme="majorHAnsi" w:cstheme="majorHAnsi"/>
          <w:b/>
          <w:sz w:val="22"/>
          <w:szCs w:val="22"/>
        </w:rPr>
        <w:t xml:space="preserve"> miRNAs play an active role in the up and down regulation of the mRNA profiles in cardiac tissue characterized by Barth </w:t>
      </w:r>
      <w:r w:rsidR="00DC2E31" w:rsidRPr="005759D1">
        <w:rPr>
          <w:rFonts w:asciiTheme="majorHAnsi" w:hAnsiTheme="majorHAnsi" w:cstheme="majorHAnsi"/>
          <w:b/>
          <w:i/>
          <w:sz w:val="22"/>
          <w:szCs w:val="22"/>
        </w:rPr>
        <w:t>et al</w:t>
      </w:r>
      <w:r w:rsidR="00812E90" w:rsidRPr="005759D1">
        <w:rPr>
          <w:rFonts w:asciiTheme="majorHAnsi" w:hAnsiTheme="majorHAnsi" w:cstheme="majorHAnsi"/>
          <w:b/>
          <w:sz w:val="22"/>
          <w:szCs w:val="22"/>
        </w:rPr>
        <w:t xml:space="preserve">.  Further, the central premise of this study is that </w:t>
      </w:r>
      <w:r w:rsidR="00DC2E31" w:rsidRPr="005759D1">
        <w:rPr>
          <w:rFonts w:asciiTheme="majorHAnsi" w:hAnsiTheme="majorHAnsi" w:cstheme="majorHAnsi"/>
          <w:b/>
          <w:sz w:val="22"/>
          <w:szCs w:val="22"/>
        </w:rPr>
        <w:t xml:space="preserve">some </w:t>
      </w:r>
      <w:r w:rsidR="00812E90" w:rsidRPr="005759D1">
        <w:rPr>
          <w:rFonts w:asciiTheme="majorHAnsi" w:hAnsiTheme="majorHAnsi" w:cstheme="majorHAnsi"/>
          <w:b/>
          <w:sz w:val="22"/>
          <w:szCs w:val="22"/>
        </w:rPr>
        <w:t xml:space="preserve">subset </w:t>
      </w:r>
      <w:r w:rsidR="00DC2E31" w:rsidRPr="005759D1">
        <w:rPr>
          <w:rFonts w:asciiTheme="majorHAnsi" w:hAnsiTheme="majorHAnsi" w:cstheme="majorHAnsi"/>
          <w:b/>
          <w:sz w:val="22"/>
          <w:szCs w:val="22"/>
        </w:rPr>
        <w:t xml:space="preserve">of these </w:t>
      </w:r>
      <w:r w:rsidR="00812E90" w:rsidRPr="005759D1">
        <w:rPr>
          <w:rFonts w:asciiTheme="majorHAnsi" w:hAnsiTheme="majorHAnsi" w:cstheme="majorHAnsi"/>
          <w:b/>
          <w:sz w:val="22"/>
          <w:szCs w:val="22"/>
        </w:rPr>
        <w:t>mi</w:t>
      </w:r>
      <w:r w:rsidR="00DC2E31" w:rsidRPr="005759D1">
        <w:rPr>
          <w:rFonts w:asciiTheme="majorHAnsi" w:hAnsiTheme="majorHAnsi" w:cstheme="majorHAnsi"/>
          <w:b/>
          <w:sz w:val="22"/>
          <w:szCs w:val="22"/>
        </w:rPr>
        <w:t>RNA will also be present in serum.</w:t>
      </w:r>
      <w:r w:rsidR="00812E90" w:rsidRPr="005759D1">
        <w:rPr>
          <w:rFonts w:asciiTheme="majorHAnsi" w:hAnsiTheme="majorHAnsi" w:cstheme="majorHAnsi"/>
          <w:b/>
          <w:sz w:val="22"/>
          <w:szCs w:val="22"/>
        </w:rPr>
        <w:t xml:space="preserve">  </w:t>
      </w:r>
      <w:r w:rsidR="009E7445" w:rsidRPr="005759D1">
        <w:rPr>
          <w:rFonts w:asciiTheme="majorHAnsi" w:hAnsiTheme="majorHAnsi" w:cstheme="majorHAnsi"/>
          <w:sz w:val="22"/>
          <w:szCs w:val="22"/>
        </w:rPr>
        <w:t>In addition,</w:t>
      </w:r>
      <w:r w:rsidR="001B03CB" w:rsidRPr="005759D1">
        <w:rPr>
          <w:rFonts w:asciiTheme="majorHAnsi" w:hAnsiTheme="majorHAnsi" w:cstheme="majorHAnsi"/>
          <w:sz w:val="22"/>
          <w:szCs w:val="22"/>
        </w:rPr>
        <w:t xml:space="preserve"> </w:t>
      </w:r>
      <w:r w:rsidR="009E7445" w:rsidRPr="005759D1">
        <w:rPr>
          <w:rFonts w:asciiTheme="majorHAnsi" w:hAnsiTheme="majorHAnsi" w:cstheme="majorHAnsi"/>
          <w:sz w:val="22"/>
          <w:szCs w:val="22"/>
        </w:rPr>
        <w:t>a</w:t>
      </w:r>
      <w:r w:rsidR="008147BE" w:rsidRPr="005759D1">
        <w:rPr>
          <w:rFonts w:asciiTheme="majorHAnsi" w:hAnsiTheme="majorHAnsi" w:cstheme="majorHAnsi"/>
          <w:sz w:val="22"/>
          <w:szCs w:val="22"/>
        </w:rPr>
        <w:t xml:space="preserve">s briefly reviewed by Lu </w:t>
      </w:r>
      <w:r w:rsidR="008147BE" w:rsidRPr="005759D1">
        <w:rPr>
          <w:rFonts w:asciiTheme="majorHAnsi" w:hAnsiTheme="majorHAnsi" w:cstheme="majorHAnsi"/>
          <w:i/>
          <w:sz w:val="22"/>
          <w:szCs w:val="22"/>
        </w:rPr>
        <w:t>et al</w:t>
      </w:r>
      <w:r w:rsidR="008147BE" w:rsidRPr="005759D1">
        <w:rPr>
          <w:rFonts w:asciiTheme="majorHAnsi" w:hAnsiTheme="majorHAnsi" w:cstheme="majorHAnsi"/>
          <w:sz w:val="22"/>
          <w:szCs w:val="22"/>
        </w:rPr>
        <w:t>,</w:t>
      </w:r>
      <w:r w:rsidR="008C7FDC" w:rsidRPr="005759D1">
        <w:rPr>
          <w:rFonts w:asciiTheme="majorHAnsi" w:hAnsiTheme="majorHAnsi" w:cstheme="majorHAnsi"/>
          <w:sz w:val="22"/>
          <w:szCs w:val="22"/>
        </w:rPr>
        <w:t xml:space="preserve"> studies conducted in animal models </w:t>
      </w:r>
      <w:r w:rsidR="008147BE" w:rsidRPr="005759D1">
        <w:rPr>
          <w:rFonts w:asciiTheme="majorHAnsi" w:hAnsiTheme="majorHAnsi" w:cstheme="majorHAnsi"/>
          <w:sz w:val="22"/>
          <w:szCs w:val="22"/>
        </w:rPr>
        <w:t xml:space="preserve">of AF </w:t>
      </w:r>
      <w:r w:rsidR="008C7FDC" w:rsidRPr="005759D1">
        <w:rPr>
          <w:rFonts w:asciiTheme="majorHAnsi" w:hAnsiTheme="majorHAnsi" w:cstheme="majorHAnsi"/>
          <w:sz w:val="22"/>
          <w:szCs w:val="22"/>
        </w:rPr>
        <w:t xml:space="preserve">using miRNA analysis have similarly </w:t>
      </w:r>
      <w:r w:rsidR="008147BE" w:rsidRPr="005759D1">
        <w:rPr>
          <w:rFonts w:asciiTheme="majorHAnsi" w:hAnsiTheme="majorHAnsi" w:cstheme="majorHAnsi"/>
          <w:sz w:val="22"/>
          <w:szCs w:val="22"/>
        </w:rPr>
        <w:t>advanced</w:t>
      </w:r>
      <w:r w:rsidR="008C7FDC" w:rsidRPr="005759D1">
        <w:rPr>
          <w:rFonts w:asciiTheme="majorHAnsi" w:hAnsiTheme="majorHAnsi" w:cstheme="majorHAnsi"/>
          <w:sz w:val="22"/>
          <w:szCs w:val="22"/>
        </w:rPr>
        <w:t xml:space="preserve"> understanding of mechanisms underlying AF</w:t>
      </w:r>
      <w:r w:rsidR="00FF0E45" w:rsidRPr="005759D1">
        <w:rPr>
          <w:rFonts w:asciiTheme="majorHAnsi" w:hAnsiTheme="majorHAnsi" w:cstheme="majorHAnsi"/>
          <w:sz w:val="22"/>
          <w:szCs w:val="22"/>
        </w:rPr>
        <w:t xml:space="preserve"> (</w:t>
      </w:r>
      <w:r w:rsidR="00901ADF" w:rsidRPr="005759D1">
        <w:rPr>
          <w:rFonts w:asciiTheme="majorHAnsi" w:hAnsiTheme="majorHAnsi" w:cstheme="majorHAnsi"/>
          <w:color w:val="FF0000"/>
          <w:sz w:val="22"/>
          <w:szCs w:val="22"/>
        </w:rPr>
        <w:t>33</w:t>
      </w:r>
      <w:r w:rsidR="008147BE" w:rsidRPr="005759D1">
        <w:rPr>
          <w:rFonts w:asciiTheme="majorHAnsi" w:hAnsiTheme="majorHAnsi" w:cstheme="majorHAnsi"/>
          <w:sz w:val="22"/>
          <w:szCs w:val="22"/>
        </w:rPr>
        <w:t>)</w:t>
      </w:r>
      <w:r w:rsidR="00087CDE" w:rsidRPr="005759D1">
        <w:rPr>
          <w:rFonts w:asciiTheme="majorHAnsi" w:hAnsiTheme="majorHAnsi" w:cstheme="majorHAnsi"/>
          <w:sz w:val="22"/>
          <w:szCs w:val="22"/>
        </w:rPr>
        <w:t>.</w:t>
      </w:r>
      <w:r w:rsidR="008147BE" w:rsidRPr="005759D1">
        <w:rPr>
          <w:rFonts w:asciiTheme="majorHAnsi" w:hAnsiTheme="majorHAnsi" w:cstheme="majorHAnsi"/>
          <w:sz w:val="22"/>
          <w:szCs w:val="22"/>
        </w:rPr>
        <w:t xml:space="preserve">  </w:t>
      </w:r>
    </w:p>
    <w:p w:rsidR="00812E90" w:rsidRPr="005759D1" w:rsidRDefault="00812E90" w:rsidP="008C7FDC">
      <w:pPr>
        <w:rPr>
          <w:rFonts w:asciiTheme="majorHAnsi" w:hAnsiTheme="majorHAnsi" w:cstheme="majorHAnsi"/>
          <w:sz w:val="22"/>
          <w:szCs w:val="22"/>
        </w:rPr>
      </w:pPr>
    </w:p>
    <w:p w:rsidR="00B000DD" w:rsidRPr="005759D1" w:rsidRDefault="004D2D12" w:rsidP="008C7FDC">
      <w:pPr>
        <w:rPr>
          <w:rFonts w:asciiTheme="majorHAnsi" w:hAnsiTheme="majorHAnsi" w:cstheme="majorHAnsi"/>
          <w:b/>
          <w:sz w:val="22"/>
          <w:szCs w:val="22"/>
        </w:rPr>
      </w:pPr>
      <w:r w:rsidRPr="005759D1">
        <w:rPr>
          <w:rFonts w:asciiTheme="majorHAnsi" w:hAnsiTheme="majorHAnsi" w:cstheme="majorHAnsi"/>
          <w:b/>
          <w:sz w:val="22"/>
          <w:szCs w:val="22"/>
        </w:rPr>
        <w:lastRenderedPageBreak/>
        <w:t>A</w:t>
      </w:r>
      <w:r w:rsidR="00B000DD" w:rsidRPr="005759D1">
        <w:rPr>
          <w:rFonts w:asciiTheme="majorHAnsi" w:hAnsiTheme="majorHAnsi" w:cstheme="majorHAnsi"/>
          <w:b/>
          <w:sz w:val="22"/>
          <w:szCs w:val="22"/>
        </w:rPr>
        <w:t xml:space="preserve"> fundamental </w:t>
      </w:r>
      <w:r w:rsidR="0052782C" w:rsidRPr="005759D1">
        <w:rPr>
          <w:rFonts w:asciiTheme="majorHAnsi" w:hAnsiTheme="majorHAnsi" w:cstheme="majorHAnsi"/>
          <w:b/>
          <w:sz w:val="22"/>
          <w:szCs w:val="22"/>
        </w:rPr>
        <w:t>assumption</w:t>
      </w:r>
      <w:r w:rsidR="00B000DD" w:rsidRPr="005759D1">
        <w:rPr>
          <w:rFonts w:asciiTheme="majorHAnsi" w:hAnsiTheme="majorHAnsi" w:cstheme="majorHAnsi"/>
          <w:b/>
          <w:sz w:val="22"/>
          <w:szCs w:val="22"/>
        </w:rPr>
        <w:t xml:space="preserve"> of this study is that AF and POAF </w:t>
      </w:r>
      <w:r w:rsidR="0052782C" w:rsidRPr="005759D1">
        <w:rPr>
          <w:rFonts w:asciiTheme="majorHAnsi" w:hAnsiTheme="majorHAnsi" w:cstheme="majorHAnsi"/>
          <w:b/>
          <w:sz w:val="22"/>
          <w:szCs w:val="22"/>
        </w:rPr>
        <w:t xml:space="preserve">involve </w:t>
      </w:r>
      <w:r w:rsidR="0052782C" w:rsidRPr="005759D1">
        <w:rPr>
          <w:rFonts w:asciiTheme="majorHAnsi" w:hAnsiTheme="majorHAnsi" w:cstheme="majorHAnsi"/>
          <w:b/>
          <w:i/>
          <w:sz w:val="22"/>
          <w:szCs w:val="22"/>
        </w:rPr>
        <w:t>fundamentally different mechanisms</w:t>
      </w:r>
      <w:r w:rsidR="0052782C" w:rsidRPr="005759D1">
        <w:rPr>
          <w:rFonts w:asciiTheme="majorHAnsi" w:hAnsiTheme="majorHAnsi" w:cstheme="majorHAnsi"/>
          <w:b/>
          <w:sz w:val="22"/>
          <w:szCs w:val="22"/>
        </w:rPr>
        <w:t xml:space="preserve"> relative to triggering events and mechanisms underlying their emergence.  </w:t>
      </w:r>
      <w:r w:rsidR="00B000DD" w:rsidRPr="005759D1">
        <w:rPr>
          <w:rFonts w:asciiTheme="majorHAnsi" w:hAnsiTheme="majorHAnsi" w:cstheme="majorHAnsi"/>
          <w:b/>
          <w:sz w:val="22"/>
          <w:szCs w:val="22"/>
        </w:rPr>
        <w:t xml:space="preserve">To date, </w:t>
      </w:r>
      <w:r w:rsidRPr="005759D1">
        <w:rPr>
          <w:rFonts w:asciiTheme="majorHAnsi" w:hAnsiTheme="majorHAnsi" w:cstheme="majorHAnsi"/>
          <w:b/>
          <w:sz w:val="22"/>
          <w:szCs w:val="22"/>
        </w:rPr>
        <w:t xml:space="preserve">some </w:t>
      </w:r>
      <w:r w:rsidR="00B000DD" w:rsidRPr="005759D1">
        <w:rPr>
          <w:rFonts w:asciiTheme="majorHAnsi" w:hAnsiTheme="majorHAnsi" w:cstheme="majorHAnsi"/>
          <w:b/>
          <w:sz w:val="22"/>
          <w:szCs w:val="22"/>
        </w:rPr>
        <w:t>studies have been reported in the literature that define miRNA profiles associated with AF in the</w:t>
      </w:r>
      <w:r w:rsidR="00B65595" w:rsidRPr="005759D1">
        <w:rPr>
          <w:rFonts w:asciiTheme="majorHAnsi" w:hAnsiTheme="majorHAnsi" w:cstheme="majorHAnsi"/>
          <w:b/>
          <w:sz w:val="22"/>
          <w:szCs w:val="22"/>
        </w:rPr>
        <w:t xml:space="preserve"> context of</w:t>
      </w:r>
      <w:r w:rsidR="00B000DD" w:rsidRPr="005759D1">
        <w:rPr>
          <w:rFonts w:asciiTheme="majorHAnsi" w:hAnsiTheme="majorHAnsi" w:cstheme="majorHAnsi"/>
          <w:b/>
          <w:sz w:val="22"/>
          <w:szCs w:val="22"/>
        </w:rPr>
        <w:t xml:space="preserve"> tissue</w:t>
      </w:r>
      <w:r w:rsidR="00B65595" w:rsidRPr="005759D1">
        <w:rPr>
          <w:rFonts w:asciiTheme="majorHAnsi" w:hAnsiTheme="majorHAnsi" w:cstheme="majorHAnsi"/>
          <w:b/>
          <w:sz w:val="22"/>
          <w:szCs w:val="22"/>
        </w:rPr>
        <w:t>, serum or plasma, in vitro cell culture or animal models</w:t>
      </w:r>
      <w:r w:rsidR="00F42621" w:rsidRPr="005759D1">
        <w:rPr>
          <w:rFonts w:asciiTheme="majorHAnsi" w:hAnsiTheme="majorHAnsi" w:cstheme="majorHAnsi"/>
          <w:b/>
          <w:sz w:val="22"/>
          <w:szCs w:val="22"/>
        </w:rPr>
        <w:t xml:space="preserve"> (Cai </w:t>
      </w:r>
      <w:r w:rsidR="00F42621" w:rsidRPr="005759D1">
        <w:rPr>
          <w:rFonts w:asciiTheme="majorHAnsi" w:hAnsiTheme="majorHAnsi" w:cstheme="majorHAnsi"/>
          <w:b/>
          <w:i/>
          <w:sz w:val="22"/>
          <w:szCs w:val="22"/>
        </w:rPr>
        <w:t xml:space="preserve">et al. </w:t>
      </w:r>
      <w:r w:rsidR="00F42621" w:rsidRPr="005759D1">
        <w:rPr>
          <w:rFonts w:asciiTheme="majorHAnsi" w:hAnsiTheme="majorHAnsi" w:cstheme="majorHAnsi"/>
          <w:b/>
          <w:sz w:val="22"/>
          <w:szCs w:val="22"/>
        </w:rPr>
        <w:t xml:space="preserve">2010, Condorelli </w:t>
      </w:r>
      <w:r w:rsidR="00F42621" w:rsidRPr="005759D1">
        <w:rPr>
          <w:rFonts w:asciiTheme="majorHAnsi" w:hAnsiTheme="majorHAnsi" w:cstheme="majorHAnsi"/>
          <w:b/>
          <w:i/>
          <w:sz w:val="22"/>
          <w:szCs w:val="22"/>
        </w:rPr>
        <w:t>et al.</w:t>
      </w:r>
      <w:r w:rsidR="00F42621" w:rsidRPr="005759D1">
        <w:rPr>
          <w:rFonts w:asciiTheme="majorHAnsi" w:hAnsiTheme="majorHAnsi" w:cstheme="majorHAnsi"/>
          <w:b/>
          <w:sz w:val="22"/>
          <w:szCs w:val="22"/>
        </w:rPr>
        <w:t xml:space="preserve"> 2010, Duffy 2009, Elton 2011, Huang 2010,</w:t>
      </w:r>
      <w:r w:rsidR="007E1754" w:rsidRPr="005759D1">
        <w:rPr>
          <w:rFonts w:asciiTheme="majorHAnsi" w:hAnsiTheme="majorHAnsi" w:cstheme="majorHAnsi"/>
          <w:b/>
          <w:sz w:val="22"/>
          <w:szCs w:val="22"/>
        </w:rPr>
        <w:t xml:space="preserve"> Pan </w:t>
      </w:r>
      <w:r w:rsidR="007E1754" w:rsidRPr="005759D1">
        <w:rPr>
          <w:rFonts w:asciiTheme="majorHAnsi" w:hAnsiTheme="majorHAnsi" w:cstheme="majorHAnsi"/>
          <w:b/>
          <w:i/>
          <w:sz w:val="22"/>
          <w:szCs w:val="22"/>
        </w:rPr>
        <w:t xml:space="preserve">et al. </w:t>
      </w:r>
      <w:r w:rsidR="007E1754" w:rsidRPr="005759D1">
        <w:rPr>
          <w:rFonts w:asciiTheme="majorHAnsi" w:hAnsiTheme="majorHAnsi" w:cstheme="majorHAnsi"/>
          <w:b/>
          <w:sz w:val="22"/>
          <w:szCs w:val="22"/>
        </w:rPr>
        <w:t>2010)</w:t>
      </w:r>
      <w:r w:rsidRPr="005759D1">
        <w:rPr>
          <w:rFonts w:asciiTheme="majorHAnsi" w:hAnsiTheme="majorHAnsi" w:cstheme="majorHAnsi"/>
          <w:b/>
          <w:sz w:val="22"/>
          <w:szCs w:val="22"/>
        </w:rPr>
        <w:t xml:space="preserve">. </w:t>
      </w:r>
      <w:r w:rsidR="00CB5FA9" w:rsidRPr="005759D1">
        <w:rPr>
          <w:rFonts w:asciiTheme="majorHAnsi" w:hAnsiTheme="majorHAnsi" w:cstheme="majorHAnsi"/>
          <w:b/>
          <w:sz w:val="22"/>
          <w:szCs w:val="22"/>
        </w:rPr>
        <w:t xml:space="preserve"> </w:t>
      </w:r>
      <w:r w:rsidRPr="005759D1">
        <w:rPr>
          <w:rFonts w:asciiTheme="majorHAnsi" w:hAnsiTheme="majorHAnsi" w:cstheme="majorHAnsi"/>
          <w:b/>
          <w:sz w:val="22"/>
          <w:szCs w:val="22"/>
        </w:rPr>
        <w:t>However, these</w:t>
      </w:r>
      <w:r w:rsidR="00737F5B" w:rsidRPr="005759D1">
        <w:rPr>
          <w:rFonts w:asciiTheme="majorHAnsi" w:hAnsiTheme="majorHAnsi" w:cstheme="majorHAnsi"/>
          <w:b/>
          <w:sz w:val="22"/>
          <w:szCs w:val="22"/>
        </w:rPr>
        <w:t xml:space="preserve"> studies do not </w:t>
      </w:r>
      <w:r w:rsidR="00CB5FA9" w:rsidRPr="005759D1">
        <w:rPr>
          <w:rFonts w:asciiTheme="majorHAnsi" w:hAnsiTheme="majorHAnsi" w:cstheme="majorHAnsi"/>
          <w:b/>
          <w:sz w:val="22"/>
          <w:szCs w:val="22"/>
        </w:rPr>
        <w:t xml:space="preserve">predict </w:t>
      </w:r>
      <w:r w:rsidR="00737F5B" w:rsidRPr="005759D1">
        <w:rPr>
          <w:rFonts w:asciiTheme="majorHAnsi" w:hAnsiTheme="majorHAnsi" w:cstheme="majorHAnsi"/>
          <w:b/>
          <w:sz w:val="22"/>
          <w:szCs w:val="22"/>
        </w:rPr>
        <w:t xml:space="preserve">which of these miRNA markers will be present in serum.  </w:t>
      </w:r>
      <w:r w:rsidRPr="005759D1">
        <w:rPr>
          <w:rFonts w:asciiTheme="majorHAnsi" w:hAnsiTheme="majorHAnsi" w:cstheme="majorHAnsi"/>
          <w:b/>
          <w:sz w:val="22"/>
          <w:szCs w:val="22"/>
        </w:rPr>
        <w:t>S</w:t>
      </w:r>
      <w:r w:rsidR="00CB5FA9" w:rsidRPr="005759D1">
        <w:rPr>
          <w:rFonts w:asciiTheme="majorHAnsi" w:hAnsiTheme="majorHAnsi" w:cstheme="majorHAnsi"/>
          <w:b/>
          <w:sz w:val="22"/>
          <w:szCs w:val="22"/>
        </w:rPr>
        <w:t xml:space="preserve">imilar </w:t>
      </w:r>
      <w:r w:rsidR="00B65595" w:rsidRPr="005759D1">
        <w:rPr>
          <w:rFonts w:asciiTheme="majorHAnsi" w:hAnsiTheme="majorHAnsi" w:cstheme="majorHAnsi"/>
          <w:b/>
          <w:sz w:val="22"/>
          <w:szCs w:val="22"/>
        </w:rPr>
        <w:t xml:space="preserve">reports </w:t>
      </w:r>
      <w:r w:rsidR="00CB5FA9" w:rsidRPr="005759D1">
        <w:rPr>
          <w:rFonts w:asciiTheme="majorHAnsi" w:hAnsiTheme="majorHAnsi" w:cstheme="majorHAnsi"/>
          <w:b/>
          <w:sz w:val="22"/>
          <w:szCs w:val="22"/>
        </w:rPr>
        <w:t>profiling</w:t>
      </w:r>
      <w:r w:rsidR="00B65595" w:rsidRPr="005759D1">
        <w:rPr>
          <w:rFonts w:asciiTheme="majorHAnsi" w:hAnsiTheme="majorHAnsi" w:cstheme="majorHAnsi"/>
          <w:b/>
          <w:sz w:val="22"/>
          <w:szCs w:val="22"/>
        </w:rPr>
        <w:t xml:space="preserve"> miRNA associated with POAF</w:t>
      </w:r>
      <w:r w:rsidR="00CB5FA9" w:rsidRPr="005759D1">
        <w:rPr>
          <w:rFonts w:asciiTheme="majorHAnsi" w:hAnsiTheme="majorHAnsi" w:cstheme="majorHAnsi"/>
          <w:b/>
          <w:sz w:val="22"/>
          <w:szCs w:val="22"/>
        </w:rPr>
        <w:t>,</w:t>
      </w:r>
      <w:r w:rsidR="00B65595" w:rsidRPr="005759D1">
        <w:rPr>
          <w:rFonts w:asciiTheme="majorHAnsi" w:hAnsiTheme="majorHAnsi" w:cstheme="majorHAnsi"/>
          <w:b/>
          <w:sz w:val="22"/>
          <w:szCs w:val="22"/>
        </w:rPr>
        <w:t xml:space="preserve"> have </w:t>
      </w:r>
      <w:r w:rsidR="00B65595" w:rsidRPr="005759D1">
        <w:rPr>
          <w:rFonts w:asciiTheme="majorHAnsi" w:hAnsiTheme="majorHAnsi" w:cstheme="majorHAnsi"/>
          <w:b/>
          <w:i/>
          <w:sz w:val="22"/>
          <w:szCs w:val="22"/>
        </w:rPr>
        <w:t>not</w:t>
      </w:r>
      <w:r w:rsidR="00B65595" w:rsidRPr="005759D1">
        <w:rPr>
          <w:rFonts w:asciiTheme="majorHAnsi" w:hAnsiTheme="majorHAnsi" w:cstheme="majorHAnsi"/>
          <w:b/>
          <w:sz w:val="22"/>
          <w:szCs w:val="22"/>
        </w:rPr>
        <w:t xml:space="preserve"> been published to date.  Because of their potential utility as biomarkers in identifying patients at risk for POAF, the present study proposes to identify miRNA that may </w:t>
      </w:r>
      <w:r w:rsidR="00B65595" w:rsidRPr="005759D1">
        <w:rPr>
          <w:rFonts w:asciiTheme="majorHAnsi" w:hAnsiTheme="majorHAnsi" w:cstheme="majorHAnsi"/>
          <w:b/>
          <w:i/>
          <w:sz w:val="22"/>
          <w:szCs w:val="22"/>
        </w:rPr>
        <w:t xml:space="preserve">predict </w:t>
      </w:r>
      <w:r w:rsidR="00B65595" w:rsidRPr="005759D1">
        <w:rPr>
          <w:rFonts w:asciiTheme="majorHAnsi" w:hAnsiTheme="majorHAnsi" w:cstheme="majorHAnsi"/>
          <w:b/>
          <w:sz w:val="22"/>
          <w:szCs w:val="22"/>
        </w:rPr>
        <w:t xml:space="preserve">patients at risk for development of POAF </w:t>
      </w:r>
      <w:r w:rsidR="00C365E5" w:rsidRPr="005759D1">
        <w:rPr>
          <w:rFonts w:asciiTheme="majorHAnsi" w:hAnsiTheme="majorHAnsi" w:cstheme="majorHAnsi"/>
          <w:b/>
          <w:sz w:val="22"/>
          <w:szCs w:val="22"/>
        </w:rPr>
        <w:t xml:space="preserve">following CABG </w:t>
      </w:r>
      <w:r w:rsidR="00B65595" w:rsidRPr="005759D1">
        <w:rPr>
          <w:rFonts w:asciiTheme="majorHAnsi" w:hAnsiTheme="majorHAnsi" w:cstheme="majorHAnsi"/>
          <w:b/>
          <w:sz w:val="22"/>
          <w:szCs w:val="22"/>
        </w:rPr>
        <w:t xml:space="preserve">by collection of </w:t>
      </w:r>
      <w:r w:rsidR="00B65595" w:rsidRPr="005759D1">
        <w:rPr>
          <w:rFonts w:asciiTheme="majorHAnsi" w:hAnsiTheme="majorHAnsi" w:cstheme="majorHAnsi"/>
          <w:b/>
          <w:i/>
          <w:sz w:val="22"/>
          <w:szCs w:val="22"/>
        </w:rPr>
        <w:t>pre</w:t>
      </w:r>
      <w:r w:rsidR="00B65595" w:rsidRPr="005759D1">
        <w:rPr>
          <w:rFonts w:asciiTheme="majorHAnsi" w:hAnsiTheme="majorHAnsi" w:cstheme="majorHAnsi"/>
          <w:b/>
          <w:sz w:val="22"/>
          <w:szCs w:val="22"/>
        </w:rPr>
        <w:t xml:space="preserve"> procedural </w:t>
      </w:r>
      <w:r w:rsidR="00B65595" w:rsidRPr="005759D1">
        <w:rPr>
          <w:rFonts w:asciiTheme="majorHAnsi" w:hAnsiTheme="majorHAnsi" w:cstheme="majorHAnsi"/>
          <w:b/>
          <w:i/>
          <w:sz w:val="22"/>
          <w:szCs w:val="22"/>
        </w:rPr>
        <w:t>serum</w:t>
      </w:r>
      <w:r w:rsidR="00B65595" w:rsidRPr="005759D1">
        <w:rPr>
          <w:rFonts w:asciiTheme="majorHAnsi" w:hAnsiTheme="majorHAnsi" w:cstheme="majorHAnsi"/>
          <w:b/>
          <w:sz w:val="22"/>
          <w:szCs w:val="22"/>
        </w:rPr>
        <w:t xml:space="preserve"> samples and compar</w:t>
      </w:r>
      <w:r w:rsidR="00737F5B" w:rsidRPr="005759D1">
        <w:rPr>
          <w:rFonts w:asciiTheme="majorHAnsi" w:hAnsiTheme="majorHAnsi" w:cstheme="majorHAnsi"/>
          <w:b/>
          <w:sz w:val="22"/>
          <w:szCs w:val="22"/>
        </w:rPr>
        <w:t>e</w:t>
      </w:r>
      <w:r w:rsidR="00B65595" w:rsidRPr="005759D1">
        <w:rPr>
          <w:rFonts w:asciiTheme="majorHAnsi" w:hAnsiTheme="majorHAnsi" w:cstheme="majorHAnsi"/>
          <w:b/>
          <w:sz w:val="22"/>
          <w:szCs w:val="22"/>
        </w:rPr>
        <w:t xml:space="preserve"> miRNA profiles of patients who go on to develop POAF post CABG </w:t>
      </w:r>
      <w:r w:rsidR="007C5D84" w:rsidRPr="005759D1">
        <w:rPr>
          <w:rFonts w:asciiTheme="majorHAnsi" w:hAnsiTheme="majorHAnsi" w:cstheme="majorHAnsi"/>
          <w:b/>
          <w:sz w:val="22"/>
          <w:szCs w:val="22"/>
        </w:rPr>
        <w:t xml:space="preserve">to those of patients who do not develop POAF.  </w:t>
      </w:r>
      <w:r w:rsidR="00C365E5" w:rsidRPr="005759D1">
        <w:rPr>
          <w:rFonts w:asciiTheme="majorHAnsi" w:hAnsiTheme="majorHAnsi" w:cstheme="majorHAnsi"/>
          <w:b/>
          <w:sz w:val="22"/>
          <w:szCs w:val="22"/>
        </w:rPr>
        <w:t>Prediction of patients at increased risk for POAF may permit targeted interventions pre or intra operatively to minimize risk of emergence of POAF</w:t>
      </w:r>
      <w:r w:rsidRPr="005759D1">
        <w:rPr>
          <w:rFonts w:asciiTheme="majorHAnsi" w:hAnsiTheme="majorHAnsi" w:cstheme="majorHAnsi"/>
          <w:b/>
          <w:sz w:val="22"/>
          <w:szCs w:val="22"/>
        </w:rPr>
        <w:t xml:space="preserve"> in potentially susceptible individuals</w:t>
      </w:r>
      <w:r w:rsidR="00C365E5" w:rsidRPr="005759D1">
        <w:rPr>
          <w:rFonts w:asciiTheme="majorHAnsi" w:hAnsiTheme="majorHAnsi" w:cstheme="majorHAnsi"/>
          <w:b/>
          <w:sz w:val="22"/>
          <w:szCs w:val="22"/>
        </w:rPr>
        <w:t xml:space="preserve">.   </w:t>
      </w:r>
      <w:r w:rsidR="007C5D84" w:rsidRPr="005759D1">
        <w:rPr>
          <w:rFonts w:asciiTheme="majorHAnsi" w:hAnsiTheme="majorHAnsi" w:cstheme="majorHAnsi"/>
          <w:b/>
          <w:sz w:val="22"/>
          <w:szCs w:val="22"/>
        </w:rPr>
        <w:t xml:space="preserve"> </w:t>
      </w:r>
    </w:p>
    <w:p w:rsidR="00B000DD" w:rsidRPr="005759D1" w:rsidRDefault="00B000DD" w:rsidP="008C7FDC">
      <w:pPr>
        <w:rPr>
          <w:rFonts w:asciiTheme="majorHAnsi" w:hAnsiTheme="majorHAnsi" w:cstheme="majorHAnsi"/>
          <w:sz w:val="22"/>
          <w:szCs w:val="22"/>
        </w:rPr>
      </w:pPr>
    </w:p>
    <w:p w:rsidR="00C365E5" w:rsidRPr="005759D1" w:rsidRDefault="00812E90" w:rsidP="008C7FDC">
      <w:pPr>
        <w:rPr>
          <w:rFonts w:asciiTheme="majorHAnsi" w:hAnsiTheme="majorHAnsi" w:cstheme="majorHAnsi"/>
          <w:sz w:val="22"/>
          <w:szCs w:val="22"/>
        </w:rPr>
      </w:pPr>
      <w:r w:rsidRPr="005759D1">
        <w:rPr>
          <w:rFonts w:asciiTheme="majorHAnsi" w:hAnsiTheme="majorHAnsi" w:cstheme="majorHAnsi"/>
          <w:sz w:val="22"/>
          <w:szCs w:val="22"/>
        </w:rPr>
        <w:t xml:space="preserve">To date only one study </w:t>
      </w:r>
      <w:r w:rsidR="00B65595" w:rsidRPr="005759D1">
        <w:rPr>
          <w:rFonts w:asciiTheme="majorHAnsi" w:hAnsiTheme="majorHAnsi" w:cstheme="majorHAnsi"/>
          <w:sz w:val="22"/>
          <w:szCs w:val="22"/>
        </w:rPr>
        <w:t xml:space="preserve">(Girmatsion </w:t>
      </w:r>
      <w:r w:rsidR="00B65595" w:rsidRPr="005759D1">
        <w:rPr>
          <w:rFonts w:asciiTheme="majorHAnsi" w:hAnsiTheme="majorHAnsi" w:cstheme="majorHAnsi"/>
          <w:i/>
          <w:sz w:val="22"/>
          <w:szCs w:val="22"/>
        </w:rPr>
        <w:t>et al</w:t>
      </w:r>
      <w:r w:rsidR="00B65595" w:rsidRPr="005759D1">
        <w:rPr>
          <w:rFonts w:asciiTheme="majorHAnsi" w:hAnsiTheme="majorHAnsi" w:cstheme="majorHAnsi"/>
          <w:sz w:val="22"/>
          <w:szCs w:val="22"/>
        </w:rPr>
        <w:t xml:space="preserve"> 2009) </w:t>
      </w:r>
      <w:r w:rsidRPr="005759D1">
        <w:rPr>
          <w:rFonts w:asciiTheme="majorHAnsi" w:hAnsiTheme="majorHAnsi" w:cstheme="majorHAnsi"/>
          <w:sz w:val="22"/>
          <w:szCs w:val="22"/>
        </w:rPr>
        <w:t xml:space="preserve">reported on changes in miRNA expression </w:t>
      </w:r>
      <w:r w:rsidR="00C365E5" w:rsidRPr="005759D1">
        <w:rPr>
          <w:rFonts w:asciiTheme="majorHAnsi" w:hAnsiTheme="majorHAnsi" w:cstheme="majorHAnsi"/>
          <w:sz w:val="22"/>
          <w:szCs w:val="22"/>
        </w:rPr>
        <w:t xml:space="preserve">specifically </w:t>
      </w:r>
      <w:r w:rsidRPr="005759D1">
        <w:rPr>
          <w:rFonts w:asciiTheme="majorHAnsi" w:hAnsiTheme="majorHAnsi" w:cstheme="majorHAnsi"/>
          <w:sz w:val="22"/>
          <w:szCs w:val="22"/>
        </w:rPr>
        <w:t xml:space="preserve">in the context of patients undergoing mitral valve repair or CABG.  </w:t>
      </w:r>
      <w:r w:rsidR="00B000DD" w:rsidRPr="005759D1">
        <w:rPr>
          <w:rFonts w:asciiTheme="majorHAnsi" w:hAnsiTheme="majorHAnsi" w:cstheme="majorHAnsi"/>
          <w:sz w:val="22"/>
          <w:szCs w:val="22"/>
        </w:rPr>
        <w:t>However, patients</w:t>
      </w:r>
      <w:r w:rsidR="00B65595" w:rsidRPr="005759D1">
        <w:rPr>
          <w:rFonts w:asciiTheme="majorHAnsi" w:hAnsiTheme="majorHAnsi" w:cstheme="majorHAnsi"/>
          <w:sz w:val="22"/>
          <w:szCs w:val="22"/>
        </w:rPr>
        <w:t xml:space="preserve"> in this study either had </w:t>
      </w:r>
      <w:r w:rsidR="00B000DD" w:rsidRPr="005759D1">
        <w:rPr>
          <w:rFonts w:asciiTheme="majorHAnsi" w:hAnsiTheme="majorHAnsi" w:cstheme="majorHAnsi"/>
          <w:sz w:val="22"/>
          <w:szCs w:val="22"/>
        </w:rPr>
        <w:t xml:space="preserve">a history of </w:t>
      </w:r>
      <w:r w:rsidR="00EA2C1D" w:rsidRPr="005759D1">
        <w:rPr>
          <w:rFonts w:asciiTheme="majorHAnsi" w:hAnsiTheme="majorHAnsi" w:cstheme="majorHAnsi"/>
          <w:sz w:val="22"/>
          <w:szCs w:val="22"/>
        </w:rPr>
        <w:t xml:space="preserve">pre-existent </w:t>
      </w:r>
      <w:r w:rsidR="00B000DD" w:rsidRPr="005759D1">
        <w:rPr>
          <w:rFonts w:asciiTheme="majorHAnsi" w:hAnsiTheme="majorHAnsi" w:cstheme="majorHAnsi"/>
          <w:sz w:val="22"/>
          <w:szCs w:val="22"/>
        </w:rPr>
        <w:t xml:space="preserve">AF prior to surgery or at the time of admission </w:t>
      </w:r>
      <w:r w:rsidR="00B65595" w:rsidRPr="005759D1">
        <w:rPr>
          <w:rFonts w:asciiTheme="majorHAnsi" w:hAnsiTheme="majorHAnsi" w:cstheme="majorHAnsi"/>
          <w:sz w:val="22"/>
          <w:szCs w:val="22"/>
        </w:rPr>
        <w:t xml:space="preserve">as detected by electrocardiogram </w:t>
      </w:r>
      <w:r w:rsidR="00B000DD" w:rsidRPr="005759D1">
        <w:rPr>
          <w:rFonts w:asciiTheme="majorHAnsi" w:hAnsiTheme="majorHAnsi" w:cstheme="majorHAnsi"/>
          <w:sz w:val="22"/>
          <w:szCs w:val="22"/>
        </w:rPr>
        <w:t xml:space="preserve">and therefore </w:t>
      </w:r>
      <w:r w:rsidR="00EA2C1D" w:rsidRPr="005759D1">
        <w:rPr>
          <w:rFonts w:asciiTheme="majorHAnsi" w:hAnsiTheme="majorHAnsi" w:cstheme="majorHAnsi"/>
          <w:sz w:val="22"/>
          <w:szCs w:val="22"/>
        </w:rPr>
        <w:t xml:space="preserve">AF in this study </w:t>
      </w:r>
      <w:r w:rsidR="00B65595" w:rsidRPr="005759D1">
        <w:rPr>
          <w:rFonts w:asciiTheme="majorHAnsi" w:hAnsiTheme="majorHAnsi" w:cstheme="majorHAnsi"/>
          <w:sz w:val="22"/>
          <w:szCs w:val="22"/>
        </w:rPr>
        <w:t xml:space="preserve">cannot be classified as </w:t>
      </w:r>
      <w:r w:rsidR="00B000DD" w:rsidRPr="005759D1">
        <w:rPr>
          <w:rFonts w:asciiTheme="majorHAnsi" w:hAnsiTheme="majorHAnsi" w:cstheme="majorHAnsi"/>
          <w:sz w:val="22"/>
          <w:szCs w:val="22"/>
        </w:rPr>
        <w:t xml:space="preserve">POAF.  </w:t>
      </w:r>
      <w:r w:rsidRPr="005759D1">
        <w:rPr>
          <w:rFonts w:asciiTheme="majorHAnsi" w:hAnsiTheme="majorHAnsi" w:cstheme="majorHAnsi"/>
          <w:sz w:val="22"/>
          <w:szCs w:val="22"/>
        </w:rPr>
        <w:t>This study reported an 86% reduction in tissue expression of miRNA 1</w:t>
      </w:r>
      <w:r w:rsidR="00C365E5" w:rsidRPr="005759D1">
        <w:rPr>
          <w:rFonts w:asciiTheme="majorHAnsi" w:hAnsiTheme="majorHAnsi" w:cstheme="majorHAnsi"/>
          <w:sz w:val="22"/>
          <w:szCs w:val="22"/>
        </w:rPr>
        <w:t>, a muscle-specific miRNA,</w:t>
      </w:r>
      <w:r w:rsidRPr="005759D1">
        <w:rPr>
          <w:rFonts w:asciiTheme="majorHAnsi" w:hAnsiTheme="majorHAnsi" w:cstheme="majorHAnsi"/>
          <w:sz w:val="22"/>
          <w:szCs w:val="22"/>
        </w:rPr>
        <w:t xml:space="preserve"> in </w:t>
      </w:r>
      <w:r w:rsidR="00B000DD" w:rsidRPr="005759D1">
        <w:rPr>
          <w:rFonts w:asciiTheme="majorHAnsi" w:hAnsiTheme="majorHAnsi" w:cstheme="majorHAnsi"/>
          <w:sz w:val="22"/>
          <w:szCs w:val="22"/>
        </w:rPr>
        <w:t xml:space="preserve">cardiac </w:t>
      </w:r>
      <w:r w:rsidR="00B000DD" w:rsidRPr="005759D1">
        <w:rPr>
          <w:rFonts w:asciiTheme="majorHAnsi" w:hAnsiTheme="majorHAnsi" w:cstheme="majorHAnsi"/>
          <w:sz w:val="22"/>
          <w:szCs w:val="22"/>
          <w:u w:val="single"/>
        </w:rPr>
        <w:t>tissue</w:t>
      </w:r>
      <w:r w:rsidR="00B000DD" w:rsidRPr="005759D1">
        <w:rPr>
          <w:rFonts w:asciiTheme="majorHAnsi" w:hAnsiTheme="majorHAnsi" w:cstheme="majorHAnsi"/>
          <w:sz w:val="22"/>
          <w:szCs w:val="22"/>
        </w:rPr>
        <w:t xml:space="preserve"> samples of </w:t>
      </w:r>
      <w:r w:rsidRPr="005759D1">
        <w:rPr>
          <w:rFonts w:asciiTheme="majorHAnsi" w:hAnsiTheme="majorHAnsi" w:cstheme="majorHAnsi"/>
          <w:sz w:val="22"/>
          <w:szCs w:val="22"/>
        </w:rPr>
        <w:t>pat</w:t>
      </w:r>
      <w:r w:rsidR="00B000DD" w:rsidRPr="005759D1">
        <w:rPr>
          <w:rFonts w:asciiTheme="majorHAnsi" w:hAnsiTheme="majorHAnsi" w:cstheme="majorHAnsi"/>
          <w:sz w:val="22"/>
          <w:szCs w:val="22"/>
        </w:rPr>
        <w:t>ients with AF</w:t>
      </w:r>
      <w:r w:rsidRPr="005759D1">
        <w:rPr>
          <w:rFonts w:asciiTheme="majorHAnsi" w:hAnsiTheme="majorHAnsi" w:cstheme="majorHAnsi"/>
          <w:sz w:val="22"/>
          <w:szCs w:val="22"/>
        </w:rPr>
        <w:t xml:space="preserve">. </w:t>
      </w:r>
      <w:r w:rsidR="00B000DD" w:rsidRPr="005759D1">
        <w:rPr>
          <w:rFonts w:asciiTheme="majorHAnsi" w:hAnsiTheme="majorHAnsi" w:cstheme="majorHAnsi"/>
          <w:sz w:val="22"/>
          <w:szCs w:val="22"/>
        </w:rPr>
        <w:t xml:space="preserve"> </w:t>
      </w:r>
      <w:r w:rsidR="00C365E5" w:rsidRPr="005759D1">
        <w:rPr>
          <w:rFonts w:asciiTheme="majorHAnsi" w:hAnsiTheme="majorHAnsi" w:cstheme="majorHAnsi"/>
          <w:sz w:val="22"/>
          <w:szCs w:val="22"/>
        </w:rPr>
        <w:t xml:space="preserve">Targets of miRNA 1 that have been defined in the heart include connexin 43, a </w:t>
      </w:r>
      <w:r w:rsidR="00EA2C1D" w:rsidRPr="005759D1">
        <w:rPr>
          <w:rFonts w:asciiTheme="majorHAnsi" w:hAnsiTheme="majorHAnsi" w:cstheme="majorHAnsi"/>
          <w:sz w:val="22"/>
          <w:szCs w:val="22"/>
        </w:rPr>
        <w:t xml:space="preserve">GJA1 alpha one </w:t>
      </w:r>
      <w:r w:rsidR="00C365E5" w:rsidRPr="005759D1">
        <w:rPr>
          <w:rFonts w:asciiTheme="majorHAnsi" w:hAnsiTheme="majorHAnsi" w:cstheme="majorHAnsi"/>
          <w:sz w:val="22"/>
          <w:szCs w:val="22"/>
        </w:rPr>
        <w:t>gap junction protein</w:t>
      </w:r>
      <w:r w:rsidR="004D2D12" w:rsidRPr="005759D1">
        <w:rPr>
          <w:rFonts w:asciiTheme="majorHAnsi" w:hAnsiTheme="majorHAnsi" w:cstheme="majorHAnsi"/>
          <w:sz w:val="22"/>
          <w:szCs w:val="22"/>
        </w:rPr>
        <w:t>;</w:t>
      </w:r>
      <w:r w:rsidR="00EA2C1D" w:rsidRPr="005759D1">
        <w:rPr>
          <w:rFonts w:asciiTheme="majorHAnsi" w:hAnsiTheme="majorHAnsi" w:cstheme="majorHAnsi"/>
          <w:sz w:val="22"/>
          <w:szCs w:val="22"/>
        </w:rPr>
        <w:t xml:space="preserve"> and Kir2.1, a KCNJ2 inwardly directed K channel.  </w:t>
      </w:r>
      <w:r w:rsidR="00B000DD" w:rsidRPr="005759D1">
        <w:rPr>
          <w:rFonts w:asciiTheme="majorHAnsi" w:hAnsiTheme="majorHAnsi" w:cstheme="majorHAnsi"/>
          <w:sz w:val="22"/>
          <w:szCs w:val="22"/>
        </w:rPr>
        <w:t xml:space="preserve">This marker has been previously found in serum </w:t>
      </w:r>
      <w:r w:rsidR="004D2D12" w:rsidRPr="005759D1">
        <w:rPr>
          <w:rFonts w:asciiTheme="majorHAnsi" w:hAnsiTheme="majorHAnsi" w:cstheme="majorHAnsi"/>
          <w:sz w:val="22"/>
          <w:szCs w:val="22"/>
        </w:rPr>
        <w:t>in the context of AF, mainly in experimental models</w:t>
      </w:r>
      <w:r w:rsidR="00B72042" w:rsidRPr="005759D1">
        <w:rPr>
          <w:rFonts w:asciiTheme="majorHAnsi" w:hAnsiTheme="majorHAnsi" w:cstheme="majorHAnsi"/>
          <w:sz w:val="22"/>
          <w:szCs w:val="22"/>
        </w:rPr>
        <w:t>,</w:t>
      </w:r>
      <w:r w:rsidR="004D2D12" w:rsidRPr="005759D1">
        <w:rPr>
          <w:rFonts w:asciiTheme="majorHAnsi" w:hAnsiTheme="majorHAnsi" w:cstheme="majorHAnsi"/>
          <w:sz w:val="22"/>
          <w:szCs w:val="22"/>
        </w:rPr>
        <w:t xml:space="preserve"> </w:t>
      </w:r>
      <w:r w:rsidR="00B000DD" w:rsidRPr="005759D1">
        <w:rPr>
          <w:rFonts w:asciiTheme="majorHAnsi" w:hAnsiTheme="majorHAnsi" w:cstheme="majorHAnsi"/>
          <w:sz w:val="22"/>
          <w:szCs w:val="22"/>
        </w:rPr>
        <w:t xml:space="preserve">and is included among the 6 cardiac associated miRNA markers included in a serum miRNA array that is proposed for testing in the current </w:t>
      </w:r>
      <w:r w:rsidR="00B000DD" w:rsidRPr="005759D1">
        <w:rPr>
          <w:rFonts w:asciiTheme="majorHAnsi" w:hAnsiTheme="majorHAnsi" w:cstheme="majorHAnsi"/>
          <w:color w:val="FF0000"/>
          <w:sz w:val="22"/>
          <w:szCs w:val="22"/>
        </w:rPr>
        <w:t xml:space="preserve">study.  </w:t>
      </w:r>
      <w:r w:rsidR="00B72042" w:rsidRPr="005759D1">
        <w:rPr>
          <w:rFonts w:asciiTheme="majorHAnsi" w:hAnsiTheme="majorHAnsi" w:cstheme="majorHAnsi"/>
          <w:color w:val="FF0000"/>
          <w:sz w:val="22"/>
          <w:szCs w:val="22"/>
        </w:rPr>
        <w:t>(</w:t>
      </w:r>
      <w:r w:rsidR="00B72042" w:rsidRPr="005759D1">
        <w:rPr>
          <w:rFonts w:asciiTheme="majorHAnsi" w:hAnsiTheme="majorHAnsi" w:cstheme="majorHAnsi"/>
          <w:sz w:val="22"/>
          <w:szCs w:val="22"/>
        </w:rPr>
        <w:t>Latronico, 2007; Yang  2008; Wang 2008; Latronico 2010, Condorelli 2010, Wang 2011).</w:t>
      </w:r>
      <w:r w:rsidRPr="005759D1">
        <w:rPr>
          <w:rFonts w:asciiTheme="majorHAnsi" w:hAnsiTheme="majorHAnsi" w:cstheme="majorHAnsi"/>
          <w:sz w:val="22"/>
          <w:szCs w:val="22"/>
        </w:rPr>
        <w:t xml:space="preserve"> </w:t>
      </w:r>
    </w:p>
    <w:p w:rsidR="006403AC" w:rsidRPr="005759D1" w:rsidRDefault="006403AC" w:rsidP="008C7FDC">
      <w:pPr>
        <w:rPr>
          <w:rFonts w:asciiTheme="majorHAnsi" w:hAnsiTheme="majorHAnsi" w:cstheme="majorHAnsi"/>
          <w:color w:val="FF0000"/>
          <w:sz w:val="22"/>
          <w:szCs w:val="22"/>
        </w:rPr>
      </w:pPr>
    </w:p>
    <w:p w:rsidR="000E6D68" w:rsidRPr="005759D1" w:rsidRDefault="00EA2C1D" w:rsidP="008C7FDC">
      <w:pPr>
        <w:rPr>
          <w:rFonts w:asciiTheme="majorHAnsi" w:hAnsiTheme="majorHAnsi" w:cstheme="majorHAnsi"/>
          <w:sz w:val="22"/>
          <w:szCs w:val="22"/>
        </w:rPr>
      </w:pPr>
      <w:r w:rsidRPr="005759D1">
        <w:rPr>
          <w:rFonts w:asciiTheme="majorHAnsi" w:hAnsiTheme="majorHAnsi" w:cstheme="majorHAnsi"/>
          <w:sz w:val="22"/>
          <w:szCs w:val="22"/>
        </w:rPr>
        <w:t xml:space="preserve">Whether mechanisms underlying arrhythmias seen in AF are similar to those seen in POAF remains to be determined.  To date, studies that have characterized miRNA regulation of cardiac function in the context of AF have done so </w:t>
      </w:r>
      <w:r w:rsidR="00E3458A" w:rsidRPr="005759D1">
        <w:rPr>
          <w:rFonts w:asciiTheme="majorHAnsi" w:hAnsiTheme="majorHAnsi" w:cstheme="majorHAnsi"/>
          <w:sz w:val="22"/>
          <w:szCs w:val="22"/>
        </w:rPr>
        <w:t xml:space="preserve">mainly </w:t>
      </w:r>
      <w:r w:rsidRPr="005759D1">
        <w:rPr>
          <w:rFonts w:asciiTheme="majorHAnsi" w:hAnsiTheme="majorHAnsi" w:cstheme="majorHAnsi"/>
          <w:sz w:val="22"/>
          <w:szCs w:val="22"/>
        </w:rPr>
        <w:t xml:space="preserve">using tissue specimens, </w:t>
      </w:r>
      <w:r w:rsidR="00E3458A" w:rsidRPr="005759D1">
        <w:rPr>
          <w:rFonts w:asciiTheme="majorHAnsi" w:hAnsiTheme="majorHAnsi" w:cstheme="majorHAnsi"/>
          <w:sz w:val="22"/>
          <w:szCs w:val="22"/>
        </w:rPr>
        <w:t xml:space="preserve">in vitro cell culture techniques or animal models.  Further, many of these studies examined miRNA expression </w:t>
      </w:r>
      <w:r w:rsidR="00576E34" w:rsidRPr="005759D1">
        <w:rPr>
          <w:rFonts w:asciiTheme="majorHAnsi" w:hAnsiTheme="majorHAnsi" w:cstheme="majorHAnsi"/>
          <w:sz w:val="22"/>
          <w:szCs w:val="22"/>
        </w:rPr>
        <w:t>associated with</w:t>
      </w:r>
      <w:r w:rsidR="00E3458A" w:rsidRPr="005759D1">
        <w:rPr>
          <w:rFonts w:asciiTheme="majorHAnsi" w:hAnsiTheme="majorHAnsi" w:cstheme="majorHAnsi"/>
          <w:sz w:val="22"/>
          <w:szCs w:val="22"/>
        </w:rPr>
        <w:t xml:space="preserve"> arrhythmia in the context of other specific cardiac pathology (e.g. heart failure, ischemic heart disease).  However, cardiac miRNA transcriptome assays have </w:t>
      </w:r>
      <w:r w:rsidR="00576E34" w:rsidRPr="005759D1">
        <w:rPr>
          <w:rFonts w:asciiTheme="majorHAnsi" w:hAnsiTheme="majorHAnsi" w:cstheme="majorHAnsi"/>
          <w:sz w:val="22"/>
          <w:szCs w:val="22"/>
        </w:rPr>
        <w:t xml:space="preserve">already </w:t>
      </w:r>
      <w:r w:rsidR="00E3458A" w:rsidRPr="005759D1">
        <w:rPr>
          <w:rFonts w:asciiTheme="majorHAnsi" w:hAnsiTheme="majorHAnsi" w:cstheme="majorHAnsi"/>
          <w:sz w:val="22"/>
          <w:szCs w:val="22"/>
        </w:rPr>
        <w:t xml:space="preserve">revealed that changes in transcriptome patterns are evident across different pathologies.  For example, a study that profiled genome wide mRNA expression across 3 distinct pathologies including aortic stenosis, dilated and ischemic cardiomyopathies revealed distinct miRNA signatures </w:t>
      </w:r>
      <w:r w:rsidR="00576E34" w:rsidRPr="005759D1">
        <w:rPr>
          <w:rFonts w:asciiTheme="majorHAnsi" w:hAnsiTheme="majorHAnsi" w:cstheme="majorHAnsi"/>
          <w:sz w:val="22"/>
          <w:szCs w:val="22"/>
        </w:rPr>
        <w:t xml:space="preserve">with 43 of 87 miRNAs tested differentially expressed in at least one pathological condition. (Ikeda </w:t>
      </w:r>
      <w:r w:rsidR="00576E34" w:rsidRPr="005759D1">
        <w:rPr>
          <w:rFonts w:asciiTheme="majorHAnsi" w:hAnsiTheme="majorHAnsi" w:cstheme="majorHAnsi"/>
          <w:i/>
          <w:sz w:val="22"/>
          <w:szCs w:val="22"/>
        </w:rPr>
        <w:t>et al</w:t>
      </w:r>
      <w:r w:rsidR="00576E34" w:rsidRPr="005759D1">
        <w:rPr>
          <w:rFonts w:asciiTheme="majorHAnsi" w:hAnsiTheme="majorHAnsi" w:cstheme="majorHAnsi"/>
          <w:sz w:val="22"/>
          <w:szCs w:val="22"/>
        </w:rPr>
        <w:t xml:space="preserve">., 2007).  </w:t>
      </w:r>
      <w:r w:rsidR="003E019E" w:rsidRPr="005759D1">
        <w:rPr>
          <w:rFonts w:asciiTheme="majorHAnsi" w:hAnsiTheme="majorHAnsi" w:cstheme="majorHAnsi"/>
          <w:sz w:val="22"/>
          <w:szCs w:val="22"/>
        </w:rPr>
        <w:t xml:space="preserve"> </w:t>
      </w:r>
    </w:p>
    <w:p w:rsidR="003E019E" w:rsidRPr="005759D1" w:rsidRDefault="003E019E" w:rsidP="008C7FDC">
      <w:pPr>
        <w:rPr>
          <w:rFonts w:asciiTheme="majorHAnsi" w:hAnsiTheme="majorHAnsi" w:cstheme="majorHAnsi"/>
          <w:sz w:val="22"/>
          <w:szCs w:val="22"/>
        </w:rPr>
      </w:pPr>
    </w:p>
    <w:p w:rsidR="00FB3287" w:rsidRPr="005759D1" w:rsidRDefault="000E6D68" w:rsidP="008C7FDC">
      <w:pPr>
        <w:rPr>
          <w:rFonts w:asciiTheme="majorHAnsi" w:hAnsiTheme="majorHAnsi" w:cstheme="majorHAnsi"/>
          <w:sz w:val="22"/>
          <w:szCs w:val="22"/>
        </w:rPr>
      </w:pPr>
      <w:r w:rsidRPr="005759D1">
        <w:rPr>
          <w:rFonts w:asciiTheme="majorHAnsi" w:hAnsiTheme="majorHAnsi" w:cstheme="majorHAnsi"/>
          <w:sz w:val="22"/>
          <w:szCs w:val="22"/>
        </w:rPr>
        <w:t xml:space="preserve">Animal models for various cardiac pathologies have provided invaluable insight into mechanistic pathways that underlie various cardiovascular pathologies and altered miRNA profiles associated with these pathologies.  </w:t>
      </w:r>
      <w:r w:rsidR="00737F5B" w:rsidRPr="005759D1">
        <w:rPr>
          <w:rFonts w:asciiTheme="majorHAnsi" w:hAnsiTheme="majorHAnsi" w:cstheme="majorHAnsi"/>
          <w:sz w:val="22"/>
          <w:szCs w:val="22"/>
        </w:rPr>
        <w:t xml:space="preserve">However, concordance of miRNA profiles between animal models and human disease is not always noted.  For example, in studies of heart failure in animals, miRNA that showed increased level of expression showed relatively good concordance with human disease whereas down-regulation of miRNA revealed far less concordance (Divakaran &amp; Mann, 2008).  </w:t>
      </w:r>
      <w:r w:rsidR="009D1A44" w:rsidRPr="005759D1">
        <w:rPr>
          <w:rFonts w:asciiTheme="majorHAnsi" w:hAnsiTheme="majorHAnsi" w:cstheme="majorHAnsi"/>
          <w:sz w:val="22"/>
          <w:szCs w:val="22"/>
        </w:rPr>
        <w:t xml:space="preserve"> Further, an interesting study by Matkovitch </w:t>
      </w:r>
      <w:r w:rsidR="009D1A44" w:rsidRPr="005759D1">
        <w:rPr>
          <w:rFonts w:asciiTheme="majorHAnsi" w:hAnsiTheme="majorHAnsi" w:cstheme="majorHAnsi"/>
          <w:i/>
          <w:sz w:val="22"/>
          <w:szCs w:val="22"/>
        </w:rPr>
        <w:t>et al</w:t>
      </w:r>
      <w:r w:rsidR="009D1A44" w:rsidRPr="005759D1">
        <w:rPr>
          <w:rFonts w:asciiTheme="majorHAnsi" w:hAnsiTheme="majorHAnsi" w:cstheme="majorHAnsi"/>
          <w:sz w:val="22"/>
          <w:szCs w:val="22"/>
        </w:rPr>
        <w:t xml:space="preserve"> (2010) of miRNA 133 in mice, demonstrated discrepancies between in vitro and in vivo miRNA phenotypic expression, indicating that experimental miRNA profiles from in vitro studies may need to be interpreted with caution relative to major miRNA impacts in vivo</w:t>
      </w:r>
      <w:r w:rsidR="009C2705" w:rsidRPr="005759D1">
        <w:rPr>
          <w:rFonts w:asciiTheme="majorHAnsi" w:hAnsiTheme="majorHAnsi" w:cstheme="majorHAnsi"/>
          <w:sz w:val="22"/>
          <w:szCs w:val="22"/>
        </w:rPr>
        <w:t xml:space="preserve"> and especially across species</w:t>
      </w:r>
      <w:r w:rsidR="009D1A44" w:rsidRPr="005759D1">
        <w:rPr>
          <w:rFonts w:asciiTheme="majorHAnsi" w:hAnsiTheme="majorHAnsi" w:cstheme="majorHAnsi"/>
          <w:sz w:val="22"/>
          <w:szCs w:val="22"/>
        </w:rPr>
        <w:t xml:space="preserve">.  </w:t>
      </w:r>
    </w:p>
    <w:p w:rsidR="00CB5FA9" w:rsidRPr="005759D1" w:rsidRDefault="00CB5FA9" w:rsidP="008C7FDC">
      <w:pPr>
        <w:rPr>
          <w:rFonts w:asciiTheme="majorHAnsi" w:hAnsiTheme="majorHAnsi" w:cstheme="majorHAnsi"/>
          <w:sz w:val="22"/>
          <w:szCs w:val="22"/>
        </w:rPr>
      </w:pPr>
    </w:p>
    <w:p w:rsidR="00E3458A" w:rsidRPr="005759D1" w:rsidRDefault="00EA2606" w:rsidP="008C7FDC">
      <w:pPr>
        <w:rPr>
          <w:rFonts w:asciiTheme="majorHAnsi" w:hAnsiTheme="majorHAnsi" w:cstheme="majorHAnsi"/>
          <w:sz w:val="22"/>
          <w:szCs w:val="22"/>
        </w:rPr>
      </w:pPr>
      <w:r w:rsidRPr="005759D1">
        <w:rPr>
          <w:rFonts w:asciiTheme="majorHAnsi" w:hAnsiTheme="majorHAnsi" w:cstheme="majorHAnsi"/>
          <w:sz w:val="22"/>
          <w:szCs w:val="22"/>
        </w:rPr>
        <w:t xml:space="preserve">Although no data are presently available with respect to miRNA profiles associated with POAF, </w:t>
      </w:r>
      <w:r w:rsidR="00616850" w:rsidRPr="005759D1">
        <w:rPr>
          <w:rFonts w:asciiTheme="majorHAnsi" w:hAnsiTheme="majorHAnsi" w:cstheme="majorHAnsi"/>
          <w:sz w:val="22"/>
          <w:szCs w:val="22"/>
        </w:rPr>
        <w:t xml:space="preserve">several </w:t>
      </w:r>
      <w:r w:rsidRPr="005759D1">
        <w:rPr>
          <w:rFonts w:asciiTheme="majorHAnsi" w:hAnsiTheme="majorHAnsi" w:cstheme="majorHAnsi"/>
          <w:sz w:val="22"/>
          <w:szCs w:val="22"/>
        </w:rPr>
        <w:t xml:space="preserve">miRNA have been associated with AF.  Table A illustrates the miRNA, alleged target genes, function, possible role in AF, context in which miRNA was characterized and reference. </w:t>
      </w:r>
      <w:r w:rsidR="00616850" w:rsidRPr="005759D1">
        <w:rPr>
          <w:rFonts w:asciiTheme="majorHAnsi" w:hAnsiTheme="majorHAnsi" w:cstheme="majorHAnsi"/>
          <w:sz w:val="22"/>
          <w:szCs w:val="22"/>
        </w:rPr>
        <w:t xml:space="preserve"> This table includes a composite of all miRNAs cited in recent reviews</w:t>
      </w:r>
      <w:r w:rsidR="00765B4B" w:rsidRPr="005759D1">
        <w:rPr>
          <w:rFonts w:asciiTheme="majorHAnsi" w:hAnsiTheme="majorHAnsi" w:cstheme="majorHAnsi"/>
          <w:sz w:val="22"/>
          <w:szCs w:val="22"/>
        </w:rPr>
        <w:t>,</w:t>
      </w:r>
      <w:r w:rsidR="00616850" w:rsidRPr="005759D1">
        <w:rPr>
          <w:rFonts w:asciiTheme="majorHAnsi" w:hAnsiTheme="majorHAnsi" w:cstheme="majorHAnsi"/>
          <w:sz w:val="22"/>
          <w:szCs w:val="22"/>
        </w:rPr>
        <w:t xml:space="preserve"> relevant supporting references</w:t>
      </w:r>
      <w:r w:rsidR="00765B4B" w:rsidRPr="005759D1">
        <w:rPr>
          <w:rFonts w:asciiTheme="majorHAnsi" w:hAnsiTheme="majorHAnsi" w:cstheme="majorHAnsi"/>
          <w:sz w:val="22"/>
          <w:szCs w:val="22"/>
        </w:rPr>
        <w:t>, and impacted genes.  Potential biological pathways and functional impact suggested by investigators of the studies are also summarized.</w:t>
      </w:r>
      <w:r w:rsidR="00616850" w:rsidRPr="005759D1">
        <w:rPr>
          <w:rFonts w:asciiTheme="majorHAnsi" w:hAnsiTheme="majorHAnsi" w:cstheme="majorHAnsi"/>
          <w:sz w:val="22"/>
          <w:szCs w:val="22"/>
        </w:rPr>
        <w:t xml:space="preserve"> </w:t>
      </w:r>
    </w:p>
    <w:p w:rsidR="00AF3FED" w:rsidRPr="005759D1" w:rsidRDefault="00AF3FED">
      <w:pPr>
        <w:rPr>
          <w:rFonts w:asciiTheme="majorHAnsi" w:hAnsiTheme="majorHAnsi" w:cstheme="majorHAnsi"/>
          <w:sz w:val="22"/>
          <w:szCs w:val="22"/>
        </w:rPr>
      </w:pPr>
    </w:p>
    <w:p w:rsidR="00AF3FED" w:rsidRPr="005759D1" w:rsidRDefault="00AF3FED" w:rsidP="00AF3FED">
      <w:pPr>
        <w:rPr>
          <w:rFonts w:asciiTheme="majorHAnsi" w:hAnsiTheme="majorHAnsi" w:cstheme="majorHAnsi"/>
          <w:sz w:val="22"/>
          <w:szCs w:val="22"/>
        </w:rPr>
      </w:pPr>
      <w:r w:rsidRPr="005759D1">
        <w:rPr>
          <w:rFonts w:asciiTheme="majorHAnsi" w:hAnsiTheme="majorHAnsi" w:cstheme="majorHAnsi"/>
          <w:sz w:val="22"/>
          <w:szCs w:val="22"/>
        </w:rPr>
        <w:t xml:space="preserve">Importantly, precedent for utility of miRNA detection in serum has been set in other cardiac contexts:  myocardial infarction (MI) and coronary artery disease (CAD), and AF in the context of rheumatic heart disease. </w:t>
      </w:r>
      <w:r w:rsidR="00973342" w:rsidRPr="005759D1">
        <w:rPr>
          <w:rFonts w:asciiTheme="majorHAnsi" w:hAnsiTheme="majorHAnsi" w:cstheme="majorHAnsi"/>
          <w:sz w:val="22"/>
          <w:szCs w:val="22"/>
        </w:rPr>
        <w:t xml:space="preserve"> </w:t>
      </w:r>
      <w:r w:rsidRPr="005759D1">
        <w:rPr>
          <w:rFonts w:asciiTheme="majorHAnsi" w:hAnsiTheme="majorHAnsi" w:cstheme="majorHAnsi"/>
          <w:sz w:val="22"/>
          <w:szCs w:val="22"/>
        </w:rPr>
        <w:t xml:space="preserve">For example, as proof of concept, Wang </w:t>
      </w:r>
      <w:r w:rsidRPr="005759D1">
        <w:rPr>
          <w:rFonts w:asciiTheme="majorHAnsi" w:hAnsiTheme="majorHAnsi" w:cstheme="majorHAnsi"/>
          <w:i/>
          <w:sz w:val="22"/>
          <w:szCs w:val="22"/>
        </w:rPr>
        <w:t>et al</w:t>
      </w:r>
      <w:r w:rsidRPr="005759D1">
        <w:rPr>
          <w:rFonts w:asciiTheme="majorHAnsi" w:hAnsiTheme="majorHAnsi" w:cstheme="majorHAnsi"/>
          <w:sz w:val="22"/>
          <w:szCs w:val="22"/>
        </w:rPr>
        <w:t xml:space="preserve"> reported that detection of cardiac specific miR-208a in </w:t>
      </w:r>
      <w:r w:rsidRPr="005759D1">
        <w:rPr>
          <w:rFonts w:asciiTheme="majorHAnsi" w:hAnsiTheme="majorHAnsi" w:cstheme="majorHAnsi"/>
          <w:sz w:val="22"/>
          <w:szCs w:val="22"/>
        </w:rPr>
        <w:lastRenderedPageBreak/>
        <w:t>serum represented a novel marker for early detection of myocardial injury in the context of acute MI (</w:t>
      </w:r>
      <w:r w:rsidRPr="005759D1">
        <w:rPr>
          <w:rFonts w:asciiTheme="majorHAnsi" w:hAnsiTheme="majorHAnsi" w:cstheme="majorHAnsi"/>
          <w:color w:val="FF0000"/>
          <w:sz w:val="22"/>
          <w:szCs w:val="22"/>
        </w:rPr>
        <w:t>34</w:t>
      </w:r>
      <w:r w:rsidRPr="005759D1">
        <w:rPr>
          <w:rFonts w:asciiTheme="majorHAnsi" w:hAnsiTheme="majorHAnsi" w:cstheme="majorHAnsi"/>
          <w:sz w:val="22"/>
          <w:szCs w:val="22"/>
        </w:rPr>
        <w:t xml:space="preserve">).  Similar findings were reported by Adachi </w:t>
      </w:r>
      <w:r w:rsidRPr="005759D1">
        <w:rPr>
          <w:rFonts w:asciiTheme="majorHAnsi" w:hAnsiTheme="majorHAnsi" w:cstheme="majorHAnsi"/>
          <w:i/>
          <w:sz w:val="22"/>
          <w:szCs w:val="22"/>
        </w:rPr>
        <w:t>et al</w:t>
      </w:r>
      <w:r w:rsidRPr="005759D1">
        <w:rPr>
          <w:rFonts w:asciiTheme="majorHAnsi" w:hAnsiTheme="majorHAnsi" w:cstheme="majorHAnsi"/>
          <w:sz w:val="22"/>
          <w:szCs w:val="22"/>
        </w:rPr>
        <w:t xml:space="preserve"> for cardiac-specific miRNA 499 which was only detected in subjects who experienced cardiac injury related to MI event (</w:t>
      </w:r>
      <w:r w:rsidRPr="005759D1">
        <w:rPr>
          <w:rFonts w:asciiTheme="majorHAnsi" w:hAnsiTheme="majorHAnsi" w:cstheme="majorHAnsi"/>
          <w:color w:val="FF0000"/>
          <w:sz w:val="22"/>
          <w:szCs w:val="22"/>
        </w:rPr>
        <w:t>35</w:t>
      </w:r>
      <w:r w:rsidRPr="005759D1">
        <w:rPr>
          <w:rFonts w:asciiTheme="majorHAnsi" w:hAnsiTheme="majorHAnsi" w:cstheme="majorHAnsi"/>
          <w:sz w:val="22"/>
          <w:szCs w:val="22"/>
        </w:rPr>
        <w:t xml:space="preserve">).  An interesting report by Fichtlscherer </w:t>
      </w:r>
      <w:r w:rsidRPr="005759D1">
        <w:rPr>
          <w:rFonts w:asciiTheme="majorHAnsi" w:hAnsiTheme="majorHAnsi" w:cstheme="majorHAnsi"/>
          <w:i/>
          <w:sz w:val="22"/>
          <w:szCs w:val="22"/>
        </w:rPr>
        <w:t>et a</w:t>
      </w:r>
      <w:r w:rsidRPr="005759D1">
        <w:rPr>
          <w:rFonts w:asciiTheme="majorHAnsi" w:hAnsiTheme="majorHAnsi" w:cstheme="majorHAnsi"/>
          <w:sz w:val="22"/>
          <w:szCs w:val="22"/>
        </w:rPr>
        <w:t>l profiled microRNA expression patterns in CAD.  These authors created CAD-associated profiles by comparing miRNA levels in subjects with CAD and controls.  They observed down regulation of levels of endothelial cell-expressed miR-126 and miR-17~92, inflammation associated miR-155, smooth muscle-enriched miR-145 and elevation of cardiac muscle enriched miR-133a and miR-208a in 8 patients with CAD compared to 8 controls and were able to validate results in an expanded cohort of cases and controls (</w:t>
      </w:r>
      <w:r w:rsidRPr="005759D1">
        <w:rPr>
          <w:rFonts w:asciiTheme="majorHAnsi" w:hAnsiTheme="majorHAnsi" w:cstheme="majorHAnsi"/>
          <w:color w:val="FF0000"/>
          <w:sz w:val="22"/>
          <w:szCs w:val="22"/>
        </w:rPr>
        <w:t>36</w:t>
      </w:r>
      <w:r w:rsidRPr="005759D1">
        <w:rPr>
          <w:rFonts w:asciiTheme="majorHAnsi" w:hAnsiTheme="majorHAnsi" w:cstheme="majorHAnsi"/>
          <w:sz w:val="22"/>
          <w:szCs w:val="22"/>
        </w:rPr>
        <w:t>)</w:t>
      </w:r>
      <w:r w:rsidR="00973342" w:rsidRPr="005759D1">
        <w:rPr>
          <w:rFonts w:asciiTheme="majorHAnsi" w:hAnsiTheme="majorHAnsi" w:cstheme="majorHAnsi"/>
          <w:sz w:val="22"/>
          <w:szCs w:val="22"/>
        </w:rPr>
        <w:t>.</w:t>
      </w:r>
      <w:r w:rsidRPr="005759D1">
        <w:rPr>
          <w:rFonts w:asciiTheme="majorHAnsi" w:hAnsiTheme="majorHAnsi" w:cstheme="majorHAnsi"/>
          <w:sz w:val="22"/>
          <w:szCs w:val="22"/>
        </w:rPr>
        <w:t xml:space="preserve">  Lu </w:t>
      </w:r>
      <w:r w:rsidRPr="005759D1">
        <w:rPr>
          <w:rFonts w:asciiTheme="majorHAnsi" w:hAnsiTheme="majorHAnsi" w:cstheme="majorHAnsi"/>
          <w:i/>
          <w:sz w:val="22"/>
          <w:szCs w:val="22"/>
        </w:rPr>
        <w:t>et al</w:t>
      </w:r>
      <w:r w:rsidRPr="005759D1">
        <w:rPr>
          <w:rFonts w:asciiTheme="majorHAnsi" w:hAnsiTheme="majorHAnsi" w:cstheme="majorHAnsi"/>
          <w:sz w:val="22"/>
          <w:szCs w:val="22"/>
        </w:rPr>
        <w:t xml:space="preserve"> undertook a miRNA transcriptome study in tissue from dogs with experimentally induced AF and humans with AF in the context of rheumatic heart disease.  These authors noted that the highest elevation in humans was noted with miR328, which upregulated Ca channel gene expression, thereby providing a novel insight into mechanisms underlying adverse atrial electrical remodeling which had not been known previously (</w:t>
      </w:r>
      <w:r w:rsidRPr="005759D1">
        <w:rPr>
          <w:rFonts w:asciiTheme="majorHAnsi" w:hAnsiTheme="majorHAnsi" w:cstheme="majorHAnsi"/>
          <w:color w:val="FF0000"/>
          <w:sz w:val="22"/>
          <w:szCs w:val="22"/>
        </w:rPr>
        <w:t>33</w:t>
      </w:r>
      <w:r w:rsidRPr="005759D1">
        <w:rPr>
          <w:rFonts w:asciiTheme="majorHAnsi" w:hAnsiTheme="majorHAnsi" w:cstheme="majorHAnsi"/>
          <w:sz w:val="22"/>
          <w:szCs w:val="22"/>
        </w:rPr>
        <w:t xml:space="preserve">). </w:t>
      </w:r>
    </w:p>
    <w:p w:rsidR="00AF3FED" w:rsidRPr="005759D1" w:rsidRDefault="00AF3FED" w:rsidP="00AF3FED">
      <w:pPr>
        <w:rPr>
          <w:rFonts w:asciiTheme="majorHAnsi" w:hAnsiTheme="majorHAnsi" w:cstheme="majorHAnsi"/>
          <w:sz w:val="22"/>
          <w:szCs w:val="22"/>
        </w:rPr>
      </w:pPr>
    </w:p>
    <w:p w:rsidR="00AF3FED" w:rsidRPr="005759D1" w:rsidRDefault="00AF3FED" w:rsidP="00AF3FED">
      <w:pPr>
        <w:rPr>
          <w:rFonts w:asciiTheme="majorHAnsi" w:hAnsiTheme="majorHAnsi" w:cstheme="majorHAnsi"/>
          <w:sz w:val="22"/>
          <w:szCs w:val="22"/>
        </w:rPr>
      </w:pPr>
      <w:r w:rsidRPr="005759D1">
        <w:rPr>
          <w:rFonts w:asciiTheme="majorHAnsi" w:hAnsiTheme="majorHAnsi" w:cstheme="majorHAnsi"/>
          <w:sz w:val="22"/>
          <w:szCs w:val="22"/>
        </w:rPr>
        <w:t xml:space="preserve">Notably, while these studies have advanced </w:t>
      </w:r>
      <w:r w:rsidR="00215BFF" w:rsidRPr="005759D1">
        <w:rPr>
          <w:rFonts w:asciiTheme="majorHAnsi" w:hAnsiTheme="majorHAnsi" w:cstheme="majorHAnsi"/>
          <w:sz w:val="22"/>
          <w:szCs w:val="22"/>
        </w:rPr>
        <w:t xml:space="preserve">our </w:t>
      </w:r>
      <w:r w:rsidRPr="005759D1">
        <w:rPr>
          <w:rFonts w:asciiTheme="majorHAnsi" w:hAnsiTheme="majorHAnsi" w:cstheme="majorHAnsi"/>
          <w:sz w:val="22"/>
          <w:szCs w:val="22"/>
        </w:rPr>
        <w:t xml:space="preserve">understanding </w:t>
      </w:r>
      <w:r w:rsidR="00215BFF" w:rsidRPr="005759D1">
        <w:rPr>
          <w:rFonts w:asciiTheme="majorHAnsi" w:hAnsiTheme="majorHAnsi" w:cstheme="majorHAnsi"/>
          <w:sz w:val="22"/>
          <w:szCs w:val="22"/>
        </w:rPr>
        <w:t xml:space="preserve">of </w:t>
      </w:r>
      <w:r w:rsidRPr="005759D1">
        <w:rPr>
          <w:rFonts w:asciiTheme="majorHAnsi" w:hAnsiTheme="majorHAnsi" w:cstheme="majorHAnsi"/>
          <w:sz w:val="22"/>
          <w:szCs w:val="22"/>
        </w:rPr>
        <w:t xml:space="preserve">patterns of miRNA regulation of gene expression at the level of tissue expression following onset of AF, </w:t>
      </w:r>
      <w:r w:rsidRPr="005759D1">
        <w:rPr>
          <w:rFonts w:asciiTheme="majorHAnsi" w:hAnsiTheme="majorHAnsi" w:cstheme="majorHAnsi"/>
          <w:b/>
          <w:sz w:val="22"/>
          <w:szCs w:val="22"/>
        </w:rPr>
        <w:t>to date no studies have explored whether levels of miRNA in circulation are predictive of onset of POAF in the subset of patients who are at increased risk for its development</w:t>
      </w:r>
      <w:r w:rsidRPr="005759D1">
        <w:rPr>
          <w:rFonts w:asciiTheme="majorHAnsi" w:hAnsiTheme="majorHAnsi" w:cstheme="majorHAnsi"/>
          <w:sz w:val="22"/>
          <w:szCs w:val="22"/>
        </w:rPr>
        <w:t>.  Conceivably an argument for potential variability in miRNA among patients could be made based on risk profiles that have recently been developed in an effort to project which patients may develop POAF.</w:t>
      </w:r>
    </w:p>
    <w:p w:rsidR="00821612" w:rsidRPr="005759D1" w:rsidRDefault="00821612" w:rsidP="00AF3FED">
      <w:pPr>
        <w:rPr>
          <w:rFonts w:asciiTheme="majorHAnsi" w:hAnsiTheme="majorHAnsi" w:cstheme="majorHAnsi"/>
          <w:sz w:val="22"/>
          <w:szCs w:val="22"/>
        </w:rPr>
      </w:pPr>
    </w:p>
    <w:p w:rsidR="00821612" w:rsidRPr="005759D1" w:rsidRDefault="00821612" w:rsidP="00AF3FED">
      <w:pPr>
        <w:rPr>
          <w:rFonts w:asciiTheme="majorHAnsi" w:hAnsiTheme="majorHAnsi" w:cstheme="majorHAnsi"/>
          <w:sz w:val="22"/>
          <w:szCs w:val="22"/>
        </w:rPr>
      </w:pPr>
    </w:p>
    <w:p w:rsidR="00821612" w:rsidRPr="005759D1" w:rsidRDefault="00821612" w:rsidP="00AF3FED">
      <w:pPr>
        <w:rPr>
          <w:rFonts w:asciiTheme="majorHAnsi" w:hAnsiTheme="majorHAnsi" w:cstheme="majorHAnsi"/>
          <w:sz w:val="22"/>
          <w:szCs w:val="22"/>
        </w:rPr>
      </w:pPr>
    </w:p>
    <w:p w:rsidR="00821612" w:rsidRPr="005759D1" w:rsidRDefault="00821612" w:rsidP="00AF3FED">
      <w:pPr>
        <w:rPr>
          <w:rFonts w:asciiTheme="majorHAnsi" w:hAnsiTheme="majorHAnsi" w:cstheme="majorHAnsi"/>
          <w:b/>
          <w:sz w:val="22"/>
          <w:szCs w:val="22"/>
        </w:rPr>
        <w:sectPr w:rsidR="00821612" w:rsidRPr="005759D1" w:rsidSect="0028121D">
          <w:headerReference w:type="default" r:id="rId8"/>
          <w:footerReference w:type="even" r:id="rId9"/>
          <w:footerReference w:type="default" r:id="rId10"/>
          <w:pgSz w:w="12240" w:h="15840"/>
          <w:pgMar w:top="720" w:right="720" w:bottom="720" w:left="720" w:header="720" w:footer="720" w:gutter="0"/>
          <w:cols w:space="720"/>
          <w:docGrid w:linePitch="360"/>
        </w:sectPr>
      </w:pPr>
    </w:p>
    <w:p w:rsidR="00AF3FED" w:rsidRPr="005759D1" w:rsidRDefault="00AF3FED" w:rsidP="00AF3FED">
      <w:pPr>
        <w:rPr>
          <w:rFonts w:asciiTheme="majorHAnsi" w:hAnsiTheme="majorHAnsi" w:cstheme="majorHAnsi"/>
          <w:sz w:val="22"/>
          <w:szCs w:val="22"/>
        </w:rPr>
      </w:pPr>
    </w:p>
    <w:p w:rsidR="00B72042"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Table A</w:t>
      </w:r>
    </w:p>
    <w:tbl>
      <w:tblPr>
        <w:tblStyle w:val="TableGrid"/>
        <w:tblW w:w="0" w:type="auto"/>
        <w:tblLayout w:type="fixed"/>
        <w:tblLook w:val="04A0" w:firstRow="1" w:lastRow="0" w:firstColumn="1" w:lastColumn="0" w:noHBand="0" w:noVBand="1"/>
      </w:tblPr>
      <w:tblGrid>
        <w:gridCol w:w="1368"/>
        <w:gridCol w:w="2340"/>
        <w:gridCol w:w="2880"/>
        <w:gridCol w:w="2880"/>
        <w:gridCol w:w="1980"/>
        <w:gridCol w:w="2430"/>
      </w:tblGrid>
      <w:tr w:rsidR="00B72042" w:rsidRPr="005759D1" w:rsidTr="00841B60">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miRNA</w:t>
            </w:r>
          </w:p>
        </w:tc>
        <w:tc>
          <w:tcPr>
            <w:tcW w:w="234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Target gene</w:t>
            </w:r>
          </w:p>
        </w:tc>
        <w:tc>
          <w:tcPr>
            <w:tcW w:w="288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Function</w:t>
            </w:r>
          </w:p>
        </w:tc>
        <w:tc>
          <w:tcPr>
            <w:tcW w:w="288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Putative role in AF</w:t>
            </w:r>
          </w:p>
        </w:tc>
        <w:tc>
          <w:tcPr>
            <w:tcW w:w="198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Species</w:t>
            </w:r>
          </w:p>
        </w:tc>
        <w:tc>
          <w:tcPr>
            <w:tcW w:w="243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Ref</w:t>
            </w:r>
          </w:p>
        </w:tc>
      </w:tr>
      <w:tr w:rsidR="00B72042" w:rsidRPr="005759D1" w:rsidTr="00841B60">
        <w:tc>
          <w:tcPr>
            <w:tcW w:w="1368" w:type="dxa"/>
          </w:tcPr>
          <w:p w:rsidR="00B72042" w:rsidRPr="005759D1" w:rsidRDefault="00B72042" w:rsidP="00B72042">
            <w:pPr>
              <w:rPr>
                <w:rFonts w:asciiTheme="majorHAnsi" w:hAnsiTheme="majorHAnsi" w:cstheme="majorHAnsi"/>
                <w:sz w:val="22"/>
                <w:szCs w:val="22"/>
              </w:rPr>
            </w:pPr>
            <w:r w:rsidRPr="005759D1">
              <w:rPr>
                <w:rFonts w:asciiTheme="majorHAnsi" w:hAnsiTheme="majorHAnsi" w:cstheme="majorHAnsi"/>
                <w:sz w:val="22"/>
                <w:szCs w:val="22"/>
              </w:rPr>
              <w:t>miR 1</w:t>
            </w:r>
          </w:p>
        </w:tc>
        <w:tc>
          <w:tcPr>
            <w:tcW w:w="2340"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KCNJ2/KIR21</w:t>
            </w:r>
          </w:p>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GJA1/Cx43</w:t>
            </w:r>
          </w:p>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HCN2</w:t>
            </w:r>
          </w:p>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Hsp 60/70</w:t>
            </w:r>
          </w:p>
        </w:tc>
        <w:tc>
          <w:tcPr>
            <w:tcW w:w="2880" w:type="dxa"/>
          </w:tcPr>
          <w:p w:rsidR="00B72042"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I</w:t>
            </w:r>
            <w:r w:rsidRPr="005759D1">
              <w:rPr>
                <w:rFonts w:asciiTheme="majorHAnsi" w:hAnsiTheme="majorHAnsi" w:cstheme="majorHAnsi"/>
                <w:sz w:val="22"/>
                <w:szCs w:val="22"/>
                <w:vertAlign w:val="subscript"/>
              </w:rPr>
              <w:t xml:space="preserve">k1 </w:t>
            </w:r>
            <w:r w:rsidRPr="005759D1">
              <w:rPr>
                <w:rFonts w:asciiTheme="majorHAnsi" w:hAnsiTheme="majorHAnsi" w:cstheme="majorHAnsi"/>
                <w:sz w:val="22"/>
                <w:szCs w:val="22"/>
              </w:rPr>
              <w:t>increase</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Slow conduction</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Enhance automaticity</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Pro apoptosis</w:t>
            </w:r>
          </w:p>
        </w:tc>
        <w:tc>
          <w:tcPr>
            <w:tcW w:w="2880" w:type="dxa"/>
          </w:tcPr>
          <w:p w:rsidR="00B72042"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Down regulation</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A-ER?</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Ectopic activity?</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A-SR?</w:t>
            </w:r>
          </w:p>
        </w:tc>
        <w:tc>
          <w:tcPr>
            <w:tcW w:w="1980" w:type="dxa"/>
          </w:tcPr>
          <w:p w:rsidR="003C2A0C" w:rsidRPr="005759D1" w:rsidRDefault="003C2A0C" w:rsidP="008C7FDC">
            <w:pPr>
              <w:rPr>
                <w:rFonts w:asciiTheme="majorHAnsi" w:hAnsiTheme="majorHAnsi" w:cstheme="majorHAnsi"/>
                <w:sz w:val="22"/>
                <w:szCs w:val="22"/>
              </w:rPr>
            </w:pPr>
            <w:r w:rsidRPr="005759D1">
              <w:rPr>
                <w:rFonts w:asciiTheme="majorHAnsi" w:hAnsiTheme="majorHAnsi" w:cstheme="majorHAnsi"/>
                <w:sz w:val="22"/>
                <w:szCs w:val="22"/>
              </w:rPr>
              <w:t>Hu tissue, myocytes</w:t>
            </w:r>
          </w:p>
          <w:p w:rsidR="00B72042" w:rsidRPr="005759D1" w:rsidRDefault="003C2A0C" w:rsidP="003C2A0C">
            <w:pPr>
              <w:rPr>
                <w:rFonts w:asciiTheme="majorHAnsi" w:hAnsiTheme="majorHAnsi" w:cstheme="majorHAnsi"/>
                <w:sz w:val="22"/>
                <w:szCs w:val="22"/>
              </w:rPr>
            </w:pPr>
            <w:r w:rsidRPr="005759D1">
              <w:rPr>
                <w:rFonts w:asciiTheme="majorHAnsi" w:hAnsiTheme="majorHAnsi" w:cstheme="majorHAnsi"/>
                <w:sz w:val="22"/>
                <w:szCs w:val="22"/>
              </w:rPr>
              <w:t xml:space="preserve">Rat </w:t>
            </w:r>
          </w:p>
        </w:tc>
        <w:tc>
          <w:tcPr>
            <w:tcW w:w="2430" w:type="dxa"/>
          </w:tcPr>
          <w:p w:rsidR="00B72042" w:rsidRPr="005759D1" w:rsidRDefault="004012F0" w:rsidP="008C7FDC">
            <w:pPr>
              <w:rPr>
                <w:rFonts w:asciiTheme="majorHAnsi" w:hAnsiTheme="majorHAnsi" w:cstheme="majorHAnsi"/>
                <w:sz w:val="22"/>
                <w:szCs w:val="22"/>
              </w:rPr>
            </w:pPr>
            <w:r w:rsidRPr="005759D1">
              <w:rPr>
                <w:rFonts w:asciiTheme="majorHAnsi" w:hAnsiTheme="majorHAnsi" w:cstheme="majorHAnsi"/>
                <w:sz w:val="22"/>
                <w:szCs w:val="22"/>
              </w:rPr>
              <w:t>Girmatsion 2009</w:t>
            </w:r>
          </w:p>
          <w:p w:rsidR="003C2A0C" w:rsidRPr="005759D1" w:rsidRDefault="003C2A0C" w:rsidP="008C7FDC">
            <w:pPr>
              <w:rPr>
                <w:rFonts w:asciiTheme="majorHAnsi" w:hAnsiTheme="majorHAnsi" w:cstheme="majorHAnsi"/>
                <w:sz w:val="22"/>
                <w:szCs w:val="22"/>
              </w:rPr>
            </w:pPr>
            <w:r w:rsidRPr="005759D1">
              <w:rPr>
                <w:rFonts w:asciiTheme="majorHAnsi" w:hAnsiTheme="majorHAnsi" w:cstheme="majorHAnsi"/>
                <w:sz w:val="22"/>
                <w:szCs w:val="22"/>
              </w:rPr>
              <w:t xml:space="preserve">Yang B 2007 </w:t>
            </w:r>
          </w:p>
          <w:p w:rsidR="00233E4C" w:rsidRPr="005759D1" w:rsidRDefault="00233E4C" w:rsidP="008C7FDC">
            <w:pPr>
              <w:rPr>
                <w:rFonts w:asciiTheme="majorHAnsi" w:hAnsiTheme="majorHAnsi" w:cstheme="majorHAnsi"/>
                <w:sz w:val="22"/>
                <w:szCs w:val="22"/>
              </w:rPr>
            </w:pPr>
            <w:r w:rsidRPr="005759D1">
              <w:rPr>
                <w:rFonts w:asciiTheme="majorHAnsi" w:hAnsiTheme="majorHAnsi" w:cstheme="majorHAnsi"/>
                <w:sz w:val="22"/>
                <w:szCs w:val="22"/>
              </w:rPr>
              <w:t>Luo X 2008</w:t>
            </w:r>
          </w:p>
          <w:p w:rsidR="004012F0" w:rsidRPr="005759D1" w:rsidRDefault="008C64C7" w:rsidP="0045187A">
            <w:pPr>
              <w:rPr>
                <w:rFonts w:asciiTheme="majorHAnsi" w:hAnsiTheme="majorHAnsi" w:cstheme="majorHAnsi"/>
                <w:sz w:val="22"/>
                <w:szCs w:val="22"/>
              </w:rPr>
            </w:pPr>
            <w:r w:rsidRPr="005759D1">
              <w:rPr>
                <w:rFonts w:asciiTheme="majorHAnsi" w:hAnsiTheme="majorHAnsi" w:cstheme="majorHAnsi"/>
                <w:sz w:val="22"/>
                <w:szCs w:val="22"/>
              </w:rPr>
              <w:t>Terentyev D 2009</w:t>
            </w:r>
          </w:p>
        </w:tc>
      </w:tr>
      <w:tr w:rsidR="00B72042" w:rsidRPr="005759D1" w:rsidTr="00841B60">
        <w:trPr>
          <w:trHeight w:val="665"/>
        </w:trPr>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 328</w:t>
            </w:r>
          </w:p>
        </w:tc>
        <w:tc>
          <w:tcPr>
            <w:tcW w:w="2340" w:type="dxa"/>
          </w:tcPr>
          <w:p w:rsidR="00B72042"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CACNA1C/Cav1.2</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CACNB1/Cavβ1</w:t>
            </w:r>
          </w:p>
        </w:tc>
        <w:tc>
          <w:tcPr>
            <w:tcW w:w="2880" w:type="dxa"/>
          </w:tcPr>
          <w:p w:rsidR="00B72042"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I</w:t>
            </w:r>
            <w:r w:rsidRPr="005759D1">
              <w:rPr>
                <w:rFonts w:asciiTheme="majorHAnsi" w:hAnsiTheme="majorHAnsi" w:cstheme="majorHAnsi"/>
                <w:sz w:val="22"/>
                <w:szCs w:val="22"/>
                <w:vertAlign w:val="subscript"/>
              </w:rPr>
              <w:t xml:space="preserve">CAL </w:t>
            </w:r>
            <w:r w:rsidRPr="005759D1">
              <w:rPr>
                <w:rFonts w:asciiTheme="majorHAnsi" w:hAnsiTheme="majorHAnsi" w:cstheme="majorHAnsi"/>
                <w:sz w:val="22"/>
                <w:szCs w:val="22"/>
              </w:rPr>
              <w:t>reduction</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APD shortening</w:t>
            </w:r>
          </w:p>
        </w:tc>
        <w:tc>
          <w:tcPr>
            <w:tcW w:w="2880" w:type="dxa"/>
          </w:tcPr>
          <w:p w:rsidR="00B72042"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Up regulation</w:t>
            </w:r>
          </w:p>
          <w:p w:rsidR="00A63C54"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A-ER</w:t>
            </w:r>
          </w:p>
        </w:tc>
        <w:tc>
          <w:tcPr>
            <w:tcW w:w="1980" w:type="dxa"/>
          </w:tcPr>
          <w:p w:rsidR="00B72042" w:rsidRPr="005759D1" w:rsidRDefault="004012F0" w:rsidP="008C7FDC">
            <w:pPr>
              <w:rPr>
                <w:rFonts w:asciiTheme="majorHAnsi" w:hAnsiTheme="majorHAnsi" w:cstheme="majorHAnsi"/>
                <w:sz w:val="22"/>
                <w:szCs w:val="22"/>
              </w:rPr>
            </w:pPr>
            <w:r w:rsidRPr="005759D1">
              <w:rPr>
                <w:rFonts w:asciiTheme="majorHAnsi" w:hAnsiTheme="majorHAnsi" w:cstheme="majorHAnsi"/>
                <w:sz w:val="22"/>
                <w:szCs w:val="22"/>
              </w:rPr>
              <w:t>Dogs</w:t>
            </w:r>
          </w:p>
        </w:tc>
        <w:tc>
          <w:tcPr>
            <w:tcW w:w="2430" w:type="dxa"/>
          </w:tcPr>
          <w:p w:rsidR="00B72042" w:rsidRPr="005759D1" w:rsidRDefault="004012F0" w:rsidP="008C64C7">
            <w:pPr>
              <w:rPr>
                <w:rFonts w:asciiTheme="majorHAnsi" w:hAnsiTheme="majorHAnsi" w:cstheme="majorHAnsi"/>
                <w:sz w:val="22"/>
                <w:szCs w:val="22"/>
              </w:rPr>
            </w:pPr>
            <w:r w:rsidRPr="005759D1">
              <w:rPr>
                <w:rFonts w:asciiTheme="majorHAnsi" w:hAnsiTheme="majorHAnsi" w:cstheme="majorHAnsi"/>
                <w:sz w:val="22"/>
                <w:szCs w:val="22"/>
              </w:rPr>
              <w:t>Lu Y 2010</w:t>
            </w:r>
          </w:p>
        </w:tc>
      </w:tr>
      <w:tr w:rsidR="00B72042" w:rsidRPr="005759D1" w:rsidTr="00841B60">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miR133</w:t>
            </w:r>
          </w:p>
        </w:tc>
        <w:tc>
          <w:tcPr>
            <w:tcW w:w="2340" w:type="dxa"/>
          </w:tcPr>
          <w:p w:rsidR="00B72042"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KCNH2,KCNQ1</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HCN2,HCN4</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TGF β1, TGFBRII</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CTGF</w:t>
            </w:r>
          </w:p>
          <w:p w:rsidR="005F5E91"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Caspase 9</w:t>
            </w:r>
          </w:p>
        </w:tc>
        <w:tc>
          <w:tcPr>
            <w:tcW w:w="2880" w:type="dxa"/>
          </w:tcPr>
          <w:p w:rsidR="00AF3FED"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APD prolongation</w:t>
            </w:r>
          </w:p>
          <w:p w:rsidR="00AF3FED" w:rsidRPr="005759D1" w:rsidRDefault="00AF3FED" w:rsidP="00AF3FED">
            <w:pPr>
              <w:rPr>
                <w:rFonts w:asciiTheme="majorHAnsi" w:hAnsiTheme="majorHAnsi" w:cstheme="majorHAnsi"/>
                <w:sz w:val="22"/>
                <w:szCs w:val="22"/>
              </w:rPr>
            </w:pPr>
            <w:r w:rsidRPr="005759D1">
              <w:rPr>
                <w:rFonts w:asciiTheme="majorHAnsi" w:hAnsiTheme="majorHAnsi" w:cstheme="majorHAnsi"/>
                <w:sz w:val="22"/>
                <w:szCs w:val="22"/>
              </w:rPr>
              <w:t>Enhance automaticity</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Anti fibrosis</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Matrix remodeling</w:t>
            </w:r>
          </w:p>
          <w:p w:rsidR="00AF3FED"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Anti apoptosis</w:t>
            </w:r>
          </w:p>
        </w:tc>
        <w:tc>
          <w:tcPr>
            <w:tcW w:w="2880" w:type="dxa"/>
          </w:tcPr>
          <w:p w:rsidR="00B72042" w:rsidRPr="005759D1" w:rsidRDefault="00B72042" w:rsidP="008C7FDC">
            <w:pPr>
              <w:rPr>
                <w:rFonts w:asciiTheme="majorHAnsi" w:hAnsiTheme="majorHAnsi" w:cstheme="majorHAnsi"/>
                <w:sz w:val="22"/>
                <w:szCs w:val="22"/>
              </w:rPr>
            </w:pPr>
          </w:p>
          <w:p w:rsidR="00A63C54"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Down regulation</w:t>
            </w:r>
          </w:p>
          <w:p w:rsidR="00A63C54"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A-SR</w:t>
            </w:r>
          </w:p>
          <w:p w:rsidR="00A63C54"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Ectopic activity?</w:t>
            </w:r>
          </w:p>
        </w:tc>
        <w:tc>
          <w:tcPr>
            <w:tcW w:w="1980" w:type="dxa"/>
          </w:tcPr>
          <w:p w:rsidR="00973A47" w:rsidRPr="005759D1" w:rsidRDefault="0045187A" w:rsidP="00973A47">
            <w:pPr>
              <w:rPr>
                <w:rFonts w:asciiTheme="majorHAnsi" w:hAnsiTheme="majorHAnsi" w:cstheme="majorHAnsi"/>
                <w:sz w:val="22"/>
                <w:szCs w:val="22"/>
              </w:rPr>
            </w:pPr>
            <w:r w:rsidRPr="005759D1">
              <w:rPr>
                <w:rFonts w:asciiTheme="majorHAnsi" w:hAnsiTheme="majorHAnsi" w:cstheme="majorHAnsi"/>
                <w:sz w:val="22"/>
                <w:szCs w:val="22"/>
              </w:rPr>
              <w:t xml:space="preserve">Rat, </w:t>
            </w:r>
            <w:r w:rsidR="00973A47" w:rsidRPr="005759D1">
              <w:rPr>
                <w:rFonts w:asciiTheme="majorHAnsi" w:hAnsiTheme="majorHAnsi" w:cstheme="majorHAnsi"/>
                <w:sz w:val="22"/>
                <w:szCs w:val="22"/>
              </w:rPr>
              <w:t xml:space="preserve">dogs </w:t>
            </w:r>
          </w:p>
          <w:p w:rsidR="0045187A" w:rsidRPr="005759D1" w:rsidRDefault="0045187A" w:rsidP="003C2A0C">
            <w:pPr>
              <w:rPr>
                <w:rFonts w:asciiTheme="majorHAnsi" w:hAnsiTheme="majorHAnsi" w:cstheme="majorHAnsi"/>
                <w:sz w:val="22"/>
                <w:szCs w:val="22"/>
              </w:rPr>
            </w:pPr>
            <w:r w:rsidRPr="005759D1">
              <w:rPr>
                <w:rFonts w:asciiTheme="majorHAnsi" w:hAnsiTheme="majorHAnsi" w:cstheme="majorHAnsi"/>
                <w:sz w:val="22"/>
                <w:szCs w:val="22"/>
              </w:rPr>
              <w:t>Hu biopsy</w:t>
            </w:r>
            <w:r w:rsidR="00233E4C" w:rsidRPr="005759D1">
              <w:rPr>
                <w:rFonts w:asciiTheme="majorHAnsi" w:hAnsiTheme="majorHAnsi" w:cstheme="majorHAnsi"/>
                <w:sz w:val="22"/>
                <w:szCs w:val="22"/>
              </w:rPr>
              <w:t xml:space="preserve">, </w:t>
            </w:r>
            <w:r w:rsidR="00973A47" w:rsidRPr="005759D1">
              <w:rPr>
                <w:rFonts w:asciiTheme="majorHAnsi" w:hAnsiTheme="majorHAnsi" w:cstheme="majorHAnsi"/>
                <w:sz w:val="22"/>
                <w:szCs w:val="22"/>
              </w:rPr>
              <w:t xml:space="preserve"> </w:t>
            </w:r>
            <w:r w:rsidR="003C2A0C" w:rsidRPr="005759D1">
              <w:rPr>
                <w:rFonts w:asciiTheme="majorHAnsi" w:hAnsiTheme="majorHAnsi" w:cstheme="majorHAnsi"/>
                <w:sz w:val="22"/>
                <w:szCs w:val="22"/>
              </w:rPr>
              <w:t>rabbits</w:t>
            </w:r>
          </w:p>
        </w:tc>
        <w:tc>
          <w:tcPr>
            <w:tcW w:w="2430" w:type="dxa"/>
          </w:tcPr>
          <w:p w:rsidR="0045187A" w:rsidRPr="005759D1" w:rsidRDefault="0045187A" w:rsidP="008C7FDC">
            <w:pPr>
              <w:rPr>
                <w:rFonts w:asciiTheme="majorHAnsi" w:hAnsiTheme="majorHAnsi" w:cstheme="majorHAnsi"/>
                <w:sz w:val="22"/>
                <w:szCs w:val="22"/>
              </w:rPr>
            </w:pPr>
            <w:r w:rsidRPr="005759D1">
              <w:rPr>
                <w:rFonts w:asciiTheme="majorHAnsi" w:hAnsiTheme="majorHAnsi" w:cstheme="majorHAnsi"/>
                <w:sz w:val="22"/>
                <w:szCs w:val="22"/>
              </w:rPr>
              <w:t>Duisters RF 2009</w:t>
            </w:r>
          </w:p>
          <w:p w:rsidR="00233E4C" w:rsidRPr="005759D1" w:rsidRDefault="00233E4C" w:rsidP="008C7FDC">
            <w:pPr>
              <w:rPr>
                <w:rFonts w:asciiTheme="majorHAnsi" w:hAnsiTheme="majorHAnsi" w:cstheme="majorHAnsi"/>
                <w:sz w:val="22"/>
                <w:szCs w:val="22"/>
              </w:rPr>
            </w:pPr>
            <w:r w:rsidRPr="005759D1">
              <w:rPr>
                <w:rFonts w:asciiTheme="majorHAnsi" w:hAnsiTheme="majorHAnsi" w:cstheme="majorHAnsi"/>
                <w:sz w:val="22"/>
                <w:szCs w:val="22"/>
              </w:rPr>
              <w:t>Shan H 2009</w:t>
            </w:r>
          </w:p>
          <w:p w:rsidR="00233E4C" w:rsidRPr="005759D1" w:rsidRDefault="00233E4C" w:rsidP="008C7FDC">
            <w:pPr>
              <w:rPr>
                <w:rFonts w:asciiTheme="majorHAnsi" w:hAnsiTheme="majorHAnsi" w:cstheme="majorHAnsi"/>
                <w:sz w:val="22"/>
                <w:szCs w:val="22"/>
              </w:rPr>
            </w:pPr>
            <w:r w:rsidRPr="005759D1">
              <w:rPr>
                <w:rFonts w:asciiTheme="majorHAnsi" w:hAnsiTheme="majorHAnsi" w:cstheme="majorHAnsi"/>
                <w:sz w:val="22"/>
                <w:szCs w:val="22"/>
              </w:rPr>
              <w:t>Luo X 2008</w:t>
            </w:r>
          </w:p>
          <w:p w:rsidR="00233E4C" w:rsidRPr="005759D1" w:rsidRDefault="00233E4C" w:rsidP="008C7FDC">
            <w:pPr>
              <w:rPr>
                <w:rFonts w:asciiTheme="majorHAnsi" w:hAnsiTheme="majorHAnsi" w:cstheme="majorHAnsi"/>
                <w:sz w:val="22"/>
                <w:szCs w:val="22"/>
              </w:rPr>
            </w:pPr>
            <w:r w:rsidRPr="005759D1">
              <w:rPr>
                <w:rFonts w:asciiTheme="majorHAnsi" w:hAnsiTheme="majorHAnsi" w:cstheme="majorHAnsi"/>
                <w:sz w:val="22"/>
                <w:szCs w:val="22"/>
              </w:rPr>
              <w:t>Xiao J 2007</w:t>
            </w:r>
          </w:p>
          <w:p w:rsidR="008C64C7"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Wang Z 2011</w:t>
            </w:r>
          </w:p>
        </w:tc>
      </w:tr>
      <w:tr w:rsidR="00B72042" w:rsidRPr="005759D1" w:rsidTr="00841B60">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 590</w:t>
            </w:r>
          </w:p>
        </w:tc>
        <w:tc>
          <w:tcPr>
            <w:tcW w:w="2340" w:type="dxa"/>
          </w:tcPr>
          <w:p w:rsidR="00B72042" w:rsidRPr="005759D1" w:rsidRDefault="005F5E91" w:rsidP="008C7FDC">
            <w:pPr>
              <w:rPr>
                <w:rFonts w:asciiTheme="majorHAnsi" w:hAnsiTheme="majorHAnsi" w:cstheme="majorHAnsi"/>
                <w:sz w:val="22"/>
                <w:szCs w:val="22"/>
              </w:rPr>
            </w:pPr>
            <w:r w:rsidRPr="005759D1">
              <w:rPr>
                <w:rFonts w:asciiTheme="majorHAnsi" w:hAnsiTheme="majorHAnsi" w:cstheme="majorHAnsi"/>
                <w:sz w:val="22"/>
                <w:szCs w:val="22"/>
              </w:rPr>
              <w:t>TGF β1, TGFBRII</w:t>
            </w:r>
          </w:p>
        </w:tc>
        <w:tc>
          <w:tcPr>
            <w:tcW w:w="2880" w:type="dxa"/>
          </w:tcPr>
          <w:p w:rsidR="00B72042"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Anti fibrosis</w:t>
            </w:r>
          </w:p>
        </w:tc>
        <w:tc>
          <w:tcPr>
            <w:tcW w:w="2880" w:type="dxa"/>
          </w:tcPr>
          <w:p w:rsidR="00B72042"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Down regulation</w:t>
            </w:r>
          </w:p>
          <w:p w:rsidR="00A63C54"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A-SR</w:t>
            </w:r>
          </w:p>
        </w:tc>
        <w:tc>
          <w:tcPr>
            <w:tcW w:w="1980" w:type="dxa"/>
          </w:tcPr>
          <w:p w:rsidR="00B72042"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Dogs</w:t>
            </w:r>
          </w:p>
        </w:tc>
        <w:tc>
          <w:tcPr>
            <w:tcW w:w="2430" w:type="dxa"/>
          </w:tcPr>
          <w:p w:rsidR="008C64C7" w:rsidRPr="005759D1" w:rsidRDefault="008C64C7" w:rsidP="008C64C7">
            <w:pPr>
              <w:rPr>
                <w:rFonts w:asciiTheme="majorHAnsi" w:hAnsiTheme="majorHAnsi" w:cstheme="majorHAnsi"/>
                <w:sz w:val="22"/>
                <w:szCs w:val="22"/>
              </w:rPr>
            </w:pPr>
            <w:r w:rsidRPr="005759D1">
              <w:rPr>
                <w:rFonts w:asciiTheme="majorHAnsi" w:hAnsiTheme="majorHAnsi" w:cstheme="majorHAnsi"/>
                <w:sz w:val="22"/>
                <w:szCs w:val="22"/>
              </w:rPr>
              <w:t>Shan H 2009</w:t>
            </w:r>
          </w:p>
          <w:p w:rsidR="00B72042" w:rsidRPr="005759D1" w:rsidRDefault="00B72042" w:rsidP="008C7FDC">
            <w:pPr>
              <w:rPr>
                <w:rFonts w:asciiTheme="majorHAnsi" w:hAnsiTheme="majorHAnsi" w:cstheme="majorHAnsi"/>
                <w:sz w:val="22"/>
                <w:szCs w:val="22"/>
              </w:rPr>
            </w:pPr>
          </w:p>
        </w:tc>
      </w:tr>
      <w:tr w:rsidR="00B72042" w:rsidRPr="005759D1" w:rsidTr="00841B60">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 208</w:t>
            </w:r>
            <w:r w:rsidR="00233E4C" w:rsidRPr="005759D1">
              <w:rPr>
                <w:rFonts w:asciiTheme="majorHAnsi" w:hAnsiTheme="majorHAnsi" w:cstheme="majorHAnsi"/>
                <w:sz w:val="22"/>
                <w:szCs w:val="22"/>
              </w:rPr>
              <w:t>a</w:t>
            </w:r>
          </w:p>
        </w:tc>
        <w:tc>
          <w:tcPr>
            <w:tcW w:w="2340" w:type="dxa"/>
          </w:tcPr>
          <w:p w:rsidR="00B72042"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MYH 6, MYH 7</w:t>
            </w:r>
          </w:p>
        </w:tc>
        <w:tc>
          <w:tcPr>
            <w:tcW w:w="2880" w:type="dxa"/>
          </w:tcPr>
          <w:p w:rsidR="00B72042"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Hypertrophic  growth</w:t>
            </w:r>
          </w:p>
        </w:tc>
        <w:tc>
          <w:tcPr>
            <w:tcW w:w="2880" w:type="dxa"/>
          </w:tcPr>
          <w:p w:rsidR="00B72042"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Cardiac conduction</w:t>
            </w:r>
          </w:p>
        </w:tc>
        <w:tc>
          <w:tcPr>
            <w:tcW w:w="1980" w:type="dxa"/>
          </w:tcPr>
          <w:p w:rsidR="00B72042" w:rsidRPr="005759D1" w:rsidRDefault="008C64C7" w:rsidP="008C7FDC">
            <w:pPr>
              <w:rPr>
                <w:rFonts w:asciiTheme="majorHAnsi" w:hAnsiTheme="majorHAnsi" w:cstheme="majorHAnsi"/>
                <w:sz w:val="22"/>
                <w:szCs w:val="22"/>
              </w:rPr>
            </w:pPr>
            <w:r w:rsidRPr="005759D1">
              <w:rPr>
                <w:rFonts w:asciiTheme="majorHAnsi" w:hAnsiTheme="majorHAnsi" w:cstheme="majorHAnsi"/>
                <w:sz w:val="22"/>
                <w:szCs w:val="22"/>
              </w:rPr>
              <w:t>Mice</w:t>
            </w:r>
          </w:p>
        </w:tc>
        <w:tc>
          <w:tcPr>
            <w:tcW w:w="2430" w:type="dxa"/>
          </w:tcPr>
          <w:p w:rsidR="00B72042" w:rsidRPr="005759D1" w:rsidRDefault="008C64C7" w:rsidP="008C64C7">
            <w:pPr>
              <w:rPr>
                <w:rFonts w:asciiTheme="majorHAnsi" w:hAnsiTheme="majorHAnsi" w:cstheme="majorHAnsi"/>
                <w:sz w:val="22"/>
                <w:szCs w:val="22"/>
              </w:rPr>
            </w:pPr>
            <w:r w:rsidRPr="005759D1">
              <w:rPr>
                <w:rFonts w:asciiTheme="majorHAnsi" w:hAnsiTheme="majorHAnsi" w:cstheme="majorHAnsi"/>
                <w:sz w:val="22"/>
                <w:szCs w:val="22"/>
              </w:rPr>
              <w:t>Callis TE 2009</w:t>
            </w:r>
          </w:p>
        </w:tc>
      </w:tr>
      <w:tr w:rsidR="00B9021E" w:rsidRPr="005759D1" w:rsidTr="003C2A0C">
        <w:tc>
          <w:tcPr>
            <w:tcW w:w="1368" w:type="dxa"/>
          </w:tcPr>
          <w:p w:rsidR="00B9021E"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miR 208</w:t>
            </w:r>
          </w:p>
        </w:tc>
        <w:tc>
          <w:tcPr>
            <w:tcW w:w="2340" w:type="dxa"/>
          </w:tcPr>
          <w:p w:rsidR="00B9021E"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THRAP</w:t>
            </w:r>
          </w:p>
        </w:tc>
        <w:tc>
          <w:tcPr>
            <w:tcW w:w="2880" w:type="dxa"/>
          </w:tcPr>
          <w:p w:rsidR="00B9021E"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 xml:space="preserve">Negative </w:t>
            </w:r>
            <w:r w:rsidR="00731DF4" w:rsidRPr="005759D1">
              <w:rPr>
                <w:rFonts w:asciiTheme="majorHAnsi" w:hAnsiTheme="majorHAnsi" w:cstheme="majorHAnsi"/>
                <w:sz w:val="22"/>
                <w:szCs w:val="22"/>
              </w:rPr>
              <w:t xml:space="preserve">regulation of </w:t>
            </w:r>
            <w:r w:rsidRPr="005759D1">
              <w:rPr>
                <w:rFonts w:asciiTheme="majorHAnsi" w:hAnsiTheme="majorHAnsi" w:cstheme="majorHAnsi"/>
                <w:sz w:val="22"/>
                <w:szCs w:val="22"/>
              </w:rPr>
              <w:t>thyroid hormone response</w:t>
            </w:r>
            <w:r w:rsidR="00731DF4" w:rsidRPr="005759D1">
              <w:rPr>
                <w:rFonts w:asciiTheme="majorHAnsi" w:hAnsiTheme="majorHAnsi" w:cstheme="majorHAnsi"/>
                <w:sz w:val="22"/>
                <w:szCs w:val="22"/>
              </w:rPr>
              <w:t xml:space="preserve"> element</w:t>
            </w:r>
          </w:p>
        </w:tc>
        <w:tc>
          <w:tcPr>
            <w:tcW w:w="2880" w:type="dxa"/>
          </w:tcPr>
          <w:p w:rsidR="00B9021E"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Altered contraction</w:t>
            </w:r>
          </w:p>
        </w:tc>
        <w:tc>
          <w:tcPr>
            <w:tcW w:w="1980" w:type="dxa"/>
          </w:tcPr>
          <w:p w:rsidR="00B9021E" w:rsidRPr="005759D1" w:rsidRDefault="00731DF4" w:rsidP="008C7FDC">
            <w:pPr>
              <w:rPr>
                <w:rFonts w:asciiTheme="majorHAnsi" w:hAnsiTheme="majorHAnsi" w:cstheme="majorHAnsi"/>
                <w:sz w:val="22"/>
                <w:szCs w:val="22"/>
              </w:rPr>
            </w:pPr>
            <w:r w:rsidRPr="005759D1">
              <w:rPr>
                <w:rFonts w:asciiTheme="majorHAnsi" w:hAnsiTheme="majorHAnsi" w:cstheme="majorHAnsi"/>
                <w:sz w:val="22"/>
                <w:szCs w:val="22"/>
              </w:rPr>
              <w:t xml:space="preserve">Human, </w:t>
            </w:r>
          </w:p>
        </w:tc>
        <w:tc>
          <w:tcPr>
            <w:tcW w:w="2430" w:type="dxa"/>
          </w:tcPr>
          <w:p w:rsidR="00B9021E" w:rsidRPr="005759D1" w:rsidRDefault="00731DF4" w:rsidP="008C64C7">
            <w:pPr>
              <w:rPr>
                <w:rFonts w:asciiTheme="majorHAnsi" w:hAnsiTheme="majorHAnsi" w:cstheme="majorHAnsi"/>
                <w:sz w:val="22"/>
                <w:szCs w:val="22"/>
              </w:rPr>
            </w:pPr>
            <w:r w:rsidRPr="005759D1">
              <w:rPr>
                <w:rFonts w:asciiTheme="majorHAnsi" w:hAnsiTheme="majorHAnsi" w:cstheme="majorHAnsi"/>
                <w:sz w:val="22"/>
                <w:szCs w:val="22"/>
              </w:rPr>
              <w:t>Thum T 2007</w:t>
            </w:r>
          </w:p>
          <w:p w:rsidR="00731DF4" w:rsidRPr="005759D1" w:rsidRDefault="00731DF4" w:rsidP="008C64C7">
            <w:pPr>
              <w:rPr>
                <w:rFonts w:asciiTheme="majorHAnsi" w:hAnsiTheme="majorHAnsi" w:cstheme="majorHAnsi"/>
                <w:sz w:val="22"/>
                <w:szCs w:val="22"/>
              </w:rPr>
            </w:pPr>
            <w:r w:rsidRPr="005759D1">
              <w:rPr>
                <w:rFonts w:asciiTheme="majorHAnsi" w:hAnsiTheme="majorHAnsi" w:cstheme="majorHAnsi"/>
                <w:sz w:val="22"/>
                <w:szCs w:val="22"/>
              </w:rPr>
              <w:t>Tatsuguchi M 2007</w:t>
            </w:r>
          </w:p>
        </w:tc>
      </w:tr>
      <w:tr w:rsidR="00B72042" w:rsidRPr="005759D1" w:rsidTr="00841B60">
        <w:tc>
          <w:tcPr>
            <w:tcW w:w="1368" w:type="dxa"/>
          </w:tcPr>
          <w:p w:rsidR="00B72042" w:rsidRPr="005759D1" w:rsidRDefault="00B72042" w:rsidP="008C7FDC">
            <w:pPr>
              <w:rPr>
                <w:rFonts w:asciiTheme="majorHAnsi" w:hAnsiTheme="majorHAnsi" w:cstheme="majorHAnsi"/>
                <w:sz w:val="22"/>
                <w:szCs w:val="22"/>
              </w:rPr>
            </w:pPr>
            <w:r w:rsidRPr="005759D1">
              <w:rPr>
                <w:rFonts w:asciiTheme="majorHAnsi" w:hAnsiTheme="majorHAnsi" w:cstheme="majorHAnsi"/>
                <w:sz w:val="22"/>
                <w:szCs w:val="22"/>
              </w:rPr>
              <w:t>miR 21</w:t>
            </w:r>
          </w:p>
        </w:tc>
        <w:tc>
          <w:tcPr>
            <w:tcW w:w="2340" w:type="dxa"/>
          </w:tcPr>
          <w:p w:rsidR="00B72042" w:rsidRPr="005759D1" w:rsidRDefault="005F5E91" w:rsidP="00973A47">
            <w:pPr>
              <w:rPr>
                <w:rFonts w:asciiTheme="majorHAnsi" w:hAnsiTheme="majorHAnsi" w:cstheme="majorHAnsi"/>
                <w:sz w:val="22"/>
                <w:szCs w:val="22"/>
              </w:rPr>
            </w:pPr>
            <w:r w:rsidRPr="005759D1">
              <w:rPr>
                <w:rFonts w:asciiTheme="majorHAnsi" w:hAnsiTheme="majorHAnsi" w:cstheme="majorHAnsi"/>
                <w:sz w:val="22"/>
                <w:szCs w:val="22"/>
              </w:rPr>
              <w:t>PDCD 4</w:t>
            </w:r>
            <w:r w:rsidR="00973A47" w:rsidRPr="005759D1">
              <w:rPr>
                <w:rFonts w:asciiTheme="majorHAnsi" w:hAnsiTheme="majorHAnsi" w:cstheme="majorHAnsi"/>
                <w:sz w:val="22"/>
                <w:szCs w:val="22"/>
              </w:rPr>
              <w:t>, PTN, SPRY 1</w:t>
            </w:r>
          </w:p>
        </w:tc>
        <w:tc>
          <w:tcPr>
            <w:tcW w:w="2880" w:type="dxa"/>
          </w:tcPr>
          <w:p w:rsidR="00B72042" w:rsidRPr="005759D1" w:rsidRDefault="00AF3FED" w:rsidP="008C7FDC">
            <w:pPr>
              <w:rPr>
                <w:rFonts w:asciiTheme="majorHAnsi" w:hAnsiTheme="majorHAnsi" w:cstheme="majorHAnsi"/>
                <w:sz w:val="22"/>
                <w:szCs w:val="22"/>
              </w:rPr>
            </w:pPr>
            <w:r w:rsidRPr="005759D1">
              <w:rPr>
                <w:rFonts w:asciiTheme="majorHAnsi" w:hAnsiTheme="majorHAnsi" w:cstheme="majorHAnsi"/>
                <w:sz w:val="22"/>
                <w:szCs w:val="22"/>
              </w:rPr>
              <w:t>Anti apoptosis</w:t>
            </w:r>
          </w:p>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fibrosis</w:t>
            </w:r>
          </w:p>
        </w:tc>
        <w:tc>
          <w:tcPr>
            <w:tcW w:w="2880" w:type="dxa"/>
          </w:tcPr>
          <w:p w:rsidR="00B72042" w:rsidRPr="005759D1" w:rsidRDefault="00A63C54" w:rsidP="008C7FDC">
            <w:pPr>
              <w:rPr>
                <w:rFonts w:asciiTheme="majorHAnsi" w:hAnsiTheme="majorHAnsi" w:cstheme="majorHAnsi"/>
                <w:sz w:val="22"/>
                <w:szCs w:val="22"/>
              </w:rPr>
            </w:pPr>
            <w:r w:rsidRPr="005759D1">
              <w:rPr>
                <w:rFonts w:asciiTheme="majorHAnsi" w:hAnsiTheme="majorHAnsi" w:cstheme="majorHAnsi"/>
                <w:sz w:val="22"/>
                <w:szCs w:val="22"/>
              </w:rPr>
              <w:t>A-SR?</w:t>
            </w:r>
          </w:p>
        </w:tc>
        <w:tc>
          <w:tcPr>
            <w:tcW w:w="1980" w:type="dxa"/>
          </w:tcPr>
          <w:p w:rsidR="00B72042" w:rsidRPr="005759D1" w:rsidRDefault="00855B9A" w:rsidP="008C7FDC">
            <w:pPr>
              <w:rPr>
                <w:rFonts w:asciiTheme="majorHAnsi" w:hAnsiTheme="majorHAnsi" w:cstheme="majorHAnsi"/>
                <w:sz w:val="22"/>
                <w:szCs w:val="22"/>
              </w:rPr>
            </w:pPr>
            <w:r w:rsidRPr="005759D1">
              <w:rPr>
                <w:rFonts w:asciiTheme="majorHAnsi" w:hAnsiTheme="majorHAnsi" w:cstheme="majorHAnsi"/>
                <w:sz w:val="22"/>
                <w:szCs w:val="22"/>
              </w:rPr>
              <w:t>Rat, mouse</w:t>
            </w:r>
          </w:p>
        </w:tc>
        <w:tc>
          <w:tcPr>
            <w:tcW w:w="243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Thum T 2008</w:t>
            </w:r>
          </w:p>
          <w:p w:rsidR="00B72042"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Thum T 2008</w:t>
            </w:r>
          </w:p>
        </w:tc>
      </w:tr>
      <w:tr w:rsidR="00973A47" w:rsidRPr="005759D1" w:rsidTr="00841B60">
        <w:tc>
          <w:tcPr>
            <w:tcW w:w="1368"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miR 29</w:t>
            </w:r>
          </w:p>
        </w:tc>
        <w:tc>
          <w:tcPr>
            <w:tcW w:w="234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Coll ά1  Coll ά2 Coll3 ά1 Fbn 1 Eln</w:t>
            </w:r>
            <w:r w:rsidR="00451D39" w:rsidRPr="005759D1">
              <w:rPr>
                <w:rFonts w:asciiTheme="majorHAnsi" w:hAnsiTheme="majorHAnsi" w:cstheme="majorHAnsi"/>
                <w:sz w:val="22"/>
                <w:szCs w:val="22"/>
              </w:rPr>
              <w:t>, Mcl 2</w:t>
            </w:r>
          </w:p>
        </w:tc>
        <w:tc>
          <w:tcPr>
            <w:tcW w:w="288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Pro apoptosis, fibrosis</w:t>
            </w:r>
          </w:p>
        </w:tc>
        <w:tc>
          <w:tcPr>
            <w:tcW w:w="288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A-SR?</w:t>
            </w:r>
          </w:p>
        </w:tc>
        <w:tc>
          <w:tcPr>
            <w:tcW w:w="1980" w:type="dxa"/>
          </w:tcPr>
          <w:p w:rsidR="00973A47" w:rsidRPr="005759D1" w:rsidRDefault="00855B9A" w:rsidP="008C7FDC">
            <w:pPr>
              <w:rPr>
                <w:rFonts w:asciiTheme="majorHAnsi" w:hAnsiTheme="majorHAnsi" w:cstheme="majorHAnsi"/>
                <w:sz w:val="22"/>
                <w:szCs w:val="22"/>
              </w:rPr>
            </w:pPr>
            <w:r w:rsidRPr="005759D1">
              <w:rPr>
                <w:rFonts w:asciiTheme="majorHAnsi" w:hAnsiTheme="majorHAnsi" w:cstheme="majorHAnsi"/>
                <w:sz w:val="22"/>
                <w:szCs w:val="22"/>
              </w:rPr>
              <w:t>Mice</w:t>
            </w:r>
          </w:p>
        </w:tc>
        <w:tc>
          <w:tcPr>
            <w:tcW w:w="243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Van Rooij 2008</w:t>
            </w:r>
          </w:p>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Kartha 2010</w:t>
            </w:r>
          </w:p>
          <w:p w:rsidR="00973A47" w:rsidRPr="005759D1" w:rsidRDefault="00DC7873" w:rsidP="008C7FDC">
            <w:pPr>
              <w:rPr>
                <w:rFonts w:asciiTheme="majorHAnsi" w:hAnsiTheme="majorHAnsi" w:cstheme="majorHAnsi"/>
                <w:sz w:val="22"/>
                <w:szCs w:val="22"/>
              </w:rPr>
            </w:pPr>
            <w:r w:rsidRPr="005759D1">
              <w:rPr>
                <w:rFonts w:asciiTheme="majorHAnsi" w:hAnsiTheme="majorHAnsi" w:cstheme="majorHAnsi"/>
                <w:sz w:val="22"/>
                <w:szCs w:val="22"/>
              </w:rPr>
              <w:t>Wang 2008</w:t>
            </w:r>
          </w:p>
        </w:tc>
      </w:tr>
      <w:tr w:rsidR="00973A47" w:rsidRPr="005759D1" w:rsidTr="00841B60">
        <w:tc>
          <w:tcPr>
            <w:tcW w:w="1368"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miR 30</w:t>
            </w:r>
          </w:p>
        </w:tc>
        <w:tc>
          <w:tcPr>
            <w:tcW w:w="234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CTGF</w:t>
            </w:r>
          </w:p>
        </w:tc>
        <w:tc>
          <w:tcPr>
            <w:tcW w:w="288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Matrix remodeling</w:t>
            </w:r>
          </w:p>
        </w:tc>
        <w:tc>
          <w:tcPr>
            <w:tcW w:w="288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A-SR?</w:t>
            </w:r>
          </w:p>
        </w:tc>
        <w:tc>
          <w:tcPr>
            <w:tcW w:w="1980" w:type="dxa"/>
          </w:tcPr>
          <w:p w:rsidR="00973A47"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Rat, mouse,</w:t>
            </w:r>
          </w:p>
          <w:p w:rsidR="00B9021E" w:rsidRPr="005759D1" w:rsidRDefault="00B9021E" w:rsidP="008C7FDC">
            <w:pPr>
              <w:rPr>
                <w:rFonts w:asciiTheme="majorHAnsi" w:hAnsiTheme="majorHAnsi" w:cstheme="majorHAnsi"/>
                <w:sz w:val="22"/>
                <w:szCs w:val="22"/>
              </w:rPr>
            </w:pPr>
            <w:r w:rsidRPr="005759D1">
              <w:rPr>
                <w:rFonts w:asciiTheme="majorHAnsi" w:hAnsiTheme="majorHAnsi" w:cstheme="majorHAnsi"/>
                <w:sz w:val="22"/>
                <w:szCs w:val="22"/>
              </w:rPr>
              <w:t>Human biopsy</w:t>
            </w:r>
          </w:p>
        </w:tc>
        <w:tc>
          <w:tcPr>
            <w:tcW w:w="2430" w:type="dxa"/>
          </w:tcPr>
          <w:p w:rsidR="00973A47" w:rsidRPr="005759D1" w:rsidRDefault="00973A47" w:rsidP="008C7FDC">
            <w:pPr>
              <w:rPr>
                <w:rFonts w:asciiTheme="majorHAnsi" w:hAnsiTheme="majorHAnsi" w:cstheme="majorHAnsi"/>
                <w:sz w:val="22"/>
                <w:szCs w:val="22"/>
              </w:rPr>
            </w:pPr>
            <w:r w:rsidRPr="005759D1">
              <w:rPr>
                <w:rFonts w:asciiTheme="majorHAnsi" w:hAnsiTheme="majorHAnsi" w:cstheme="majorHAnsi"/>
                <w:sz w:val="22"/>
                <w:szCs w:val="22"/>
              </w:rPr>
              <w:t>Duisters RF 2009</w:t>
            </w:r>
          </w:p>
        </w:tc>
      </w:tr>
    </w:tbl>
    <w:p w:rsidR="00B72042" w:rsidRPr="005759D1" w:rsidRDefault="00B72042" w:rsidP="008C7FDC">
      <w:pPr>
        <w:rPr>
          <w:rFonts w:asciiTheme="majorHAnsi" w:hAnsiTheme="majorHAnsi" w:cstheme="majorHAnsi"/>
          <w:sz w:val="22"/>
          <w:szCs w:val="22"/>
        </w:rPr>
      </w:pPr>
    </w:p>
    <w:p w:rsidR="00FE4C3C" w:rsidRPr="005759D1" w:rsidRDefault="00451D39" w:rsidP="008C7FDC">
      <w:pPr>
        <w:rPr>
          <w:rFonts w:asciiTheme="majorHAnsi" w:hAnsiTheme="majorHAnsi" w:cstheme="majorHAnsi"/>
          <w:color w:val="FF0000"/>
          <w:sz w:val="22"/>
          <w:szCs w:val="22"/>
        </w:rPr>
        <w:sectPr w:rsidR="00FE4C3C" w:rsidRPr="005759D1" w:rsidSect="00AF3FED">
          <w:pgSz w:w="15840" w:h="12240" w:orient="landscape"/>
          <w:pgMar w:top="720" w:right="720" w:bottom="720" w:left="720" w:header="720" w:footer="720" w:gutter="0"/>
          <w:cols w:space="720"/>
          <w:docGrid w:linePitch="360"/>
        </w:sectPr>
      </w:pPr>
      <w:r w:rsidRPr="005759D1">
        <w:rPr>
          <w:rFonts w:asciiTheme="majorHAnsi" w:hAnsiTheme="majorHAnsi" w:cstheme="majorHAnsi"/>
          <w:sz w:val="22"/>
          <w:szCs w:val="22"/>
        </w:rPr>
        <w:t>Question mark indicates speculations yet to be experimentally verified; THRAP= co regulator of the thyroid hormone receptor, PDCD4=programmed cell death,</w:t>
      </w:r>
      <w:r w:rsidR="00973342" w:rsidRPr="005759D1">
        <w:rPr>
          <w:rFonts w:asciiTheme="majorHAnsi" w:hAnsiTheme="majorHAnsi" w:cstheme="majorHAnsi"/>
          <w:sz w:val="22"/>
          <w:szCs w:val="22"/>
        </w:rPr>
        <w:t xml:space="preserve"> </w:t>
      </w:r>
      <w:r w:rsidRPr="005759D1">
        <w:rPr>
          <w:rFonts w:asciiTheme="majorHAnsi" w:hAnsiTheme="majorHAnsi" w:cstheme="majorHAnsi"/>
          <w:sz w:val="22"/>
          <w:szCs w:val="22"/>
        </w:rPr>
        <w:t xml:space="preserve">Mcl-3=anti apoptotic Bcl 2 fmily member, CTGF=connective tissue growth factor, A-ER= atrial electrical remodeling, A-SR=atrial structural remodeling.  Wang </w:t>
      </w:r>
      <w:r w:rsidRPr="005759D1">
        <w:rPr>
          <w:rFonts w:asciiTheme="majorHAnsi" w:hAnsiTheme="majorHAnsi" w:cstheme="majorHAnsi"/>
          <w:i/>
          <w:sz w:val="22"/>
          <w:szCs w:val="22"/>
        </w:rPr>
        <w:t>et al</w:t>
      </w:r>
      <w:r w:rsidRPr="005759D1">
        <w:rPr>
          <w:rFonts w:asciiTheme="majorHAnsi" w:hAnsiTheme="majorHAnsi" w:cstheme="majorHAnsi"/>
          <w:sz w:val="22"/>
          <w:szCs w:val="22"/>
        </w:rPr>
        <w:t xml:space="preserve"> (2011) Cardiovasc Res 89: 710-721 Cardiovascular Research; and Kartha and Subramanian (2010) J Cardiovasc Trans Res 3: 256-270.</w:t>
      </w:r>
      <w:r w:rsidR="00FE4C3C" w:rsidRPr="005759D1">
        <w:rPr>
          <w:rFonts w:asciiTheme="majorHAnsi" w:hAnsiTheme="majorHAnsi" w:cstheme="majorHAnsi"/>
          <w:color w:val="FF0000"/>
          <w:sz w:val="22"/>
          <w:szCs w:val="22"/>
        </w:rPr>
        <w:br w:type="page"/>
      </w:r>
    </w:p>
    <w:p w:rsidR="003E019E" w:rsidRPr="005759D1" w:rsidRDefault="003E019E" w:rsidP="003E019E">
      <w:pPr>
        <w:rPr>
          <w:rFonts w:asciiTheme="majorHAnsi" w:hAnsiTheme="majorHAnsi" w:cstheme="majorHAnsi"/>
          <w:sz w:val="22"/>
          <w:szCs w:val="22"/>
        </w:rPr>
      </w:pPr>
      <w:r w:rsidRPr="005759D1">
        <w:rPr>
          <w:rFonts w:asciiTheme="majorHAnsi" w:hAnsiTheme="majorHAnsi" w:cstheme="majorHAnsi"/>
          <w:sz w:val="22"/>
          <w:szCs w:val="22"/>
        </w:rPr>
        <w:lastRenderedPageBreak/>
        <w:t>The following figure by Latronico and Condorelli (2009) summarizes what is known about miRNA regulation at the level of the myocardium, placing those miRNAs that have been implicated in AF into perspective (refer to Table A for list of miRNA implicated in AF).   Their role in POAF remains to be explored.</w:t>
      </w:r>
    </w:p>
    <w:p w:rsidR="00821612" w:rsidRPr="005759D1" w:rsidRDefault="00821612" w:rsidP="003E019E">
      <w:pPr>
        <w:rPr>
          <w:rFonts w:asciiTheme="majorHAnsi" w:hAnsiTheme="majorHAnsi" w:cstheme="majorHAnsi"/>
          <w:sz w:val="22"/>
          <w:szCs w:val="22"/>
        </w:rPr>
      </w:pPr>
    </w:p>
    <w:p w:rsidR="003E019E" w:rsidRPr="005759D1" w:rsidRDefault="00616850" w:rsidP="003E019E">
      <w:pPr>
        <w:rPr>
          <w:rFonts w:asciiTheme="majorHAnsi" w:hAnsiTheme="majorHAnsi" w:cstheme="majorHAnsi"/>
          <w:sz w:val="22"/>
          <w:szCs w:val="22"/>
        </w:rPr>
      </w:pPr>
      <w:r w:rsidRPr="005759D1">
        <w:rPr>
          <w:rFonts w:asciiTheme="majorHAnsi" w:hAnsiTheme="majorHAnsi" w:cstheme="majorHAnsi"/>
          <w:b/>
          <w:sz w:val="22"/>
          <w:szCs w:val="22"/>
        </w:rPr>
        <w:t xml:space="preserve">These miRNA are included in the miRNA transcriptome array we are proposing to screen. While the expectation is that only a subset will be found in serum, this is the most economical way to pilot whether miRNA screening has merit and can detect a POAF-specific profile in serum preoperatively for patients with scheduled CABG procedures. </w:t>
      </w:r>
    </w:p>
    <w:p w:rsidR="003E019E" w:rsidRPr="005759D1" w:rsidRDefault="003E019E" w:rsidP="003E019E">
      <w:pPr>
        <w:rPr>
          <w:rFonts w:asciiTheme="majorHAnsi" w:hAnsiTheme="majorHAnsi" w:cstheme="majorHAnsi"/>
          <w:color w:val="FF0000"/>
          <w:sz w:val="22"/>
          <w:szCs w:val="22"/>
        </w:rPr>
      </w:pPr>
      <w:r w:rsidRPr="005759D1">
        <w:rPr>
          <w:rFonts w:asciiTheme="majorHAnsi" w:hAnsiTheme="majorHAnsi" w:cstheme="majorHAnsi"/>
          <w:noProof/>
          <w:color w:val="FF0000"/>
          <w:sz w:val="22"/>
          <w:szCs w:val="22"/>
        </w:rPr>
        <w:drawing>
          <wp:inline distT="0" distB="0" distL="0" distR="0" wp14:anchorId="4DE21E1E" wp14:editId="76AA49AD">
            <wp:extent cx="6858000" cy="641648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6416482"/>
                    </a:xfrm>
                    <a:prstGeom prst="rect">
                      <a:avLst/>
                    </a:prstGeom>
                    <a:noFill/>
                    <a:ln>
                      <a:noFill/>
                    </a:ln>
                  </pic:spPr>
                </pic:pic>
              </a:graphicData>
            </a:graphic>
          </wp:inline>
        </w:drawing>
      </w:r>
    </w:p>
    <w:p w:rsidR="003E019E" w:rsidRPr="005759D1" w:rsidRDefault="003E019E" w:rsidP="00841B60">
      <w:pPr>
        <w:rPr>
          <w:rFonts w:asciiTheme="majorHAnsi" w:hAnsiTheme="majorHAnsi" w:cstheme="majorHAnsi"/>
          <w:b/>
          <w:sz w:val="22"/>
          <w:szCs w:val="22"/>
        </w:rPr>
      </w:pPr>
      <w:r w:rsidRPr="005759D1">
        <w:rPr>
          <w:rFonts w:asciiTheme="majorHAnsi" w:hAnsiTheme="majorHAnsi" w:cstheme="majorHAnsi"/>
          <w:sz w:val="22"/>
          <w:szCs w:val="22"/>
        </w:rPr>
        <w:t xml:space="preserve">Latronico and Condorelli (2009) </w:t>
      </w:r>
      <w:r w:rsidR="00A3597C" w:rsidRPr="005759D1">
        <w:rPr>
          <w:rFonts w:asciiTheme="majorHAnsi" w:hAnsiTheme="majorHAnsi" w:cstheme="majorHAnsi"/>
          <w:sz w:val="22"/>
          <w:szCs w:val="22"/>
        </w:rPr>
        <w:t>Nat Rev Cardiol 6: 418-429.</w:t>
      </w:r>
    </w:p>
    <w:p w:rsidR="003E019E" w:rsidRPr="005759D1" w:rsidRDefault="003E019E" w:rsidP="00841B60">
      <w:pPr>
        <w:rPr>
          <w:rFonts w:asciiTheme="majorHAnsi" w:hAnsiTheme="majorHAnsi" w:cstheme="majorHAnsi"/>
          <w:b/>
          <w:sz w:val="22"/>
          <w:szCs w:val="22"/>
        </w:rPr>
      </w:pPr>
    </w:p>
    <w:p w:rsidR="005759D1" w:rsidRDefault="005759D1" w:rsidP="00841B60">
      <w:pPr>
        <w:rPr>
          <w:rFonts w:asciiTheme="majorHAnsi" w:hAnsiTheme="majorHAnsi" w:cstheme="majorHAnsi"/>
          <w:b/>
          <w:sz w:val="22"/>
          <w:szCs w:val="22"/>
        </w:rPr>
      </w:pPr>
    </w:p>
    <w:p w:rsidR="005759D1" w:rsidRDefault="005759D1" w:rsidP="00841B60">
      <w:pPr>
        <w:rPr>
          <w:rFonts w:asciiTheme="majorHAnsi" w:hAnsiTheme="majorHAnsi" w:cstheme="majorHAnsi"/>
          <w:b/>
          <w:sz w:val="22"/>
          <w:szCs w:val="22"/>
        </w:rPr>
      </w:pPr>
    </w:p>
    <w:p w:rsidR="005759D1" w:rsidRDefault="005759D1" w:rsidP="00841B60">
      <w:pPr>
        <w:rPr>
          <w:rFonts w:asciiTheme="majorHAnsi" w:hAnsiTheme="majorHAnsi" w:cstheme="majorHAnsi"/>
          <w:b/>
          <w:sz w:val="22"/>
          <w:szCs w:val="22"/>
        </w:rPr>
      </w:pPr>
    </w:p>
    <w:p w:rsidR="005759D1" w:rsidRDefault="005759D1" w:rsidP="00841B60">
      <w:pPr>
        <w:rPr>
          <w:rFonts w:asciiTheme="majorHAnsi" w:hAnsiTheme="majorHAnsi" w:cstheme="majorHAnsi"/>
          <w:b/>
          <w:sz w:val="22"/>
          <w:szCs w:val="22"/>
        </w:rPr>
      </w:pPr>
    </w:p>
    <w:p w:rsidR="009601D3" w:rsidRPr="005759D1" w:rsidRDefault="00FB7480" w:rsidP="00841B60">
      <w:pPr>
        <w:rPr>
          <w:rFonts w:asciiTheme="majorHAnsi" w:hAnsiTheme="majorHAnsi" w:cstheme="majorHAnsi"/>
          <w:b/>
          <w:sz w:val="22"/>
          <w:szCs w:val="22"/>
        </w:rPr>
      </w:pPr>
      <w:r w:rsidRPr="005759D1">
        <w:rPr>
          <w:rFonts w:asciiTheme="majorHAnsi" w:hAnsiTheme="majorHAnsi" w:cstheme="majorHAnsi"/>
          <w:b/>
          <w:sz w:val="22"/>
          <w:szCs w:val="22"/>
        </w:rPr>
        <w:lastRenderedPageBreak/>
        <w:t xml:space="preserve">D.  </w:t>
      </w:r>
      <w:r w:rsidR="00CE6687" w:rsidRPr="005759D1">
        <w:rPr>
          <w:rFonts w:asciiTheme="majorHAnsi" w:hAnsiTheme="majorHAnsi" w:cstheme="majorHAnsi"/>
          <w:b/>
          <w:sz w:val="22"/>
          <w:szCs w:val="22"/>
        </w:rPr>
        <w:t>Significance</w:t>
      </w:r>
    </w:p>
    <w:p w:rsidR="002A39EA" w:rsidRPr="005759D1" w:rsidRDefault="002A39EA" w:rsidP="00AE3F50">
      <w:pPr>
        <w:rPr>
          <w:rFonts w:asciiTheme="majorHAnsi" w:hAnsiTheme="majorHAnsi" w:cstheme="majorHAnsi"/>
          <w:b/>
          <w:sz w:val="22"/>
          <w:szCs w:val="22"/>
        </w:rPr>
      </w:pPr>
    </w:p>
    <w:p w:rsidR="00AE3F50" w:rsidRDefault="00AE3F50" w:rsidP="00AE3F50">
      <w:pPr>
        <w:rPr>
          <w:rFonts w:asciiTheme="majorHAnsi" w:hAnsiTheme="majorHAnsi" w:cstheme="majorHAnsi"/>
          <w:b/>
          <w:sz w:val="22"/>
          <w:szCs w:val="22"/>
        </w:rPr>
      </w:pPr>
      <w:r w:rsidRPr="005759D1">
        <w:rPr>
          <w:rFonts w:asciiTheme="majorHAnsi" w:hAnsiTheme="majorHAnsi" w:cstheme="majorHAnsi"/>
          <w:b/>
          <w:sz w:val="22"/>
          <w:szCs w:val="22"/>
        </w:rPr>
        <w:t>Need for new approaches</w:t>
      </w:r>
      <w:r w:rsidR="009601D3" w:rsidRPr="005759D1">
        <w:rPr>
          <w:rFonts w:asciiTheme="majorHAnsi" w:hAnsiTheme="majorHAnsi" w:cstheme="majorHAnsi"/>
          <w:b/>
          <w:sz w:val="22"/>
          <w:szCs w:val="22"/>
        </w:rPr>
        <w:t xml:space="preserve"> to predict and prevent POAF</w:t>
      </w:r>
    </w:p>
    <w:p w:rsidR="005759D1" w:rsidRPr="005759D1" w:rsidRDefault="005759D1" w:rsidP="00AE3F50">
      <w:pPr>
        <w:rPr>
          <w:rFonts w:asciiTheme="majorHAnsi" w:hAnsiTheme="majorHAnsi" w:cstheme="majorHAnsi"/>
          <w:b/>
          <w:sz w:val="22"/>
          <w:szCs w:val="22"/>
        </w:rPr>
      </w:pPr>
    </w:p>
    <w:p w:rsidR="0009012B" w:rsidRPr="005759D1" w:rsidRDefault="00AE3F50" w:rsidP="00AE3F50">
      <w:pPr>
        <w:rPr>
          <w:rFonts w:asciiTheme="majorHAnsi" w:hAnsiTheme="majorHAnsi" w:cstheme="majorHAnsi"/>
          <w:sz w:val="22"/>
          <w:szCs w:val="22"/>
        </w:rPr>
      </w:pPr>
      <w:r w:rsidRPr="005759D1">
        <w:rPr>
          <w:rFonts w:asciiTheme="majorHAnsi" w:hAnsiTheme="majorHAnsi" w:cstheme="majorHAnsi"/>
          <w:sz w:val="22"/>
          <w:szCs w:val="22"/>
        </w:rPr>
        <w:t>Despite availability of guidelines and preventive treatment strategies, incidence of POAF has not been appreciably impacted.  Prophylactic treatment measures have met with variable success and thei</w:t>
      </w:r>
      <w:r w:rsidR="0009012B" w:rsidRPr="005759D1">
        <w:rPr>
          <w:rFonts w:asciiTheme="majorHAnsi" w:hAnsiTheme="majorHAnsi" w:cstheme="majorHAnsi"/>
          <w:sz w:val="22"/>
          <w:szCs w:val="22"/>
        </w:rPr>
        <w:t>r utility remains controversial and are in need of further validation through well designed clinical trials.</w:t>
      </w:r>
      <w:r w:rsidRPr="005759D1">
        <w:rPr>
          <w:rFonts w:asciiTheme="majorHAnsi" w:hAnsiTheme="majorHAnsi" w:cstheme="majorHAnsi"/>
          <w:sz w:val="22"/>
          <w:szCs w:val="22"/>
        </w:rPr>
        <w:t xml:space="preserve">  Ideally, identification of biomarkers which could predict which patients a</w:t>
      </w:r>
      <w:r w:rsidR="009601D3" w:rsidRPr="005759D1">
        <w:rPr>
          <w:rFonts w:asciiTheme="majorHAnsi" w:hAnsiTheme="majorHAnsi" w:cstheme="majorHAnsi"/>
          <w:sz w:val="22"/>
          <w:szCs w:val="22"/>
        </w:rPr>
        <w:t xml:space="preserve">re at risk for incidence of POAF and greater insights into biological pathways contributing to emergence of POAF are urgently needed </w:t>
      </w:r>
      <w:r w:rsidR="00A82177" w:rsidRPr="005759D1">
        <w:rPr>
          <w:rFonts w:asciiTheme="majorHAnsi" w:hAnsiTheme="majorHAnsi" w:cstheme="majorHAnsi"/>
          <w:sz w:val="22"/>
          <w:szCs w:val="22"/>
        </w:rPr>
        <w:t xml:space="preserve">in order to expand opportunities for development of preventive intervention of this common and </w:t>
      </w:r>
      <w:r w:rsidR="0009012B" w:rsidRPr="005759D1">
        <w:rPr>
          <w:rFonts w:asciiTheme="majorHAnsi" w:hAnsiTheme="majorHAnsi" w:cstheme="majorHAnsi"/>
          <w:sz w:val="22"/>
          <w:szCs w:val="22"/>
        </w:rPr>
        <w:t xml:space="preserve">potentially </w:t>
      </w:r>
      <w:r w:rsidR="00A82177" w:rsidRPr="005759D1">
        <w:rPr>
          <w:rFonts w:asciiTheme="majorHAnsi" w:hAnsiTheme="majorHAnsi" w:cstheme="majorHAnsi"/>
          <w:sz w:val="22"/>
          <w:szCs w:val="22"/>
        </w:rPr>
        <w:t xml:space="preserve">serious </w:t>
      </w:r>
      <w:r w:rsidR="0009012B" w:rsidRPr="005759D1">
        <w:rPr>
          <w:rFonts w:asciiTheme="majorHAnsi" w:hAnsiTheme="majorHAnsi" w:cstheme="majorHAnsi"/>
          <w:sz w:val="22"/>
          <w:szCs w:val="22"/>
        </w:rPr>
        <w:t>complication of CABG</w:t>
      </w:r>
      <w:r w:rsidR="00A82177" w:rsidRPr="005759D1">
        <w:rPr>
          <w:rFonts w:asciiTheme="majorHAnsi" w:hAnsiTheme="majorHAnsi" w:cstheme="majorHAnsi"/>
          <w:sz w:val="22"/>
          <w:szCs w:val="22"/>
        </w:rPr>
        <w:t xml:space="preserve">.  While </w:t>
      </w:r>
      <w:r w:rsidR="00EC2F6B" w:rsidRPr="005759D1">
        <w:rPr>
          <w:rFonts w:asciiTheme="majorHAnsi" w:hAnsiTheme="majorHAnsi" w:cstheme="majorHAnsi"/>
          <w:sz w:val="22"/>
          <w:szCs w:val="22"/>
        </w:rPr>
        <w:t>mRNA</w:t>
      </w:r>
      <w:r w:rsidR="00A82177" w:rsidRPr="005759D1">
        <w:rPr>
          <w:rFonts w:asciiTheme="majorHAnsi" w:hAnsiTheme="majorHAnsi" w:cstheme="majorHAnsi"/>
          <w:sz w:val="22"/>
          <w:szCs w:val="22"/>
        </w:rPr>
        <w:t xml:space="preserve"> profiles in the context of </w:t>
      </w:r>
      <w:r w:rsidR="00EC2F6B" w:rsidRPr="005759D1">
        <w:rPr>
          <w:rFonts w:asciiTheme="majorHAnsi" w:hAnsiTheme="majorHAnsi" w:cstheme="majorHAnsi"/>
          <w:sz w:val="22"/>
          <w:szCs w:val="22"/>
        </w:rPr>
        <w:t>PO</w:t>
      </w:r>
      <w:r w:rsidR="00A82177" w:rsidRPr="005759D1">
        <w:rPr>
          <w:rFonts w:asciiTheme="majorHAnsi" w:hAnsiTheme="majorHAnsi" w:cstheme="majorHAnsi"/>
          <w:sz w:val="22"/>
          <w:szCs w:val="22"/>
        </w:rPr>
        <w:t xml:space="preserve">AF at a transcriptome level </w:t>
      </w:r>
      <w:r w:rsidR="00EC2F6B" w:rsidRPr="005759D1">
        <w:rPr>
          <w:rFonts w:asciiTheme="majorHAnsi" w:hAnsiTheme="majorHAnsi" w:cstheme="majorHAnsi"/>
          <w:sz w:val="22"/>
          <w:szCs w:val="22"/>
        </w:rPr>
        <w:t>have been characterized (5)</w:t>
      </w:r>
      <w:r w:rsidR="00A82177" w:rsidRPr="005759D1">
        <w:rPr>
          <w:rFonts w:asciiTheme="majorHAnsi" w:hAnsiTheme="majorHAnsi" w:cstheme="majorHAnsi"/>
          <w:sz w:val="22"/>
          <w:szCs w:val="22"/>
        </w:rPr>
        <w:t xml:space="preserve">, no study to date has attempted to determine whether miRNA levels present in </w:t>
      </w:r>
      <w:r w:rsidR="00EC2F6B" w:rsidRPr="005759D1">
        <w:rPr>
          <w:rFonts w:asciiTheme="majorHAnsi" w:hAnsiTheme="majorHAnsi" w:cstheme="majorHAnsi"/>
          <w:sz w:val="22"/>
          <w:szCs w:val="22"/>
        </w:rPr>
        <w:t xml:space="preserve">serum of </w:t>
      </w:r>
      <w:r w:rsidR="00A82177" w:rsidRPr="005759D1">
        <w:rPr>
          <w:rFonts w:asciiTheme="majorHAnsi" w:hAnsiTheme="majorHAnsi" w:cstheme="majorHAnsi"/>
          <w:sz w:val="22"/>
          <w:szCs w:val="22"/>
        </w:rPr>
        <w:t xml:space="preserve">CABG candidates prior to surgery might be able to identify patients at highest risk for POAF.  </w:t>
      </w:r>
      <w:r w:rsidR="00821612" w:rsidRPr="005759D1">
        <w:rPr>
          <w:rFonts w:asciiTheme="majorHAnsi" w:hAnsiTheme="majorHAnsi" w:cstheme="majorHAnsi"/>
          <w:sz w:val="22"/>
          <w:szCs w:val="22"/>
        </w:rPr>
        <w:t xml:space="preserve">The identification of miRNA in serum would result in a minimally invasive, pre-operative diagnostic test. </w:t>
      </w:r>
    </w:p>
    <w:p w:rsidR="0009012B" w:rsidRPr="005759D1" w:rsidRDefault="0009012B" w:rsidP="00AE3F50">
      <w:pPr>
        <w:rPr>
          <w:rFonts w:asciiTheme="majorHAnsi" w:hAnsiTheme="majorHAnsi" w:cstheme="majorHAnsi"/>
          <w:sz w:val="22"/>
          <w:szCs w:val="22"/>
        </w:rPr>
      </w:pPr>
    </w:p>
    <w:p w:rsidR="00D03C6F" w:rsidRDefault="00D03C6F" w:rsidP="00AE3F50">
      <w:pPr>
        <w:rPr>
          <w:rFonts w:asciiTheme="majorHAnsi" w:hAnsiTheme="majorHAnsi" w:cstheme="majorHAnsi"/>
          <w:b/>
          <w:sz w:val="22"/>
          <w:szCs w:val="22"/>
        </w:rPr>
      </w:pPr>
      <w:r w:rsidRPr="005759D1">
        <w:rPr>
          <w:rFonts w:asciiTheme="majorHAnsi" w:hAnsiTheme="majorHAnsi" w:cstheme="majorHAnsi"/>
          <w:b/>
          <w:sz w:val="22"/>
          <w:szCs w:val="22"/>
        </w:rPr>
        <w:t>Future directions</w:t>
      </w:r>
    </w:p>
    <w:p w:rsidR="005759D1" w:rsidRPr="005759D1" w:rsidRDefault="005759D1" w:rsidP="00AE3F50">
      <w:pPr>
        <w:rPr>
          <w:rFonts w:asciiTheme="majorHAnsi" w:hAnsiTheme="majorHAnsi" w:cstheme="majorHAnsi"/>
          <w:b/>
          <w:sz w:val="22"/>
          <w:szCs w:val="22"/>
        </w:rPr>
      </w:pPr>
    </w:p>
    <w:p w:rsidR="00AE3F50" w:rsidRPr="005759D1" w:rsidRDefault="00A82177" w:rsidP="00AE3F50">
      <w:pPr>
        <w:rPr>
          <w:rFonts w:asciiTheme="majorHAnsi" w:hAnsiTheme="majorHAnsi" w:cstheme="majorHAnsi"/>
          <w:b/>
          <w:sz w:val="22"/>
          <w:szCs w:val="22"/>
        </w:rPr>
      </w:pPr>
      <w:r w:rsidRPr="005759D1">
        <w:rPr>
          <w:rFonts w:asciiTheme="majorHAnsi" w:hAnsiTheme="majorHAnsi" w:cstheme="majorHAnsi"/>
          <w:sz w:val="22"/>
          <w:szCs w:val="22"/>
        </w:rPr>
        <w:t xml:space="preserve">The long term goal of this study is to identify novel predictive biomarkers of POAF to eventually create a panel of informative markers that can be used in combination with risk profiling to prescreen patients in order to identify those at highest risk for POAF development.  </w:t>
      </w:r>
      <w:r w:rsidR="0009012B" w:rsidRPr="005759D1">
        <w:rPr>
          <w:rFonts w:asciiTheme="majorHAnsi" w:hAnsiTheme="majorHAnsi" w:cstheme="majorHAnsi"/>
          <w:sz w:val="22"/>
          <w:szCs w:val="22"/>
        </w:rPr>
        <w:t>Simultaneously, t</w:t>
      </w:r>
      <w:r w:rsidRPr="005759D1">
        <w:rPr>
          <w:rFonts w:asciiTheme="majorHAnsi" w:hAnsiTheme="majorHAnsi" w:cstheme="majorHAnsi"/>
          <w:sz w:val="22"/>
          <w:szCs w:val="22"/>
        </w:rPr>
        <w:t xml:space="preserve">he design of this project </w:t>
      </w:r>
      <w:r w:rsidR="00B95639" w:rsidRPr="005759D1">
        <w:rPr>
          <w:rFonts w:asciiTheme="majorHAnsi" w:hAnsiTheme="majorHAnsi" w:cstheme="majorHAnsi"/>
          <w:sz w:val="22"/>
          <w:szCs w:val="22"/>
        </w:rPr>
        <w:t>position</w:t>
      </w:r>
      <w:r w:rsidR="00765B4B" w:rsidRPr="005759D1">
        <w:rPr>
          <w:rFonts w:asciiTheme="majorHAnsi" w:hAnsiTheme="majorHAnsi" w:cstheme="majorHAnsi"/>
          <w:sz w:val="22"/>
          <w:szCs w:val="22"/>
        </w:rPr>
        <w:t xml:space="preserve">s </w:t>
      </w:r>
      <w:r w:rsidR="00B95639" w:rsidRPr="005759D1">
        <w:rPr>
          <w:rFonts w:asciiTheme="majorHAnsi" w:hAnsiTheme="majorHAnsi" w:cstheme="majorHAnsi"/>
          <w:sz w:val="22"/>
          <w:szCs w:val="22"/>
        </w:rPr>
        <w:t>us to gain</w:t>
      </w:r>
      <w:r w:rsidRPr="005759D1">
        <w:rPr>
          <w:rFonts w:asciiTheme="majorHAnsi" w:hAnsiTheme="majorHAnsi" w:cstheme="majorHAnsi"/>
          <w:sz w:val="22"/>
          <w:szCs w:val="22"/>
        </w:rPr>
        <w:t xml:space="preserve"> further insights into </w:t>
      </w:r>
      <w:r w:rsidR="00F37E16" w:rsidRPr="005759D1">
        <w:rPr>
          <w:rFonts w:asciiTheme="majorHAnsi" w:hAnsiTheme="majorHAnsi" w:cstheme="majorHAnsi"/>
          <w:sz w:val="22"/>
          <w:szCs w:val="22"/>
        </w:rPr>
        <w:t xml:space="preserve">relevant </w:t>
      </w:r>
      <w:r w:rsidRPr="005759D1">
        <w:rPr>
          <w:rFonts w:asciiTheme="majorHAnsi" w:hAnsiTheme="majorHAnsi" w:cstheme="majorHAnsi"/>
          <w:sz w:val="22"/>
          <w:szCs w:val="22"/>
        </w:rPr>
        <w:t>pathways contributing to POAF</w:t>
      </w:r>
      <w:r w:rsidR="00F37E16" w:rsidRPr="005759D1">
        <w:rPr>
          <w:rFonts w:asciiTheme="majorHAnsi" w:hAnsiTheme="majorHAnsi" w:cstheme="majorHAnsi"/>
          <w:sz w:val="22"/>
          <w:szCs w:val="22"/>
        </w:rPr>
        <w:t xml:space="preserve"> through identification of dynamic changes in regulatory miRNA levels associated with gene expression in these pathways</w:t>
      </w:r>
      <w:r w:rsidRPr="005759D1">
        <w:rPr>
          <w:rFonts w:asciiTheme="majorHAnsi" w:hAnsiTheme="majorHAnsi" w:cstheme="majorHAnsi"/>
          <w:sz w:val="22"/>
          <w:szCs w:val="22"/>
        </w:rPr>
        <w:t xml:space="preserve">, thereby </w:t>
      </w:r>
      <w:r w:rsidR="00357BE0" w:rsidRPr="005759D1">
        <w:rPr>
          <w:rFonts w:asciiTheme="majorHAnsi" w:hAnsiTheme="majorHAnsi" w:cstheme="majorHAnsi"/>
          <w:sz w:val="22"/>
          <w:szCs w:val="22"/>
        </w:rPr>
        <w:t xml:space="preserve">creating </w:t>
      </w:r>
      <w:r w:rsidR="0009012B" w:rsidRPr="005759D1">
        <w:rPr>
          <w:rFonts w:asciiTheme="majorHAnsi" w:hAnsiTheme="majorHAnsi" w:cstheme="majorHAnsi"/>
          <w:sz w:val="22"/>
          <w:szCs w:val="22"/>
        </w:rPr>
        <w:t xml:space="preserve">potential </w:t>
      </w:r>
      <w:r w:rsidR="00357BE0" w:rsidRPr="005759D1">
        <w:rPr>
          <w:rFonts w:asciiTheme="majorHAnsi" w:hAnsiTheme="majorHAnsi" w:cstheme="majorHAnsi"/>
          <w:sz w:val="22"/>
          <w:szCs w:val="22"/>
        </w:rPr>
        <w:t xml:space="preserve">opportunities for targeted intervention in high risk patients requiring more aggressive interventions.  </w:t>
      </w:r>
      <w:r w:rsidR="00F37E16" w:rsidRPr="005759D1">
        <w:rPr>
          <w:rFonts w:asciiTheme="majorHAnsi" w:hAnsiTheme="majorHAnsi" w:cstheme="majorHAnsi"/>
          <w:sz w:val="22"/>
          <w:szCs w:val="22"/>
        </w:rPr>
        <w:t>T</w:t>
      </w:r>
      <w:r w:rsidR="00357BE0" w:rsidRPr="005759D1">
        <w:rPr>
          <w:rFonts w:asciiTheme="majorHAnsi" w:hAnsiTheme="majorHAnsi" w:cstheme="majorHAnsi"/>
          <w:sz w:val="22"/>
          <w:szCs w:val="22"/>
        </w:rPr>
        <w:t xml:space="preserve">his study will </w:t>
      </w:r>
      <w:r w:rsidR="00F37E16" w:rsidRPr="005759D1">
        <w:rPr>
          <w:rFonts w:asciiTheme="majorHAnsi" w:hAnsiTheme="majorHAnsi" w:cstheme="majorHAnsi"/>
          <w:sz w:val="22"/>
          <w:szCs w:val="22"/>
        </w:rPr>
        <w:t>garner</w:t>
      </w:r>
      <w:r w:rsidR="00357BE0" w:rsidRPr="005759D1">
        <w:rPr>
          <w:rFonts w:asciiTheme="majorHAnsi" w:hAnsiTheme="majorHAnsi" w:cstheme="majorHAnsi"/>
          <w:sz w:val="22"/>
          <w:szCs w:val="22"/>
        </w:rPr>
        <w:t xml:space="preserve"> pilot data to support larger</w:t>
      </w:r>
      <w:r w:rsidR="00B95639" w:rsidRPr="005759D1">
        <w:rPr>
          <w:rFonts w:asciiTheme="majorHAnsi" w:hAnsiTheme="majorHAnsi" w:cstheme="majorHAnsi"/>
          <w:sz w:val="22"/>
          <w:szCs w:val="22"/>
        </w:rPr>
        <w:t>, externally-funded studies</w:t>
      </w:r>
      <w:r w:rsidR="00F37E16" w:rsidRPr="005759D1">
        <w:rPr>
          <w:rFonts w:asciiTheme="majorHAnsi" w:hAnsiTheme="majorHAnsi" w:cstheme="majorHAnsi"/>
          <w:sz w:val="22"/>
          <w:szCs w:val="22"/>
        </w:rPr>
        <w:t xml:space="preserve"> to</w:t>
      </w:r>
      <w:r w:rsidR="00357BE0" w:rsidRPr="005759D1">
        <w:rPr>
          <w:rFonts w:asciiTheme="majorHAnsi" w:hAnsiTheme="majorHAnsi" w:cstheme="majorHAnsi"/>
          <w:sz w:val="22"/>
          <w:szCs w:val="22"/>
        </w:rPr>
        <w:t xml:space="preserve"> </w:t>
      </w:r>
      <w:r w:rsidR="00F37E16" w:rsidRPr="005759D1">
        <w:rPr>
          <w:rFonts w:asciiTheme="majorHAnsi" w:hAnsiTheme="majorHAnsi" w:cstheme="majorHAnsi"/>
          <w:sz w:val="22"/>
          <w:szCs w:val="22"/>
        </w:rPr>
        <w:t>further</w:t>
      </w:r>
      <w:r w:rsidR="00357BE0" w:rsidRPr="005759D1">
        <w:rPr>
          <w:rFonts w:asciiTheme="majorHAnsi" w:hAnsiTheme="majorHAnsi" w:cstheme="majorHAnsi"/>
          <w:sz w:val="22"/>
          <w:szCs w:val="22"/>
        </w:rPr>
        <w:t xml:space="preserve"> test and validat</w:t>
      </w:r>
      <w:r w:rsidR="00F37E16" w:rsidRPr="005759D1">
        <w:rPr>
          <w:rFonts w:asciiTheme="majorHAnsi" w:hAnsiTheme="majorHAnsi" w:cstheme="majorHAnsi"/>
          <w:sz w:val="22"/>
          <w:szCs w:val="22"/>
        </w:rPr>
        <w:t>e</w:t>
      </w:r>
      <w:r w:rsidR="00357BE0" w:rsidRPr="005759D1">
        <w:rPr>
          <w:rFonts w:asciiTheme="majorHAnsi" w:hAnsiTheme="majorHAnsi" w:cstheme="majorHAnsi"/>
          <w:sz w:val="22"/>
          <w:szCs w:val="22"/>
        </w:rPr>
        <w:t xml:space="preserve"> potential candidate markers.  </w:t>
      </w:r>
    </w:p>
    <w:p w:rsidR="00AE3F50" w:rsidRPr="005759D1" w:rsidRDefault="00AE3F50" w:rsidP="008C7FDC">
      <w:pPr>
        <w:rPr>
          <w:rFonts w:asciiTheme="majorHAnsi" w:hAnsiTheme="majorHAnsi" w:cstheme="majorHAnsi"/>
          <w:b/>
          <w:sz w:val="22"/>
          <w:szCs w:val="22"/>
        </w:rPr>
      </w:pPr>
    </w:p>
    <w:p w:rsidR="00534FE2" w:rsidRPr="005759D1" w:rsidRDefault="00864AD8" w:rsidP="00864AD8">
      <w:pPr>
        <w:ind w:left="360"/>
        <w:rPr>
          <w:rFonts w:asciiTheme="majorHAnsi" w:hAnsiTheme="majorHAnsi" w:cstheme="majorHAnsi"/>
          <w:b/>
          <w:sz w:val="22"/>
          <w:szCs w:val="22"/>
        </w:rPr>
      </w:pPr>
      <w:r w:rsidRPr="005759D1">
        <w:rPr>
          <w:rFonts w:asciiTheme="majorHAnsi" w:hAnsiTheme="majorHAnsi" w:cstheme="majorHAnsi"/>
          <w:b/>
          <w:sz w:val="22"/>
          <w:szCs w:val="22"/>
        </w:rPr>
        <w:t xml:space="preserve">E. </w:t>
      </w:r>
      <w:r w:rsidR="00CE6687" w:rsidRPr="005759D1">
        <w:rPr>
          <w:rFonts w:asciiTheme="majorHAnsi" w:hAnsiTheme="majorHAnsi" w:cstheme="majorHAnsi"/>
          <w:b/>
          <w:sz w:val="22"/>
          <w:szCs w:val="22"/>
        </w:rPr>
        <w:t>Preliminary Studies/Data</w:t>
      </w:r>
      <w:r w:rsidR="009773B6" w:rsidRPr="005759D1">
        <w:rPr>
          <w:rFonts w:asciiTheme="majorHAnsi" w:hAnsiTheme="majorHAnsi" w:cstheme="majorHAnsi"/>
          <w:b/>
          <w:sz w:val="22"/>
          <w:szCs w:val="22"/>
        </w:rPr>
        <w:t xml:space="preserve"> </w:t>
      </w:r>
    </w:p>
    <w:p w:rsidR="002A39EA" w:rsidRPr="005759D1" w:rsidRDefault="002A39EA" w:rsidP="0007330C">
      <w:pPr>
        <w:rPr>
          <w:rFonts w:asciiTheme="majorHAnsi" w:hAnsiTheme="majorHAnsi" w:cstheme="majorHAnsi"/>
          <w:sz w:val="22"/>
          <w:szCs w:val="22"/>
        </w:rPr>
      </w:pPr>
    </w:p>
    <w:p w:rsidR="00C54EEF" w:rsidRPr="005759D1" w:rsidRDefault="00111A33" w:rsidP="0007330C">
      <w:pPr>
        <w:rPr>
          <w:rFonts w:asciiTheme="majorHAnsi" w:hAnsiTheme="majorHAnsi" w:cstheme="majorHAnsi"/>
          <w:sz w:val="22"/>
          <w:szCs w:val="22"/>
        </w:rPr>
      </w:pPr>
      <w:r w:rsidRPr="005759D1">
        <w:rPr>
          <w:rFonts w:asciiTheme="majorHAnsi" w:hAnsiTheme="majorHAnsi" w:cstheme="majorHAnsi"/>
          <w:sz w:val="22"/>
          <w:szCs w:val="22"/>
        </w:rPr>
        <w:t>A feasibility run was undertaken to establish approximate rates of POAF onset at Marshfield Clinic</w:t>
      </w:r>
      <w:r w:rsidR="000700ED" w:rsidRPr="005759D1">
        <w:rPr>
          <w:rFonts w:asciiTheme="majorHAnsi" w:hAnsiTheme="majorHAnsi" w:cstheme="majorHAnsi"/>
          <w:sz w:val="22"/>
          <w:szCs w:val="22"/>
        </w:rPr>
        <w:t xml:space="preserve"> (MC)</w:t>
      </w:r>
      <w:r w:rsidRPr="005759D1">
        <w:rPr>
          <w:rFonts w:asciiTheme="majorHAnsi" w:hAnsiTheme="majorHAnsi" w:cstheme="majorHAnsi"/>
          <w:sz w:val="22"/>
          <w:szCs w:val="22"/>
        </w:rPr>
        <w:t xml:space="preserve">.  A </w:t>
      </w:r>
      <w:r w:rsidR="006B74B8" w:rsidRPr="005759D1">
        <w:rPr>
          <w:rFonts w:asciiTheme="majorHAnsi" w:hAnsiTheme="majorHAnsi" w:cstheme="majorHAnsi"/>
          <w:sz w:val="22"/>
          <w:szCs w:val="22"/>
        </w:rPr>
        <w:t>tally</w:t>
      </w:r>
      <w:r w:rsidR="0007330C" w:rsidRPr="005759D1">
        <w:rPr>
          <w:rFonts w:asciiTheme="majorHAnsi" w:hAnsiTheme="majorHAnsi" w:cstheme="majorHAnsi"/>
          <w:sz w:val="22"/>
          <w:szCs w:val="22"/>
        </w:rPr>
        <w:t xml:space="preserve"> of </w:t>
      </w:r>
      <w:r w:rsidR="006B74B8" w:rsidRPr="005759D1">
        <w:rPr>
          <w:rFonts w:asciiTheme="majorHAnsi" w:hAnsiTheme="majorHAnsi" w:cstheme="majorHAnsi"/>
          <w:sz w:val="22"/>
          <w:szCs w:val="22"/>
        </w:rPr>
        <w:t>individuals</w:t>
      </w:r>
      <w:r w:rsidR="0007330C" w:rsidRPr="005759D1">
        <w:rPr>
          <w:rFonts w:asciiTheme="majorHAnsi" w:hAnsiTheme="majorHAnsi" w:cstheme="majorHAnsi"/>
          <w:sz w:val="22"/>
          <w:szCs w:val="22"/>
        </w:rPr>
        <w:t xml:space="preserve"> who </w:t>
      </w:r>
      <w:r w:rsidRPr="005759D1">
        <w:rPr>
          <w:rFonts w:asciiTheme="majorHAnsi" w:hAnsiTheme="majorHAnsi" w:cstheme="majorHAnsi"/>
          <w:sz w:val="22"/>
          <w:szCs w:val="22"/>
        </w:rPr>
        <w:t>underwent a</w:t>
      </w:r>
      <w:r w:rsidR="0007330C" w:rsidRPr="005759D1">
        <w:rPr>
          <w:rFonts w:asciiTheme="majorHAnsi" w:hAnsiTheme="majorHAnsi" w:cstheme="majorHAnsi"/>
          <w:sz w:val="22"/>
          <w:szCs w:val="22"/>
        </w:rPr>
        <w:t xml:space="preserve"> CABG procedure (CPT codes 33510 - 33536) in </w:t>
      </w:r>
      <w:r w:rsidRPr="005759D1">
        <w:rPr>
          <w:rFonts w:asciiTheme="majorHAnsi" w:hAnsiTheme="majorHAnsi" w:cstheme="majorHAnsi"/>
          <w:sz w:val="22"/>
          <w:szCs w:val="22"/>
        </w:rPr>
        <w:t xml:space="preserve">calendar year </w:t>
      </w:r>
      <w:r w:rsidR="0007330C" w:rsidRPr="005759D1">
        <w:rPr>
          <w:rFonts w:asciiTheme="majorHAnsi" w:hAnsiTheme="majorHAnsi" w:cstheme="majorHAnsi"/>
          <w:sz w:val="22"/>
          <w:szCs w:val="22"/>
        </w:rPr>
        <w:t xml:space="preserve">2010 grouped by first diagnosis of atrial fibrillation (ICD 9 code 427.31) </w:t>
      </w:r>
      <w:r w:rsidRPr="005759D1">
        <w:rPr>
          <w:rFonts w:asciiTheme="majorHAnsi" w:hAnsiTheme="majorHAnsi" w:cstheme="majorHAnsi"/>
          <w:sz w:val="22"/>
          <w:szCs w:val="22"/>
        </w:rPr>
        <w:t>post</w:t>
      </w:r>
      <w:r w:rsidR="0007330C" w:rsidRPr="005759D1">
        <w:rPr>
          <w:rFonts w:asciiTheme="majorHAnsi" w:hAnsiTheme="majorHAnsi" w:cstheme="majorHAnsi"/>
          <w:sz w:val="22"/>
          <w:szCs w:val="22"/>
        </w:rPr>
        <w:t xml:space="preserve"> CABG procedure</w:t>
      </w:r>
      <w:r w:rsidRPr="005759D1">
        <w:rPr>
          <w:rFonts w:asciiTheme="majorHAnsi" w:hAnsiTheme="majorHAnsi" w:cstheme="majorHAnsi"/>
          <w:sz w:val="22"/>
          <w:szCs w:val="22"/>
        </w:rPr>
        <w:t xml:space="preserve"> was requested</w:t>
      </w:r>
      <w:r w:rsidR="0007330C" w:rsidRPr="005759D1">
        <w:rPr>
          <w:rFonts w:asciiTheme="majorHAnsi" w:hAnsiTheme="majorHAnsi" w:cstheme="majorHAnsi"/>
          <w:sz w:val="22"/>
          <w:szCs w:val="22"/>
        </w:rPr>
        <w:t>.</w:t>
      </w:r>
      <w:r w:rsidRPr="005759D1">
        <w:rPr>
          <w:rFonts w:asciiTheme="majorHAnsi" w:hAnsiTheme="majorHAnsi" w:cstheme="majorHAnsi"/>
          <w:sz w:val="22"/>
          <w:szCs w:val="22"/>
        </w:rPr>
        <w:t xml:space="preserve">  Data retrieved by electronic medical record interrogation are found in </w:t>
      </w:r>
      <w:r w:rsidRPr="005759D1">
        <w:rPr>
          <w:rFonts w:asciiTheme="majorHAnsi" w:hAnsiTheme="majorHAnsi" w:cstheme="majorHAnsi"/>
          <w:b/>
          <w:sz w:val="22"/>
          <w:szCs w:val="22"/>
        </w:rPr>
        <w:t>Table 1</w:t>
      </w:r>
      <w:r w:rsidR="006B74B8" w:rsidRPr="005759D1">
        <w:rPr>
          <w:rFonts w:asciiTheme="majorHAnsi" w:hAnsiTheme="majorHAnsi" w:cstheme="majorHAnsi"/>
          <w:sz w:val="22"/>
          <w:szCs w:val="22"/>
        </w:rPr>
        <w:t xml:space="preserve">. </w:t>
      </w:r>
      <w:r w:rsidR="00196717" w:rsidRPr="005759D1">
        <w:rPr>
          <w:rFonts w:asciiTheme="majorHAnsi" w:hAnsiTheme="majorHAnsi" w:cstheme="majorHAnsi"/>
          <w:sz w:val="22"/>
          <w:szCs w:val="22"/>
        </w:rPr>
        <w:t xml:space="preserve"> </w:t>
      </w:r>
    </w:p>
    <w:p w:rsidR="002A39EA" w:rsidRPr="005759D1" w:rsidRDefault="002A39EA">
      <w:pPr>
        <w:rPr>
          <w:rFonts w:asciiTheme="majorHAnsi" w:hAnsiTheme="majorHAnsi" w:cstheme="majorHAnsi"/>
          <w:b/>
          <w:sz w:val="22"/>
          <w:szCs w:val="22"/>
        </w:rPr>
      </w:pPr>
      <w:r w:rsidRPr="005759D1">
        <w:rPr>
          <w:rFonts w:asciiTheme="majorHAnsi" w:hAnsiTheme="majorHAnsi" w:cstheme="majorHAnsi"/>
          <w:b/>
          <w:sz w:val="22"/>
          <w:szCs w:val="22"/>
        </w:rPr>
        <w:br w:type="page"/>
      </w:r>
    </w:p>
    <w:p w:rsidR="00E929D4" w:rsidRPr="005759D1" w:rsidRDefault="00111A33" w:rsidP="002B3120">
      <w:pPr>
        <w:ind w:left="3600" w:firstLine="720"/>
        <w:rPr>
          <w:rFonts w:asciiTheme="majorHAnsi" w:hAnsiTheme="majorHAnsi" w:cstheme="majorHAnsi"/>
          <w:b/>
          <w:sz w:val="22"/>
          <w:szCs w:val="22"/>
        </w:rPr>
      </w:pPr>
      <w:r w:rsidRPr="005759D1">
        <w:rPr>
          <w:rFonts w:asciiTheme="majorHAnsi" w:hAnsiTheme="majorHAnsi" w:cstheme="majorHAnsi"/>
          <w:b/>
          <w:sz w:val="22"/>
          <w:szCs w:val="22"/>
        </w:rPr>
        <w:lastRenderedPageBreak/>
        <w:t>Table 1</w:t>
      </w:r>
    </w:p>
    <w:tbl>
      <w:tblPr>
        <w:tblW w:w="10417" w:type="dxa"/>
        <w:tblInd w:w="93" w:type="dxa"/>
        <w:tblLayout w:type="fixed"/>
        <w:tblLook w:val="04A0" w:firstRow="1" w:lastRow="0" w:firstColumn="1" w:lastColumn="0" w:noHBand="0" w:noVBand="1"/>
      </w:tblPr>
      <w:tblGrid>
        <w:gridCol w:w="2715"/>
        <w:gridCol w:w="1350"/>
        <w:gridCol w:w="1260"/>
        <w:gridCol w:w="2790"/>
        <w:gridCol w:w="2302"/>
      </w:tblGrid>
      <w:tr w:rsidR="005759D1" w:rsidRPr="005759D1" w:rsidTr="005759D1">
        <w:trPr>
          <w:trHeight w:val="727"/>
        </w:trPr>
        <w:tc>
          <w:tcPr>
            <w:tcW w:w="2715" w:type="dxa"/>
            <w:tcBorders>
              <w:top w:val="single" w:sz="8" w:space="0" w:color="auto"/>
              <w:left w:val="single" w:sz="8" w:space="0" w:color="auto"/>
              <w:bottom w:val="single" w:sz="8" w:space="0" w:color="auto"/>
              <w:right w:val="single" w:sz="4" w:space="0" w:color="000000"/>
            </w:tcBorders>
            <w:shd w:val="clear" w:color="000000" w:fill="C0C0C0"/>
            <w:vAlign w:val="center"/>
            <w:hideMark/>
          </w:tcPr>
          <w:p w:rsidR="00E929D4" w:rsidRPr="005759D1" w:rsidRDefault="00E929D4" w:rsidP="00323318">
            <w:pPr>
              <w:jc w:val="center"/>
              <w:rPr>
                <w:rFonts w:asciiTheme="majorHAnsi" w:hAnsiTheme="majorHAnsi" w:cstheme="majorHAnsi"/>
                <w:b/>
                <w:bCs/>
                <w:sz w:val="22"/>
                <w:szCs w:val="22"/>
              </w:rPr>
            </w:pPr>
            <w:r w:rsidRPr="005759D1">
              <w:rPr>
                <w:rFonts w:asciiTheme="majorHAnsi" w:hAnsiTheme="majorHAnsi" w:cstheme="majorHAnsi"/>
                <w:b/>
                <w:bCs/>
                <w:sz w:val="22"/>
                <w:szCs w:val="22"/>
              </w:rPr>
              <w:t xml:space="preserve">Days </w:t>
            </w:r>
            <w:r w:rsidR="00323318" w:rsidRPr="005759D1">
              <w:rPr>
                <w:rFonts w:asciiTheme="majorHAnsi" w:hAnsiTheme="majorHAnsi" w:cstheme="majorHAnsi"/>
                <w:b/>
                <w:bCs/>
                <w:sz w:val="22"/>
                <w:szCs w:val="22"/>
              </w:rPr>
              <w:t>to onset of POAF</w:t>
            </w:r>
          </w:p>
        </w:tc>
        <w:tc>
          <w:tcPr>
            <w:tcW w:w="1350" w:type="dxa"/>
            <w:tcBorders>
              <w:top w:val="single" w:sz="8" w:space="0" w:color="auto"/>
              <w:left w:val="nil"/>
              <w:bottom w:val="single" w:sz="8" w:space="0" w:color="auto"/>
              <w:right w:val="single" w:sz="4" w:space="0" w:color="000000"/>
            </w:tcBorders>
            <w:shd w:val="clear" w:color="000000" w:fill="C0C0C0"/>
            <w:vAlign w:val="center"/>
            <w:hideMark/>
          </w:tcPr>
          <w:p w:rsidR="00E929D4" w:rsidRPr="005759D1" w:rsidRDefault="00E929D4">
            <w:pPr>
              <w:jc w:val="center"/>
              <w:rPr>
                <w:rFonts w:asciiTheme="majorHAnsi" w:hAnsiTheme="majorHAnsi" w:cstheme="majorHAnsi"/>
                <w:b/>
                <w:bCs/>
                <w:sz w:val="22"/>
                <w:szCs w:val="22"/>
              </w:rPr>
            </w:pPr>
            <w:r w:rsidRPr="005759D1">
              <w:rPr>
                <w:rFonts w:asciiTheme="majorHAnsi" w:hAnsiTheme="majorHAnsi" w:cstheme="majorHAnsi"/>
                <w:b/>
                <w:bCs/>
                <w:sz w:val="22"/>
                <w:szCs w:val="22"/>
              </w:rPr>
              <w:t>Frequency</w:t>
            </w:r>
          </w:p>
        </w:tc>
        <w:tc>
          <w:tcPr>
            <w:tcW w:w="1260" w:type="dxa"/>
            <w:tcBorders>
              <w:top w:val="single" w:sz="8" w:space="0" w:color="auto"/>
              <w:left w:val="nil"/>
              <w:bottom w:val="single" w:sz="8" w:space="0" w:color="auto"/>
              <w:right w:val="single" w:sz="4" w:space="0" w:color="000000"/>
            </w:tcBorders>
            <w:shd w:val="clear" w:color="000000" w:fill="C0C0C0"/>
            <w:vAlign w:val="center"/>
            <w:hideMark/>
          </w:tcPr>
          <w:p w:rsidR="00E929D4" w:rsidRPr="005759D1" w:rsidRDefault="00E929D4">
            <w:pPr>
              <w:jc w:val="center"/>
              <w:rPr>
                <w:rFonts w:asciiTheme="majorHAnsi" w:hAnsiTheme="majorHAnsi" w:cstheme="majorHAnsi"/>
                <w:b/>
                <w:bCs/>
                <w:sz w:val="22"/>
                <w:szCs w:val="22"/>
              </w:rPr>
            </w:pPr>
            <w:r w:rsidRPr="005759D1">
              <w:rPr>
                <w:rFonts w:asciiTheme="majorHAnsi" w:hAnsiTheme="majorHAnsi" w:cstheme="majorHAnsi"/>
                <w:b/>
                <w:bCs/>
                <w:sz w:val="22"/>
                <w:szCs w:val="22"/>
              </w:rPr>
              <w:t>Percent</w:t>
            </w:r>
          </w:p>
        </w:tc>
        <w:tc>
          <w:tcPr>
            <w:tcW w:w="2790" w:type="dxa"/>
            <w:tcBorders>
              <w:top w:val="single" w:sz="8" w:space="0" w:color="auto"/>
              <w:left w:val="nil"/>
              <w:bottom w:val="single" w:sz="8" w:space="0" w:color="auto"/>
              <w:right w:val="single" w:sz="4" w:space="0" w:color="000000"/>
            </w:tcBorders>
            <w:shd w:val="clear" w:color="000000" w:fill="C0C0C0"/>
            <w:vAlign w:val="center"/>
            <w:hideMark/>
          </w:tcPr>
          <w:p w:rsidR="00E929D4" w:rsidRPr="005759D1" w:rsidRDefault="00E929D4">
            <w:pPr>
              <w:jc w:val="center"/>
              <w:rPr>
                <w:rFonts w:asciiTheme="majorHAnsi" w:hAnsiTheme="majorHAnsi" w:cstheme="majorHAnsi"/>
                <w:b/>
                <w:bCs/>
                <w:sz w:val="22"/>
                <w:szCs w:val="22"/>
              </w:rPr>
            </w:pPr>
            <w:r w:rsidRPr="005759D1">
              <w:rPr>
                <w:rFonts w:asciiTheme="majorHAnsi" w:hAnsiTheme="majorHAnsi" w:cstheme="majorHAnsi"/>
                <w:b/>
                <w:bCs/>
                <w:sz w:val="22"/>
                <w:szCs w:val="22"/>
              </w:rPr>
              <w:t>Cumulative Frequency</w:t>
            </w:r>
          </w:p>
        </w:tc>
        <w:tc>
          <w:tcPr>
            <w:tcW w:w="2302" w:type="dxa"/>
            <w:tcBorders>
              <w:top w:val="single" w:sz="8" w:space="0" w:color="auto"/>
              <w:left w:val="nil"/>
              <w:bottom w:val="single" w:sz="8" w:space="0" w:color="auto"/>
              <w:right w:val="single" w:sz="8" w:space="0" w:color="auto"/>
            </w:tcBorders>
            <w:shd w:val="clear" w:color="000000" w:fill="C0C0C0"/>
            <w:vAlign w:val="center"/>
            <w:hideMark/>
          </w:tcPr>
          <w:p w:rsidR="00E929D4" w:rsidRPr="005759D1" w:rsidRDefault="00E929D4">
            <w:pPr>
              <w:jc w:val="center"/>
              <w:rPr>
                <w:rFonts w:asciiTheme="majorHAnsi" w:hAnsiTheme="majorHAnsi" w:cstheme="majorHAnsi"/>
                <w:b/>
                <w:bCs/>
                <w:sz w:val="22"/>
                <w:szCs w:val="22"/>
              </w:rPr>
            </w:pPr>
            <w:r w:rsidRPr="005759D1">
              <w:rPr>
                <w:rFonts w:asciiTheme="majorHAnsi" w:hAnsiTheme="majorHAnsi" w:cstheme="majorHAnsi"/>
                <w:b/>
                <w:bCs/>
                <w:sz w:val="22"/>
                <w:szCs w:val="22"/>
              </w:rPr>
              <w:t>Cumulative Percent</w:t>
            </w:r>
          </w:p>
        </w:tc>
      </w:tr>
      <w:tr w:rsidR="005759D1" w:rsidRPr="005759D1" w:rsidTr="005759D1">
        <w:trPr>
          <w:trHeight w:val="315"/>
        </w:trPr>
        <w:tc>
          <w:tcPr>
            <w:tcW w:w="2715" w:type="dxa"/>
            <w:tcBorders>
              <w:top w:val="single" w:sz="4" w:space="0" w:color="000000"/>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00 days</w:t>
            </w:r>
          </w:p>
        </w:tc>
        <w:tc>
          <w:tcPr>
            <w:tcW w:w="1350" w:type="dxa"/>
            <w:tcBorders>
              <w:top w:val="single" w:sz="4" w:space="0" w:color="000000"/>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10</w:t>
            </w:r>
          </w:p>
        </w:tc>
        <w:tc>
          <w:tcPr>
            <w:tcW w:w="1260" w:type="dxa"/>
            <w:tcBorders>
              <w:top w:val="single" w:sz="4" w:space="0" w:color="000000"/>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2.22</w:t>
            </w:r>
          </w:p>
        </w:tc>
        <w:tc>
          <w:tcPr>
            <w:tcW w:w="2790" w:type="dxa"/>
            <w:tcBorders>
              <w:top w:val="single" w:sz="4" w:space="0" w:color="000000"/>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10</w:t>
            </w:r>
          </w:p>
        </w:tc>
        <w:tc>
          <w:tcPr>
            <w:tcW w:w="2302" w:type="dxa"/>
            <w:tcBorders>
              <w:top w:val="single" w:sz="4" w:space="0" w:color="000000"/>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2.22</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01 day</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0.44</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12</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2.66</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02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0.67</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15</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3.33</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03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0.89</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19</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4.21</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04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0.67</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22</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4.88</w:t>
            </w:r>
          </w:p>
        </w:tc>
      </w:tr>
      <w:tr w:rsidR="005759D1" w:rsidRPr="005759D1" w:rsidTr="005759D1">
        <w:trPr>
          <w:trHeight w:val="330"/>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05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0.67</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25</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5.54</w:t>
            </w:r>
          </w:p>
        </w:tc>
      </w:tr>
      <w:tr w:rsidR="005759D1" w:rsidRPr="005759D1" w:rsidTr="005759D1">
        <w:trPr>
          <w:trHeight w:val="330"/>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06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0.22</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26</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5.76</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07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0.22</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27</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5.99</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08 to 14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2.44</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38</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8.43</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15 to 21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9</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47</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10.42</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22 to 28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7</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1.55</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54</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11.97</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29 to 35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2.44</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65</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14.41</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36 to 42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0.22</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66</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14.63</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tcPr>
          <w:p w:rsidR="00D03C6F" w:rsidRPr="005759D1" w:rsidRDefault="00D03C6F">
            <w:pPr>
              <w:rPr>
                <w:rFonts w:asciiTheme="majorHAnsi" w:hAnsiTheme="majorHAnsi" w:cstheme="majorHAnsi"/>
                <w:b/>
                <w:bCs/>
                <w:sz w:val="20"/>
                <w:szCs w:val="20"/>
              </w:rPr>
            </w:pPr>
            <w:r w:rsidRPr="005759D1">
              <w:rPr>
                <w:rFonts w:asciiTheme="majorHAnsi" w:hAnsiTheme="majorHAnsi" w:cstheme="majorHAnsi"/>
                <w:b/>
                <w:bCs/>
                <w:sz w:val="20"/>
                <w:szCs w:val="20"/>
              </w:rPr>
              <w:t>43 to 49 days</w:t>
            </w:r>
          </w:p>
        </w:tc>
        <w:tc>
          <w:tcPr>
            <w:tcW w:w="1350" w:type="dxa"/>
            <w:tcBorders>
              <w:top w:val="nil"/>
              <w:left w:val="nil"/>
              <w:bottom w:val="single" w:sz="4" w:space="0" w:color="000000"/>
              <w:right w:val="single" w:sz="4" w:space="0" w:color="000000"/>
            </w:tcBorders>
            <w:shd w:val="clear" w:color="000000" w:fill="FFFFFF"/>
          </w:tcPr>
          <w:p w:rsidR="00D03C6F" w:rsidRPr="005759D1" w:rsidRDefault="00D03C6F" w:rsidP="00323318">
            <w:pPr>
              <w:jc w:val="center"/>
              <w:rPr>
                <w:rFonts w:asciiTheme="majorHAnsi" w:hAnsiTheme="majorHAnsi" w:cstheme="majorHAnsi"/>
                <w:sz w:val="22"/>
                <w:szCs w:val="22"/>
              </w:rPr>
            </w:pPr>
            <w:r w:rsidRPr="005759D1">
              <w:rPr>
                <w:rFonts w:asciiTheme="majorHAnsi" w:hAnsiTheme="majorHAnsi" w:cstheme="majorHAnsi"/>
                <w:sz w:val="22"/>
                <w:szCs w:val="22"/>
              </w:rPr>
              <w:t>0</w:t>
            </w:r>
          </w:p>
        </w:tc>
        <w:tc>
          <w:tcPr>
            <w:tcW w:w="1260" w:type="dxa"/>
            <w:tcBorders>
              <w:top w:val="nil"/>
              <w:left w:val="nil"/>
              <w:bottom w:val="single" w:sz="4" w:space="0" w:color="000000"/>
              <w:right w:val="single" w:sz="4" w:space="0" w:color="000000"/>
            </w:tcBorders>
            <w:shd w:val="clear" w:color="000000" w:fill="FFFFFF"/>
          </w:tcPr>
          <w:p w:rsidR="00D03C6F" w:rsidRPr="005759D1" w:rsidRDefault="00D03C6F" w:rsidP="00323318">
            <w:pPr>
              <w:jc w:val="center"/>
              <w:rPr>
                <w:rFonts w:asciiTheme="majorHAnsi" w:hAnsiTheme="majorHAnsi" w:cstheme="majorHAnsi"/>
                <w:sz w:val="22"/>
                <w:szCs w:val="22"/>
              </w:rPr>
            </w:pPr>
            <w:r w:rsidRPr="005759D1">
              <w:rPr>
                <w:rFonts w:asciiTheme="majorHAnsi" w:hAnsiTheme="majorHAnsi" w:cstheme="majorHAnsi"/>
                <w:sz w:val="22"/>
                <w:szCs w:val="22"/>
              </w:rPr>
              <w:t>0</w:t>
            </w:r>
          </w:p>
        </w:tc>
        <w:tc>
          <w:tcPr>
            <w:tcW w:w="2790" w:type="dxa"/>
            <w:tcBorders>
              <w:top w:val="nil"/>
              <w:left w:val="nil"/>
              <w:bottom w:val="single" w:sz="4" w:space="0" w:color="000000"/>
              <w:right w:val="single" w:sz="4" w:space="0" w:color="000000"/>
            </w:tcBorders>
            <w:shd w:val="clear" w:color="000000" w:fill="FFFFFF"/>
          </w:tcPr>
          <w:p w:rsidR="00D03C6F" w:rsidRPr="005759D1" w:rsidRDefault="00D03C6F" w:rsidP="00323318">
            <w:pPr>
              <w:jc w:val="center"/>
              <w:rPr>
                <w:rFonts w:asciiTheme="majorHAnsi" w:hAnsiTheme="majorHAnsi" w:cstheme="majorHAnsi"/>
                <w:sz w:val="22"/>
                <w:szCs w:val="22"/>
              </w:rPr>
            </w:pPr>
            <w:r w:rsidRPr="005759D1">
              <w:rPr>
                <w:rFonts w:asciiTheme="majorHAnsi" w:hAnsiTheme="majorHAnsi" w:cstheme="majorHAnsi"/>
                <w:sz w:val="22"/>
                <w:szCs w:val="22"/>
              </w:rPr>
              <w:t>66</w:t>
            </w:r>
          </w:p>
        </w:tc>
        <w:tc>
          <w:tcPr>
            <w:tcW w:w="2302" w:type="dxa"/>
            <w:tcBorders>
              <w:top w:val="nil"/>
              <w:left w:val="nil"/>
              <w:bottom w:val="single" w:sz="4" w:space="0" w:color="000000"/>
              <w:right w:val="single" w:sz="8" w:space="0" w:color="000000"/>
            </w:tcBorders>
            <w:shd w:val="clear" w:color="000000" w:fill="FFFFFF"/>
          </w:tcPr>
          <w:p w:rsidR="00D03C6F" w:rsidRPr="005759D1" w:rsidRDefault="00D03C6F" w:rsidP="00323318">
            <w:pPr>
              <w:jc w:val="center"/>
              <w:rPr>
                <w:rFonts w:asciiTheme="majorHAnsi" w:hAnsiTheme="majorHAnsi" w:cstheme="majorHAnsi"/>
                <w:sz w:val="22"/>
                <w:szCs w:val="22"/>
              </w:rPr>
            </w:pPr>
            <w:r w:rsidRPr="005759D1">
              <w:rPr>
                <w:rFonts w:asciiTheme="majorHAnsi" w:hAnsiTheme="majorHAnsi" w:cstheme="majorHAnsi"/>
                <w:sz w:val="22"/>
                <w:szCs w:val="22"/>
              </w:rPr>
              <w:t>14.63</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50 to 56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0.44</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68</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15.08</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57 to 63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0.22</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69</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15.3</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64+ days</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12</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2.66</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81</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17.96</w:t>
            </w:r>
          </w:p>
        </w:tc>
      </w:tr>
      <w:tr w:rsidR="005759D1" w:rsidRPr="005759D1" w:rsidTr="005759D1">
        <w:trPr>
          <w:trHeight w:val="315"/>
        </w:trPr>
        <w:tc>
          <w:tcPr>
            <w:tcW w:w="2715" w:type="dxa"/>
            <w:tcBorders>
              <w:top w:val="nil"/>
              <w:left w:val="single" w:sz="8" w:space="0" w:color="000000"/>
              <w:bottom w:val="single" w:sz="4"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never</w:t>
            </w:r>
          </w:p>
        </w:tc>
        <w:tc>
          <w:tcPr>
            <w:tcW w:w="135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271</w:t>
            </w:r>
          </w:p>
        </w:tc>
        <w:tc>
          <w:tcPr>
            <w:tcW w:w="126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60.09</w:t>
            </w:r>
          </w:p>
        </w:tc>
        <w:tc>
          <w:tcPr>
            <w:tcW w:w="2790" w:type="dxa"/>
            <w:tcBorders>
              <w:top w:val="nil"/>
              <w:left w:val="nil"/>
              <w:bottom w:val="single" w:sz="4"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352</w:t>
            </w:r>
          </w:p>
        </w:tc>
        <w:tc>
          <w:tcPr>
            <w:tcW w:w="2302" w:type="dxa"/>
            <w:tcBorders>
              <w:top w:val="nil"/>
              <w:left w:val="nil"/>
              <w:bottom w:val="single" w:sz="4"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78.05</w:t>
            </w:r>
          </w:p>
        </w:tc>
      </w:tr>
      <w:tr w:rsidR="005759D1" w:rsidRPr="005759D1" w:rsidTr="005759D1">
        <w:trPr>
          <w:trHeight w:val="330"/>
        </w:trPr>
        <w:tc>
          <w:tcPr>
            <w:tcW w:w="2715" w:type="dxa"/>
            <w:tcBorders>
              <w:top w:val="nil"/>
              <w:left w:val="single" w:sz="8" w:space="0" w:color="000000"/>
              <w:bottom w:val="single" w:sz="8"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Atrial Fib. prior to CABG</w:t>
            </w:r>
          </w:p>
        </w:tc>
        <w:tc>
          <w:tcPr>
            <w:tcW w:w="1350" w:type="dxa"/>
            <w:tcBorders>
              <w:top w:val="nil"/>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99</w:t>
            </w:r>
          </w:p>
        </w:tc>
        <w:tc>
          <w:tcPr>
            <w:tcW w:w="1260" w:type="dxa"/>
            <w:tcBorders>
              <w:top w:val="nil"/>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21.95</w:t>
            </w:r>
          </w:p>
        </w:tc>
        <w:tc>
          <w:tcPr>
            <w:tcW w:w="2790" w:type="dxa"/>
            <w:tcBorders>
              <w:top w:val="nil"/>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451</w:t>
            </w:r>
          </w:p>
        </w:tc>
        <w:tc>
          <w:tcPr>
            <w:tcW w:w="2302" w:type="dxa"/>
            <w:tcBorders>
              <w:top w:val="nil"/>
              <w:left w:val="nil"/>
              <w:bottom w:val="single" w:sz="8"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100</w:t>
            </w:r>
          </w:p>
        </w:tc>
      </w:tr>
      <w:tr w:rsidR="005759D1" w:rsidRPr="005759D1" w:rsidTr="005759D1">
        <w:trPr>
          <w:trHeight w:val="330"/>
        </w:trPr>
        <w:tc>
          <w:tcPr>
            <w:tcW w:w="2715" w:type="dxa"/>
            <w:tcBorders>
              <w:top w:val="single" w:sz="4" w:space="0" w:color="000000"/>
              <w:left w:val="single" w:sz="8" w:space="0" w:color="000000"/>
              <w:bottom w:val="single" w:sz="8" w:space="0" w:color="000000"/>
              <w:right w:val="single" w:sz="4" w:space="0" w:color="000000"/>
            </w:tcBorders>
            <w:shd w:val="clear" w:color="000000" w:fill="FFFFFF"/>
            <w:hideMark/>
          </w:tcPr>
          <w:p w:rsidR="00E929D4" w:rsidRPr="005759D1" w:rsidRDefault="00E929D4">
            <w:pPr>
              <w:rPr>
                <w:rFonts w:asciiTheme="majorHAnsi" w:hAnsiTheme="majorHAnsi" w:cstheme="majorHAnsi"/>
                <w:b/>
                <w:bCs/>
                <w:sz w:val="20"/>
                <w:szCs w:val="20"/>
              </w:rPr>
            </w:pPr>
            <w:r w:rsidRPr="005759D1">
              <w:rPr>
                <w:rFonts w:asciiTheme="majorHAnsi" w:hAnsiTheme="majorHAnsi" w:cstheme="majorHAnsi"/>
                <w:b/>
                <w:bCs/>
                <w:sz w:val="20"/>
                <w:szCs w:val="20"/>
              </w:rPr>
              <w:t>Total</w:t>
            </w:r>
          </w:p>
        </w:tc>
        <w:tc>
          <w:tcPr>
            <w:tcW w:w="1350" w:type="dxa"/>
            <w:tcBorders>
              <w:top w:val="single" w:sz="4" w:space="0" w:color="000000"/>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r w:rsidRPr="005759D1">
              <w:rPr>
                <w:rFonts w:asciiTheme="majorHAnsi" w:hAnsiTheme="majorHAnsi" w:cstheme="majorHAnsi"/>
                <w:sz w:val="22"/>
                <w:szCs w:val="22"/>
              </w:rPr>
              <w:t>451</w:t>
            </w:r>
          </w:p>
        </w:tc>
        <w:tc>
          <w:tcPr>
            <w:tcW w:w="1260" w:type="dxa"/>
            <w:tcBorders>
              <w:top w:val="single" w:sz="4" w:space="0" w:color="000000"/>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p>
        </w:tc>
        <w:tc>
          <w:tcPr>
            <w:tcW w:w="2790" w:type="dxa"/>
            <w:tcBorders>
              <w:top w:val="single" w:sz="4" w:space="0" w:color="000000"/>
              <w:left w:val="nil"/>
              <w:bottom w:val="single" w:sz="8" w:space="0" w:color="000000"/>
              <w:right w:val="single" w:sz="4"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p>
        </w:tc>
        <w:tc>
          <w:tcPr>
            <w:tcW w:w="2302" w:type="dxa"/>
            <w:tcBorders>
              <w:top w:val="single" w:sz="4" w:space="0" w:color="000000"/>
              <w:left w:val="nil"/>
              <w:bottom w:val="single" w:sz="8" w:space="0" w:color="000000"/>
              <w:right w:val="single" w:sz="8" w:space="0" w:color="000000"/>
            </w:tcBorders>
            <w:shd w:val="clear" w:color="000000" w:fill="FFFFFF"/>
            <w:hideMark/>
          </w:tcPr>
          <w:p w:rsidR="00E929D4" w:rsidRPr="005759D1" w:rsidRDefault="00E929D4" w:rsidP="00323318">
            <w:pPr>
              <w:jc w:val="center"/>
              <w:rPr>
                <w:rFonts w:asciiTheme="majorHAnsi" w:hAnsiTheme="majorHAnsi" w:cstheme="majorHAnsi"/>
                <w:sz w:val="22"/>
                <w:szCs w:val="22"/>
              </w:rPr>
            </w:pPr>
          </w:p>
        </w:tc>
      </w:tr>
    </w:tbl>
    <w:p w:rsidR="005759D1" w:rsidRPr="005759D1" w:rsidRDefault="005759D1" w:rsidP="005759D1">
      <w:pPr>
        <w:rPr>
          <w:rFonts w:asciiTheme="majorHAnsi" w:hAnsiTheme="majorHAnsi" w:cstheme="majorHAnsi"/>
          <w:sz w:val="22"/>
          <w:szCs w:val="22"/>
        </w:rPr>
      </w:pPr>
      <w:r w:rsidRPr="005759D1">
        <w:rPr>
          <w:rFonts w:asciiTheme="majorHAnsi" w:hAnsiTheme="majorHAnsi" w:cstheme="majorHAnsi"/>
          <w:sz w:val="22"/>
          <w:szCs w:val="22"/>
        </w:rPr>
        <w:t xml:space="preserve">Data show that highest incidence occurred in week 1 (n=27), whereas an equivalent number of individuals developed POAF between day 8 and 28 (n=27).  </w:t>
      </w:r>
    </w:p>
    <w:p w:rsidR="002D32B6" w:rsidRPr="005759D1" w:rsidRDefault="002D32B6">
      <w:pPr>
        <w:rPr>
          <w:rFonts w:asciiTheme="majorHAnsi" w:hAnsiTheme="majorHAnsi" w:cstheme="majorHAnsi"/>
          <w:b/>
          <w:color w:val="000080"/>
          <w:sz w:val="22"/>
          <w:szCs w:val="22"/>
        </w:rPr>
      </w:pPr>
    </w:p>
    <w:p w:rsidR="002B6B1D" w:rsidRPr="005759D1" w:rsidRDefault="002B3120">
      <w:pPr>
        <w:rPr>
          <w:rFonts w:asciiTheme="majorHAnsi" w:hAnsiTheme="majorHAnsi" w:cstheme="majorHAnsi"/>
          <w:b/>
          <w:color w:val="000080"/>
          <w:sz w:val="22"/>
          <w:szCs w:val="22"/>
        </w:rPr>
        <w:sectPr w:rsidR="002B6B1D" w:rsidRPr="005759D1" w:rsidSect="0028121D">
          <w:pgSz w:w="12240" w:h="15840"/>
          <w:pgMar w:top="720" w:right="720" w:bottom="720" w:left="720" w:header="720" w:footer="720" w:gutter="0"/>
          <w:cols w:space="720"/>
          <w:docGrid w:linePitch="360"/>
        </w:sectPr>
      </w:pPr>
      <w:r w:rsidRPr="005759D1">
        <w:rPr>
          <w:rFonts w:asciiTheme="majorHAnsi" w:hAnsiTheme="majorHAnsi" w:cstheme="majorHAnsi"/>
          <w:sz w:val="22"/>
          <w:szCs w:val="22"/>
        </w:rPr>
        <w:t xml:space="preserve">For purposes of the present study, patients who develop POAF between day 0 and 30 will be considered study candidates.  Incidence of AF either prior to surgery or beyond 30 days following surgery will not be included in the current study since different events may </w:t>
      </w:r>
      <w:r w:rsidR="00597913" w:rsidRPr="005759D1">
        <w:rPr>
          <w:rFonts w:asciiTheme="majorHAnsi" w:hAnsiTheme="majorHAnsi" w:cstheme="majorHAnsi"/>
          <w:sz w:val="22"/>
          <w:szCs w:val="22"/>
        </w:rPr>
        <w:t>contribute to</w:t>
      </w:r>
      <w:r w:rsidRPr="005759D1">
        <w:rPr>
          <w:rFonts w:asciiTheme="majorHAnsi" w:hAnsiTheme="majorHAnsi" w:cstheme="majorHAnsi"/>
          <w:sz w:val="22"/>
          <w:szCs w:val="22"/>
        </w:rPr>
        <w:t xml:space="preserve"> </w:t>
      </w:r>
      <w:r w:rsidR="00597913" w:rsidRPr="005759D1">
        <w:rPr>
          <w:rFonts w:asciiTheme="majorHAnsi" w:hAnsiTheme="majorHAnsi" w:cstheme="majorHAnsi"/>
          <w:sz w:val="22"/>
          <w:szCs w:val="22"/>
        </w:rPr>
        <w:t>AF</w:t>
      </w:r>
      <w:r w:rsidRPr="005759D1">
        <w:rPr>
          <w:rFonts w:asciiTheme="majorHAnsi" w:hAnsiTheme="majorHAnsi" w:cstheme="majorHAnsi"/>
          <w:sz w:val="22"/>
          <w:szCs w:val="22"/>
        </w:rPr>
        <w:t xml:space="preserve"> development</w:t>
      </w:r>
      <w:r w:rsidR="00597913" w:rsidRPr="005759D1">
        <w:rPr>
          <w:rFonts w:asciiTheme="majorHAnsi" w:hAnsiTheme="majorHAnsi" w:cstheme="majorHAnsi"/>
          <w:sz w:val="22"/>
          <w:szCs w:val="22"/>
        </w:rPr>
        <w:t xml:space="preserve"> in these patients</w:t>
      </w:r>
      <w:r w:rsidRPr="005759D1">
        <w:rPr>
          <w:rFonts w:asciiTheme="majorHAnsi" w:hAnsiTheme="majorHAnsi" w:cstheme="majorHAnsi"/>
          <w:sz w:val="22"/>
          <w:szCs w:val="22"/>
        </w:rPr>
        <w:t>.  Such patients</w:t>
      </w:r>
      <w:r w:rsidR="00597913" w:rsidRPr="005759D1">
        <w:rPr>
          <w:rFonts w:asciiTheme="majorHAnsi" w:hAnsiTheme="majorHAnsi" w:cstheme="majorHAnsi"/>
          <w:sz w:val="22"/>
          <w:szCs w:val="22"/>
        </w:rPr>
        <w:t xml:space="preserve"> would also not be eligible as</w:t>
      </w:r>
      <w:r w:rsidRPr="005759D1">
        <w:rPr>
          <w:rFonts w:asciiTheme="majorHAnsi" w:hAnsiTheme="majorHAnsi" w:cstheme="majorHAnsi"/>
          <w:sz w:val="22"/>
          <w:szCs w:val="22"/>
        </w:rPr>
        <w:t xml:space="preserve"> control</w:t>
      </w:r>
      <w:r w:rsidR="00597913" w:rsidRPr="005759D1">
        <w:rPr>
          <w:rFonts w:asciiTheme="majorHAnsi" w:hAnsiTheme="majorHAnsi" w:cstheme="majorHAnsi"/>
          <w:sz w:val="22"/>
          <w:szCs w:val="22"/>
        </w:rPr>
        <w:t>s</w:t>
      </w:r>
      <w:r w:rsidRPr="005759D1">
        <w:rPr>
          <w:rFonts w:asciiTheme="majorHAnsi" w:hAnsiTheme="majorHAnsi" w:cstheme="majorHAnsi"/>
          <w:sz w:val="22"/>
          <w:szCs w:val="22"/>
        </w:rPr>
        <w:t xml:space="preserve">.  Controls must remain in sinus rhythm for the entire 60 day observation period to qualify as a control.  To project annual POAF incidence rate in 2010, 99 patients with an existing history of AF prior to CABG and patients with incidence &gt;64 days were excluded from the total, bringing the denominator to 340.  The total number of patients who developed POAF within 63 days of CABG in 2010 was n=69.  Thus, the annual incidence rate in calendar year 2010 based on this rationale was 20.3%.  These data support capacity to find and enroll </w:t>
      </w:r>
      <w:r w:rsidR="009660DA" w:rsidRPr="005759D1">
        <w:rPr>
          <w:rFonts w:asciiTheme="majorHAnsi" w:hAnsiTheme="majorHAnsi" w:cstheme="majorHAnsi"/>
          <w:sz w:val="22"/>
          <w:szCs w:val="22"/>
        </w:rPr>
        <w:t>8</w:t>
      </w:r>
      <w:r w:rsidRPr="005759D1">
        <w:rPr>
          <w:rFonts w:asciiTheme="majorHAnsi" w:hAnsiTheme="majorHAnsi" w:cstheme="majorHAnsi"/>
          <w:sz w:val="22"/>
          <w:szCs w:val="22"/>
        </w:rPr>
        <w:t xml:space="preserve"> cases with emergent POAF following CABG based on the enrollment schema presented in </w:t>
      </w:r>
      <w:r w:rsidRPr="005759D1">
        <w:rPr>
          <w:rFonts w:asciiTheme="majorHAnsi" w:hAnsiTheme="majorHAnsi" w:cstheme="majorHAnsi"/>
          <w:b/>
          <w:sz w:val="22"/>
          <w:szCs w:val="22"/>
        </w:rPr>
        <w:t>table 2</w:t>
      </w:r>
      <w:r w:rsidRPr="005759D1">
        <w:rPr>
          <w:rFonts w:asciiTheme="majorHAnsi" w:hAnsiTheme="majorHAnsi" w:cstheme="majorHAnsi"/>
          <w:sz w:val="22"/>
          <w:szCs w:val="22"/>
        </w:rPr>
        <w:t xml:space="preserve">.  </w:t>
      </w:r>
      <w:r w:rsidR="00597913" w:rsidRPr="005759D1">
        <w:rPr>
          <w:rFonts w:asciiTheme="majorHAnsi" w:hAnsiTheme="majorHAnsi" w:cstheme="majorHAnsi"/>
          <w:sz w:val="22"/>
          <w:szCs w:val="22"/>
        </w:rPr>
        <w:t xml:space="preserve">The table projects </w:t>
      </w:r>
      <w:r w:rsidR="000C0806" w:rsidRPr="005759D1">
        <w:rPr>
          <w:rFonts w:asciiTheme="majorHAnsi" w:hAnsiTheme="majorHAnsi" w:cstheme="majorHAnsi"/>
          <w:sz w:val="22"/>
          <w:szCs w:val="22"/>
        </w:rPr>
        <w:t xml:space="preserve">the ideal </w:t>
      </w:r>
      <w:r w:rsidR="00597913" w:rsidRPr="005759D1">
        <w:rPr>
          <w:rFonts w:asciiTheme="majorHAnsi" w:hAnsiTheme="majorHAnsi" w:cstheme="majorHAnsi"/>
          <w:sz w:val="22"/>
          <w:szCs w:val="22"/>
        </w:rPr>
        <w:t xml:space="preserve">enrollment </w:t>
      </w:r>
      <w:r w:rsidR="000C0806" w:rsidRPr="005759D1">
        <w:rPr>
          <w:rFonts w:asciiTheme="majorHAnsi" w:hAnsiTheme="majorHAnsi" w:cstheme="majorHAnsi"/>
          <w:sz w:val="22"/>
          <w:szCs w:val="22"/>
        </w:rPr>
        <w:t xml:space="preserve">scenario </w:t>
      </w:r>
      <w:r w:rsidR="00597913" w:rsidRPr="005759D1">
        <w:rPr>
          <w:rFonts w:asciiTheme="majorHAnsi" w:hAnsiTheme="majorHAnsi" w:cstheme="majorHAnsi"/>
          <w:sz w:val="22"/>
          <w:szCs w:val="22"/>
        </w:rPr>
        <w:t>of 8 subjects by the 8</w:t>
      </w:r>
      <w:r w:rsidR="00597913" w:rsidRPr="005759D1">
        <w:rPr>
          <w:rFonts w:asciiTheme="majorHAnsi" w:hAnsiTheme="majorHAnsi" w:cstheme="majorHAnsi"/>
          <w:sz w:val="22"/>
          <w:szCs w:val="22"/>
          <w:vertAlign w:val="superscript"/>
        </w:rPr>
        <w:t>th</w:t>
      </w:r>
      <w:r w:rsidR="00597913" w:rsidRPr="005759D1">
        <w:rPr>
          <w:rFonts w:asciiTheme="majorHAnsi" w:hAnsiTheme="majorHAnsi" w:cstheme="majorHAnsi"/>
          <w:sz w:val="22"/>
          <w:szCs w:val="22"/>
        </w:rPr>
        <w:t xml:space="preserve"> week</w:t>
      </w:r>
      <w:r w:rsidR="000C0806" w:rsidRPr="005759D1">
        <w:rPr>
          <w:rFonts w:asciiTheme="majorHAnsi" w:hAnsiTheme="majorHAnsi" w:cstheme="majorHAnsi"/>
          <w:sz w:val="22"/>
          <w:szCs w:val="22"/>
        </w:rPr>
        <w:t xml:space="preserve"> assuming 100% enrollment with no loss of subjects due to exclusion criteria other than previous history of AF.  </w:t>
      </w:r>
      <w:r w:rsidR="000C0806" w:rsidRPr="005759D1">
        <w:rPr>
          <w:rFonts w:asciiTheme="majorHAnsi" w:hAnsiTheme="majorHAnsi" w:cstheme="majorHAnsi"/>
          <w:i/>
          <w:sz w:val="22"/>
          <w:szCs w:val="22"/>
        </w:rPr>
        <w:t>Based on an average historical enrollment rate of 60% and disqualification of some surgical candidates due to application of exclusion criteria, a more conservative projection of the time for actual enrollment of 8 subjects who emerge as cases is 16 to 20 weeks</w:t>
      </w:r>
      <w:r w:rsidR="000C0806" w:rsidRPr="005759D1">
        <w:rPr>
          <w:rFonts w:asciiTheme="majorHAnsi" w:hAnsiTheme="majorHAnsi" w:cstheme="majorHAnsi"/>
          <w:sz w:val="22"/>
          <w:szCs w:val="22"/>
        </w:rPr>
        <w:t xml:space="preserve">.  </w:t>
      </w:r>
      <w:r w:rsidR="009660DA" w:rsidRPr="005759D1">
        <w:rPr>
          <w:rFonts w:asciiTheme="majorHAnsi" w:hAnsiTheme="majorHAnsi" w:cstheme="majorHAnsi"/>
          <w:sz w:val="22"/>
          <w:szCs w:val="22"/>
        </w:rPr>
        <w:t xml:space="preserve">Enrollment of 8 cases and 8 controls as a preliminary approach to identify miRNAs predictive of MI was successfully used by Fichtlscherer </w:t>
      </w:r>
      <w:r w:rsidR="009660DA" w:rsidRPr="005759D1">
        <w:rPr>
          <w:rFonts w:asciiTheme="majorHAnsi" w:hAnsiTheme="majorHAnsi" w:cstheme="majorHAnsi"/>
          <w:i/>
          <w:sz w:val="22"/>
          <w:szCs w:val="22"/>
        </w:rPr>
        <w:t>et al</w:t>
      </w:r>
      <w:r w:rsidR="009660DA" w:rsidRPr="005759D1">
        <w:rPr>
          <w:rFonts w:asciiTheme="majorHAnsi" w:hAnsiTheme="majorHAnsi" w:cstheme="majorHAnsi"/>
          <w:sz w:val="22"/>
          <w:szCs w:val="22"/>
        </w:rPr>
        <w:t xml:space="preserve"> (</w:t>
      </w:r>
      <w:r w:rsidR="009660DA" w:rsidRPr="005759D1">
        <w:rPr>
          <w:rFonts w:asciiTheme="majorHAnsi" w:hAnsiTheme="majorHAnsi" w:cstheme="majorHAnsi"/>
          <w:color w:val="FF0000"/>
          <w:sz w:val="22"/>
          <w:szCs w:val="22"/>
        </w:rPr>
        <w:t>36</w:t>
      </w:r>
      <w:r w:rsidR="009660DA" w:rsidRPr="005759D1">
        <w:rPr>
          <w:rFonts w:asciiTheme="majorHAnsi" w:hAnsiTheme="majorHAnsi" w:cstheme="majorHAnsi"/>
          <w:sz w:val="22"/>
          <w:szCs w:val="22"/>
        </w:rPr>
        <w:t xml:space="preserve">) and the candidates were later successfully validated in a larger cohort, demonstrating feasibility of this approach. </w:t>
      </w:r>
      <w:r w:rsidR="000C0806" w:rsidRPr="005759D1">
        <w:rPr>
          <w:rFonts w:asciiTheme="majorHAnsi" w:hAnsiTheme="majorHAnsi" w:cstheme="majorHAnsi"/>
          <w:sz w:val="22"/>
          <w:szCs w:val="22"/>
        </w:rPr>
        <w:t xml:space="preserve">  </w:t>
      </w:r>
    </w:p>
    <w:p w:rsidR="002B3120" w:rsidRPr="005759D1" w:rsidRDefault="002B3120">
      <w:pPr>
        <w:rPr>
          <w:rFonts w:asciiTheme="majorHAnsi" w:hAnsiTheme="majorHAnsi" w:cstheme="majorHAnsi"/>
          <w:sz w:val="22"/>
          <w:szCs w:val="22"/>
        </w:rPr>
      </w:pPr>
    </w:p>
    <w:p w:rsidR="002B3120" w:rsidRPr="005759D1" w:rsidRDefault="002B3120">
      <w:pPr>
        <w:rPr>
          <w:rFonts w:asciiTheme="majorHAnsi" w:hAnsiTheme="majorHAnsi" w:cstheme="majorHAnsi"/>
          <w:b/>
          <w:sz w:val="22"/>
          <w:szCs w:val="22"/>
        </w:rPr>
      </w:pPr>
      <w:r w:rsidRPr="005759D1">
        <w:rPr>
          <w:rFonts w:asciiTheme="majorHAnsi" w:hAnsiTheme="majorHAnsi" w:cstheme="majorHAnsi"/>
          <w:b/>
          <w:sz w:val="22"/>
          <w:szCs w:val="22"/>
        </w:rPr>
        <w:t>Table 2</w:t>
      </w:r>
    </w:p>
    <w:tbl>
      <w:tblPr>
        <w:tblW w:w="0" w:type="auto"/>
        <w:tblInd w:w="93" w:type="dxa"/>
        <w:tblLook w:val="04A0" w:firstRow="1" w:lastRow="0" w:firstColumn="1" w:lastColumn="0" w:noHBand="0" w:noVBand="1"/>
      </w:tblPr>
      <w:tblGrid>
        <w:gridCol w:w="1989"/>
        <w:gridCol w:w="1757"/>
        <w:gridCol w:w="222"/>
        <w:gridCol w:w="645"/>
        <w:gridCol w:w="645"/>
        <w:gridCol w:w="645"/>
        <w:gridCol w:w="645"/>
        <w:gridCol w:w="645"/>
        <w:gridCol w:w="645"/>
        <w:gridCol w:w="645"/>
        <w:gridCol w:w="645"/>
        <w:gridCol w:w="645"/>
        <w:gridCol w:w="730"/>
        <w:gridCol w:w="730"/>
        <w:gridCol w:w="767"/>
        <w:gridCol w:w="767"/>
        <w:gridCol w:w="767"/>
        <w:gridCol w:w="767"/>
        <w:gridCol w:w="222"/>
      </w:tblGrid>
      <w:tr w:rsidR="005F5979" w:rsidRPr="005759D1" w:rsidTr="005F5979">
        <w:trPr>
          <w:trHeight w:val="315"/>
        </w:trPr>
        <w:tc>
          <w:tcPr>
            <w:tcW w:w="0" w:type="auto"/>
            <w:gridSpan w:val="19"/>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b/>
                <w:bCs/>
                <w:sz w:val="22"/>
                <w:szCs w:val="22"/>
              </w:rPr>
            </w:pPr>
            <w:r w:rsidRPr="005759D1">
              <w:rPr>
                <w:rFonts w:asciiTheme="majorHAnsi" w:hAnsiTheme="majorHAnsi" w:cstheme="majorHAnsi"/>
                <w:b/>
                <w:bCs/>
                <w:sz w:val="22"/>
                <w:szCs w:val="22"/>
              </w:rPr>
              <w:t xml:space="preserve">Amount of Time Needed to Capture 10 Cases </w:t>
            </w:r>
          </w:p>
        </w:tc>
      </w:tr>
      <w:tr w:rsidR="005F5979" w:rsidRPr="005759D1" w:rsidTr="005F5979">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5F5979">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5F5979">
        <w:trPr>
          <w:trHeight w:val="300"/>
        </w:trPr>
        <w:tc>
          <w:tcPr>
            <w:tcW w:w="0" w:type="auto"/>
            <w:gridSpan w:val="19"/>
            <w:tcBorders>
              <w:top w:val="nil"/>
              <w:left w:val="nil"/>
              <w:bottom w:val="nil"/>
              <w:right w:val="nil"/>
            </w:tcBorders>
            <w:shd w:val="clear" w:color="auto" w:fill="auto"/>
            <w:noWrap/>
            <w:vAlign w:val="bottom"/>
            <w:hideMark/>
          </w:tcPr>
          <w:p w:rsidR="005F5979" w:rsidRPr="005759D1" w:rsidRDefault="005F5979" w:rsidP="00D01F4A">
            <w:pPr>
              <w:jc w:val="center"/>
              <w:rPr>
                <w:rFonts w:asciiTheme="majorHAnsi" w:hAnsiTheme="majorHAnsi" w:cstheme="majorHAnsi"/>
                <w:sz w:val="22"/>
                <w:szCs w:val="22"/>
              </w:rPr>
            </w:pPr>
            <w:r w:rsidRPr="005759D1">
              <w:rPr>
                <w:rFonts w:asciiTheme="majorHAnsi" w:hAnsiTheme="majorHAnsi" w:cstheme="majorHAnsi"/>
                <w:sz w:val="22"/>
                <w:szCs w:val="22"/>
              </w:rPr>
              <w:t xml:space="preserve">6.54 CABG procedures </w:t>
            </w:r>
            <w:r w:rsidR="00D01F4A" w:rsidRPr="005759D1">
              <w:rPr>
                <w:rFonts w:asciiTheme="majorHAnsi" w:hAnsiTheme="majorHAnsi" w:cstheme="majorHAnsi"/>
                <w:sz w:val="22"/>
                <w:szCs w:val="22"/>
              </w:rPr>
              <w:t>performed weekly * 8 weeks = 53</w:t>
            </w:r>
            <w:r w:rsidRPr="005759D1">
              <w:rPr>
                <w:rFonts w:asciiTheme="majorHAnsi" w:hAnsiTheme="majorHAnsi" w:cstheme="majorHAnsi"/>
                <w:sz w:val="22"/>
                <w:szCs w:val="22"/>
              </w:rPr>
              <w:t xml:space="preserve"> patients enrolled</w:t>
            </w: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p>
        </w:tc>
      </w:tr>
      <w:tr w:rsidR="005F5979" w:rsidRPr="005759D1" w:rsidTr="00D01F4A">
        <w:trPr>
          <w:trHeight w:val="1500"/>
        </w:trPr>
        <w:tc>
          <w:tcPr>
            <w:tcW w:w="0" w:type="auto"/>
            <w:tcBorders>
              <w:top w:val="nil"/>
              <w:left w:val="nil"/>
              <w:bottom w:val="nil"/>
              <w:right w:val="nil"/>
            </w:tcBorders>
            <w:shd w:val="clear" w:color="auto" w:fill="auto"/>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 of Onset of New AF</w:t>
            </w:r>
          </w:p>
        </w:tc>
        <w:tc>
          <w:tcPr>
            <w:tcW w:w="0" w:type="auto"/>
            <w:tcBorders>
              <w:top w:val="nil"/>
              <w:left w:val="nil"/>
              <w:bottom w:val="nil"/>
              <w:right w:val="nil"/>
            </w:tcBorders>
            <w:shd w:val="clear" w:color="auto" w:fill="auto"/>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Weeks Post CABG</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 xml:space="preserve">wk1 </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wk3</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wk4</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wk6</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wk6</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wk7</w:t>
            </w:r>
          </w:p>
        </w:tc>
        <w:tc>
          <w:tcPr>
            <w:tcW w:w="0" w:type="auto"/>
            <w:tcBorders>
              <w:top w:val="nil"/>
              <w:left w:val="nil"/>
              <w:bottom w:val="nil"/>
              <w:right w:val="nil"/>
            </w:tcBorders>
            <w:shd w:val="pct10"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wk8</w:t>
            </w:r>
          </w:p>
        </w:tc>
        <w:tc>
          <w:tcPr>
            <w:tcW w:w="0" w:type="auto"/>
            <w:tcBorders>
              <w:top w:val="nil"/>
              <w:left w:val="nil"/>
              <w:bottom w:val="nil"/>
              <w:right w:val="nil"/>
            </w:tcBorders>
            <w:shd w:val="clear" w:color="000000" w:fill="auto"/>
            <w:noWrap/>
            <w:vAlign w:val="bottom"/>
            <w:hideMark/>
          </w:tcPr>
          <w:p w:rsidR="005F5979" w:rsidRPr="005759D1" w:rsidRDefault="005F5979">
            <w:pPr>
              <w:rPr>
                <w:rFonts w:asciiTheme="majorHAnsi" w:hAnsiTheme="majorHAnsi" w:cstheme="majorHAnsi"/>
                <w:sz w:val="22"/>
                <w:szCs w:val="22"/>
              </w:rPr>
            </w:pPr>
            <w:r w:rsidRPr="005759D1">
              <w:rPr>
                <w:rFonts w:asciiTheme="majorHAnsi" w:hAnsiTheme="majorHAnsi" w:cstheme="majorHAnsi"/>
                <w:sz w:val="22"/>
                <w:szCs w:val="22"/>
              </w:rPr>
              <w:t>wk9</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wk10</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wk11</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wk13</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wk14</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r w:rsidRPr="005759D1">
              <w:rPr>
                <w:rFonts w:asciiTheme="majorHAnsi" w:hAnsiTheme="majorHAnsi" w:cstheme="majorHAnsi"/>
                <w:color w:val="000000"/>
                <w:sz w:val="22"/>
                <w:szCs w:val="22"/>
              </w:rPr>
              <w:t>wk15</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pct10"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000000"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0.0767</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1</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nil"/>
              <w:right w:val="nil"/>
            </w:tcBorders>
            <w:shd w:val="clear" w:color="000000"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0.0313</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0.0256</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3</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0.17</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0.0199</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4</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0.13</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0.0313</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5</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0.20</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0.0028</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6</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0.0057</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7</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0.04</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0.0028</w:t>
            </w:r>
          </w:p>
        </w:tc>
        <w:tc>
          <w:tcPr>
            <w:tcW w:w="0" w:type="auto"/>
            <w:tcBorders>
              <w:top w:val="nil"/>
              <w:left w:val="nil"/>
              <w:bottom w:val="nil"/>
              <w:right w:val="nil"/>
            </w:tcBorders>
            <w:shd w:val="clear" w:color="auto" w:fill="auto"/>
            <w:noWrap/>
            <w:vAlign w:val="bottom"/>
            <w:hideMark/>
          </w:tcPr>
          <w:p w:rsidR="005F5979" w:rsidRPr="005759D1" w:rsidRDefault="005F5979">
            <w:pPr>
              <w:jc w:val="center"/>
              <w:rPr>
                <w:rFonts w:asciiTheme="majorHAnsi" w:hAnsiTheme="majorHAnsi" w:cstheme="majorHAnsi"/>
                <w:color w:val="000000"/>
                <w:sz w:val="22"/>
                <w:szCs w:val="22"/>
              </w:rPr>
            </w:pPr>
            <w:r w:rsidRPr="005759D1">
              <w:rPr>
                <w:rFonts w:asciiTheme="majorHAnsi" w:hAnsiTheme="majorHAnsi" w:cstheme="majorHAnsi"/>
                <w:color w:val="000000"/>
                <w:sz w:val="22"/>
                <w:szCs w:val="22"/>
              </w:rPr>
              <w:t>8</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pct10"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000000"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0.50</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0.71</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0.87</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1.00</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1.21</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1.23</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1.26</w:t>
            </w:r>
          </w:p>
        </w:tc>
        <w:tc>
          <w:tcPr>
            <w:tcW w:w="0" w:type="auto"/>
            <w:tcBorders>
              <w:top w:val="nil"/>
              <w:left w:val="nil"/>
              <w:bottom w:val="single" w:sz="4" w:space="0" w:color="auto"/>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1.28</w:t>
            </w:r>
          </w:p>
        </w:tc>
        <w:tc>
          <w:tcPr>
            <w:tcW w:w="0" w:type="auto"/>
            <w:tcBorders>
              <w:top w:val="nil"/>
              <w:left w:val="nil"/>
              <w:bottom w:val="single" w:sz="4" w:space="0" w:color="auto"/>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0.78</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0.58</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0.41</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0.28</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0.07</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0.06</w:t>
            </w:r>
          </w:p>
        </w:tc>
        <w:tc>
          <w:tcPr>
            <w:tcW w:w="0" w:type="auto"/>
            <w:tcBorders>
              <w:top w:val="nil"/>
              <w:left w:val="nil"/>
              <w:bottom w:val="single" w:sz="4"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0.02</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00"/>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pct10"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000000"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r w:rsidR="005F5979" w:rsidRPr="005759D1" w:rsidTr="00D01F4A">
        <w:trPr>
          <w:trHeight w:val="315"/>
        </w:trPr>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1.21</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2.08</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3.08</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4.29</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5.52</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6.78</w:t>
            </w:r>
          </w:p>
        </w:tc>
        <w:tc>
          <w:tcPr>
            <w:tcW w:w="0" w:type="auto"/>
            <w:tcBorders>
              <w:top w:val="nil"/>
              <w:left w:val="nil"/>
              <w:bottom w:val="double" w:sz="6" w:space="0" w:color="auto"/>
              <w:right w:val="nil"/>
            </w:tcBorders>
            <w:shd w:val="pct10"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8.06</w:t>
            </w:r>
          </w:p>
        </w:tc>
        <w:tc>
          <w:tcPr>
            <w:tcW w:w="0" w:type="auto"/>
            <w:tcBorders>
              <w:top w:val="nil"/>
              <w:left w:val="nil"/>
              <w:bottom w:val="double" w:sz="6" w:space="0" w:color="auto"/>
              <w:right w:val="nil"/>
            </w:tcBorders>
            <w:shd w:val="clear" w:color="000000"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8.84</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9.42</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9.83</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10.10</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10.18</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10.23</w:t>
            </w:r>
          </w:p>
        </w:tc>
        <w:tc>
          <w:tcPr>
            <w:tcW w:w="0" w:type="auto"/>
            <w:tcBorders>
              <w:top w:val="nil"/>
              <w:left w:val="nil"/>
              <w:bottom w:val="double" w:sz="6" w:space="0" w:color="auto"/>
              <w:right w:val="nil"/>
            </w:tcBorders>
            <w:shd w:val="clear" w:color="auto" w:fill="auto"/>
            <w:noWrap/>
            <w:vAlign w:val="bottom"/>
            <w:hideMark/>
          </w:tcPr>
          <w:p w:rsidR="005F5979" w:rsidRPr="005759D1" w:rsidRDefault="005F5979">
            <w:pPr>
              <w:jc w:val="right"/>
              <w:rPr>
                <w:rFonts w:asciiTheme="majorHAnsi" w:hAnsiTheme="majorHAnsi" w:cstheme="majorHAnsi"/>
                <w:color w:val="000000"/>
                <w:sz w:val="22"/>
                <w:szCs w:val="22"/>
              </w:rPr>
            </w:pPr>
            <w:r w:rsidRPr="005759D1">
              <w:rPr>
                <w:rFonts w:asciiTheme="majorHAnsi" w:hAnsiTheme="majorHAnsi" w:cstheme="majorHAnsi"/>
                <w:color w:val="000000"/>
                <w:sz w:val="22"/>
                <w:szCs w:val="22"/>
              </w:rPr>
              <w:t>10.25</w:t>
            </w:r>
          </w:p>
        </w:tc>
        <w:tc>
          <w:tcPr>
            <w:tcW w:w="0" w:type="auto"/>
            <w:tcBorders>
              <w:top w:val="nil"/>
              <w:left w:val="nil"/>
              <w:bottom w:val="nil"/>
              <w:right w:val="nil"/>
            </w:tcBorders>
            <w:shd w:val="clear" w:color="auto" w:fill="auto"/>
            <w:noWrap/>
            <w:vAlign w:val="bottom"/>
            <w:hideMark/>
          </w:tcPr>
          <w:p w:rsidR="005F5979" w:rsidRPr="005759D1" w:rsidRDefault="005F5979">
            <w:pPr>
              <w:rPr>
                <w:rFonts w:asciiTheme="majorHAnsi" w:hAnsiTheme="majorHAnsi" w:cstheme="majorHAnsi"/>
                <w:color w:val="000000"/>
                <w:sz w:val="22"/>
                <w:szCs w:val="22"/>
              </w:rPr>
            </w:pPr>
          </w:p>
        </w:tc>
      </w:tr>
    </w:tbl>
    <w:p w:rsidR="005F5979" w:rsidRPr="005759D1" w:rsidRDefault="005F5979">
      <w:pPr>
        <w:rPr>
          <w:rFonts w:asciiTheme="majorHAnsi" w:hAnsiTheme="majorHAnsi" w:cstheme="majorHAnsi"/>
          <w:b/>
          <w:sz w:val="22"/>
          <w:szCs w:val="22"/>
        </w:rPr>
      </w:pPr>
    </w:p>
    <w:p w:rsidR="005F5979" w:rsidRPr="005759D1" w:rsidRDefault="005F5979">
      <w:pPr>
        <w:rPr>
          <w:rFonts w:asciiTheme="majorHAnsi" w:hAnsiTheme="majorHAnsi" w:cstheme="majorHAnsi"/>
          <w:sz w:val="22"/>
          <w:szCs w:val="22"/>
        </w:rPr>
      </w:pPr>
    </w:p>
    <w:p w:rsidR="00D514DA" w:rsidRPr="005759D1" w:rsidRDefault="00D514DA">
      <w:pPr>
        <w:rPr>
          <w:rFonts w:asciiTheme="majorHAnsi" w:hAnsiTheme="majorHAnsi" w:cstheme="majorHAnsi"/>
          <w:sz w:val="22"/>
          <w:szCs w:val="22"/>
        </w:rPr>
      </w:pPr>
      <w:r w:rsidRPr="005759D1">
        <w:rPr>
          <w:rFonts w:asciiTheme="majorHAnsi" w:hAnsiTheme="majorHAnsi" w:cstheme="majorHAnsi"/>
          <w:b/>
          <w:sz w:val="22"/>
          <w:szCs w:val="22"/>
        </w:rPr>
        <w:t xml:space="preserve">Assuming </w:t>
      </w:r>
      <w:r w:rsidR="00591D82" w:rsidRPr="005759D1">
        <w:rPr>
          <w:rFonts w:asciiTheme="majorHAnsi" w:hAnsiTheme="majorHAnsi" w:cstheme="majorHAnsi"/>
          <w:b/>
          <w:sz w:val="22"/>
          <w:szCs w:val="22"/>
        </w:rPr>
        <w:t xml:space="preserve">that ~6-7 CABG procedures are done weekly, and an incidence rate of </w:t>
      </w:r>
      <w:r w:rsidR="00901ADF" w:rsidRPr="005759D1">
        <w:rPr>
          <w:rFonts w:asciiTheme="majorHAnsi" w:hAnsiTheme="majorHAnsi" w:cstheme="majorHAnsi"/>
          <w:b/>
          <w:sz w:val="22"/>
          <w:szCs w:val="22"/>
        </w:rPr>
        <w:t xml:space="preserve">approximately </w:t>
      </w:r>
      <w:r w:rsidR="00591D82" w:rsidRPr="005759D1">
        <w:rPr>
          <w:rFonts w:asciiTheme="majorHAnsi" w:hAnsiTheme="majorHAnsi" w:cstheme="majorHAnsi"/>
          <w:b/>
          <w:sz w:val="22"/>
          <w:szCs w:val="22"/>
        </w:rPr>
        <w:t>20%</w:t>
      </w:r>
      <w:r w:rsidR="00901ADF" w:rsidRPr="005759D1">
        <w:rPr>
          <w:rFonts w:asciiTheme="majorHAnsi" w:hAnsiTheme="majorHAnsi" w:cstheme="majorHAnsi"/>
          <w:b/>
          <w:sz w:val="22"/>
          <w:szCs w:val="22"/>
        </w:rPr>
        <w:t>,</w:t>
      </w:r>
      <w:r w:rsidR="00591D82" w:rsidRPr="005759D1">
        <w:rPr>
          <w:rFonts w:asciiTheme="majorHAnsi" w:hAnsiTheme="majorHAnsi" w:cstheme="majorHAnsi"/>
          <w:b/>
          <w:sz w:val="22"/>
          <w:szCs w:val="22"/>
        </w:rPr>
        <w:t xml:space="preserve"> it </w:t>
      </w:r>
      <w:r w:rsidR="00901ADF" w:rsidRPr="005759D1">
        <w:rPr>
          <w:rFonts w:asciiTheme="majorHAnsi" w:hAnsiTheme="majorHAnsi" w:cstheme="majorHAnsi"/>
          <w:b/>
          <w:sz w:val="22"/>
          <w:szCs w:val="22"/>
        </w:rPr>
        <w:t>is projected to</w:t>
      </w:r>
      <w:r w:rsidR="00591D82" w:rsidRPr="005759D1">
        <w:rPr>
          <w:rFonts w:asciiTheme="majorHAnsi" w:hAnsiTheme="majorHAnsi" w:cstheme="majorHAnsi"/>
          <w:b/>
          <w:sz w:val="22"/>
          <w:szCs w:val="22"/>
        </w:rPr>
        <w:t xml:space="preserve"> take app</w:t>
      </w:r>
      <w:r w:rsidR="00D01F4A" w:rsidRPr="005759D1">
        <w:rPr>
          <w:rFonts w:asciiTheme="majorHAnsi" w:hAnsiTheme="majorHAnsi" w:cstheme="majorHAnsi"/>
          <w:b/>
          <w:sz w:val="22"/>
          <w:szCs w:val="22"/>
        </w:rPr>
        <w:t xml:space="preserve">roximately </w:t>
      </w:r>
      <w:r w:rsidR="001959B1" w:rsidRPr="005759D1">
        <w:rPr>
          <w:rFonts w:asciiTheme="majorHAnsi" w:hAnsiTheme="majorHAnsi" w:cstheme="majorHAnsi"/>
          <w:b/>
          <w:sz w:val="22"/>
          <w:szCs w:val="22"/>
        </w:rPr>
        <w:t>8</w:t>
      </w:r>
      <w:r w:rsidR="00D01F4A" w:rsidRPr="005759D1">
        <w:rPr>
          <w:rFonts w:asciiTheme="majorHAnsi" w:hAnsiTheme="majorHAnsi" w:cstheme="majorHAnsi"/>
          <w:b/>
          <w:sz w:val="22"/>
          <w:szCs w:val="22"/>
        </w:rPr>
        <w:t xml:space="preserve"> weeks to enroll 53</w:t>
      </w:r>
      <w:r w:rsidR="00591D82" w:rsidRPr="005759D1">
        <w:rPr>
          <w:rFonts w:asciiTheme="majorHAnsi" w:hAnsiTheme="majorHAnsi" w:cstheme="majorHAnsi"/>
          <w:b/>
          <w:sz w:val="22"/>
          <w:szCs w:val="22"/>
        </w:rPr>
        <w:t xml:space="preserve"> eligible patients.  </w:t>
      </w:r>
      <w:r w:rsidR="001959B1" w:rsidRPr="005759D1">
        <w:rPr>
          <w:rFonts w:asciiTheme="majorHAnsi" w:hAnsiTheme="majorHAnsi" w:cstheme="majorHAnsi"/>
          <w:b/>
          <w:sz w:val="22"/>
          <w:szCs w:val="22"/>
        </w:rPr>
        <w:t>Eight</w:t>
      </w:r>
      <w:r w:rsidR="00591D82" w:rsidRPr="005759D1">
        <w:rPr>
          <w:rFonts w:asciiTheme="majorHAnsi" w:hAnsiTheme="majorHAnsi" w:cstheme="majorHAnsi"/>
          <w:b/>
          <w:sz w:val="22"/>
          <w:szCs w:val="22"/>
        </w:rPr>
        <w:t xml:space="preserve"> cases ar</w:t>
      </w:r>
      <w:r w:rsidR="005F5979" w:rsidRPr="005759D1">
        <w:rPr>
          <w:rFonts w:asciiTheme="majorHAnsi" w:hAnsiTheme="majorHAnsi" w:cstheme="majorHAnsi"/>
          <w:b/>
          <w:sz w:val="22"/>
          <w:szCs w:val="22"/>
        </w:rPr>
        <w:t xml:space="preserve">e predicted to emerge by week </w:t>
      </w:r>
      <w:r w:rsidR="000C0806" w:rsidRPr="005759D1">
        <w:rPr>
          <w:rFonts w:asciiTheme="majorHAnsi" w:hAnsiTheme="majorHAnsi" w:cstheme="majorHAnsi"/>
          <w:b/>
          <w:sz w:val="22"/>
          <w:szCs w:val="22"/>
        </w:rPr>
        <w:t>8</w:t>
      </w:r>
      <w:r w:rsidR="00591D82" w:rsidRPr="005759D1">
        <w:rPr>
          <w:rFonts w:asciiTheme="majorHAnsi" w:hAnsiTheme="majorHAnsi" w:cstheme="majorHAnsi"/>
          <w:b/>
          <w:sz w:val="22"/>
          <w:szCs w:val="22"/>
        </w:rPr>
        <w:t xml:space="preserve">.  </w:t>
      </w:r>
    </w:p>
    <w:p w:rsidR="00D514DA" w:rsidRPr="005759D1" w:rsidRDefault="00D514DA">
      <w:pPr>
        <w:rPr>
          <w:rFonts w:asciiTheme="majorHAnsi" w:hAnsiTheme="majorHAnsi" w:cstheme="majorHAnsi"/>
          <w:sz w:val="22"/>
          <w:szCs w:val="22"/>
        </w:rPr>
      </w:pPr>
    </w:p>
    <w:p w:rsidR="00D514DA" w:rsidRPr="005759D1" w:rsidRDefault="00D514DA">
      <w:pPr>
        <w:rPr>
          <w:rFonts w:asciiTheme="majorHAnsi" w:hAnsiTheme="majorHAnsi" w:cstheme="majorHAnsi"/>
          <w:sz w:val="22"/>
          <w:szCs w:val="22"/>
        </w:rPr>
        <w:sectPr w:rsidR="00D514DA" w:rsidRPr="005759D1" w:rsidSect="002B6B1D">
          <w:pgSz w:w="15840" w:h="12240" w:orient="landscape"/>
          <w:pgMar w:top="720" w:right="720" w:bottom="720" w:left="720" w:header="720" w:footer="720" w:gutter="0"/>
          <w:cols w:space="720"/>
          <w:docGrid w:linePitch="360"/>
        </w:sectPr>
      </w:pPr>
    </w:p>
    <w:tbl>
      <w:tblPr>
        <w:tblW w:w="10923" w:type="dxa"/>
        <w:tblInd w:w="93" w:type="dxa"/>
        <w:tblLayout w:type="fixed"/>
        <w:tblLook w:val="04A0" w:firstRow="1" w:lastRow="0" w:firstColumn="1" w:lastColumn="0" w:noHBand="0" w:noVBand="1"/>
      </w:tblPr>
      <w:tblGrid>
        <w:gridCol w:w="269"/>
        <w:gridCol w:w="5596"/>
        <w:gridCol w:w="1170"/>
        <w:gridCol w:w="540"/>
        <w:gridCol w:w="1620"/>
        <w:gridCol w:w="1728"/>
      </w:tblGrid>
      <w:tr w:rsidR="002B6B1D" w:rsidRPr="005759D1" w:rsidTr="002B6B1D">
        <w:trPr>
          <w:trHeight w:val="315"/>
        </w:trPr>
        <w:tc>
          <w:tcPr>
            <w:tcW w:w="269" w:type="dxa"/>
            <w:tcBorders>
              <w:top w:val="nil"/>
              <w:left w:val="nil"/>
              <w:bottom w:val="nil"/>
              <w:right w:val="nil"/>
            </w:tcBorders>
            <w:shd w:val="clear" w:color="000000" w:fill="FFFFFF"/>
            <w:noWrap/>
            <w:vAlign w:val="bottom"/>
            <w:hideMark/>
          </w:tcPr>
          <w:p w:rsidR="002B6B1D" w:rsidRPr="005759D1" w:rsidRDefault="002B6B1D" w:rsidP="002B6B1D">
            <w:pPr>
              <w:rPr>
                <w:rFonts w:asciiTheme="majorHAnsi" w:hAnsiTheme="majorHAnsi" w:cstheme="majorHAnsi"/>
                <w:color w:val="000080"/>
                <w:sz w:val="22"/>
                <w:szCs w:val="22"/>
              </w:rPr>
            </w:pPr>
            <w:r w:rsidRPr="005759D1">
              <w:rPr>
                <w:rFonts w:asciiTheme="majorHAnsi" w:hAnsiTheme="majorHAnsi" w:cstheme="majorHAnsi"/>
                <w:color w:val="000080"/>
                <w:sz w:val="22"/>
                <w:szCs w:val="22"/>
              </w:rPr>
              <w:lastRenderedPageBreak/>
              <w:t> </w:t>
            </w:r>
          </w:p>
        </w:tc>
        <w:tc>
          <w:tcPr>
            <w:tcW w:w="5596" w:type="dxa"/>
            <w:tcBorders>
              <w:top w:val="nil"/>
              <w:left w:val="nil"/>
              <w:bottom w:val="nil"/>
              <w:right w:val="nil"/>
            </w:tcBorders>
            <w:shd w:val="clear" w:color="000000" w:fill="FFFFFF"/>
            <w:noWrap/>
            <w:vAlign w:val="bottom"/>
          </w:tcPr>
          <w:p w:rsidR="002B6B1D" w:rsidRPr="005759D1" w:rsidRDefault="005E2B63" w:rsidP="005E2B63">
            <w:pPr>
              <w:ind w:left="360"/>
              <w:rPr>
                <w:rFonts w:asciiTheme="majorHAnsi" w:hAnsiTheme="majorHAnsi" w:cstheme="majorHAnsi"/>
                <w:b/>
                <w:sz w:val="22"/>
                <w:szCs w:val="22"/>
              </w:rPr>
            </w:pPr>
            <w:r w:rsidRPr="005759D1">
              <w:rPr>
                <w:rFonts w:asciiTheme="majorHAnsi" w:hAnsiTheme="majorHAnsi" w:cstheme="majorHAnsi"/>
                <w:b/>
                <w:sz w:val="22"/>
                <w:szCs w:val="22"/>
              </w:rPr>
              <w:t xml:space="preserve">F. </w:t>
            </w:r>
            <w:r w:rsidR="002B6B1D" w:rsidRPr="005759D1">
              <w:rPr>
                <w:rFonts w:asciiTheme="majorHAnsi" w:hAnsiTheme="majorHAnsi" w:cstheme="majorHAnsi"/>
                <w:b/>
                <w:sz w:val="22"/>
                <w:szCs w:val="22"/>
              </w:rPr>
              <w:t>Research Design and Methods</w:t>
            </w:r>
          </w:p>
          <w:p w:rsidR="002B6B1D" w:rsidRPr="005759D1" w:rsidRDefault="002B6B1D" w:rsidP="002B6B1D">
            <w:pPr>
              <w:rPr>
                <w:rFonts w:asciiTheme="majorHAnsi" w:hAnsiTheme="majorHAnsi" w:cstheme="majorHAnsi"/>
                <w:b/>
                <w:color w:val="000080"/>
                <w:sz w:val="22"/>
                <w:szCs w:val="22"/>
              </w:rPr>
            </w:pPr>
          </w:p>
        </w:tc>
        <w:tc>
          <w:tcPr>
            <w:tcW w:w="1170" w:type="dxa"/>
            <w:tcBorders>
              <w:top w:val="nil"/>
              <w:left w:val="nil"/>
              <w:bottom w:val="nil"/>
              <w:right w:val="nil"/>
            </w:tcBorders>
            <w:shd w:val="clear" w:color="000000" w:fill="FFFFFF"/>
            <w:noWrap/>
            <w:vAlign w:val="bottom"/>
          </w:tcPr>
          <w:p w:rsidR="002B6B1D" w:rsidRPr="005759D1" w:rsidRDefault="002B6B1D" w:rsidP="002B6B1D">
            <w:pPr>
              <w:rPr>
                <w:rFonts w:asciiTheme="majorHAnsi" w:hAnsiTheme="majorHAnsi" w:cstheme="majorHAnsi"/>
                <w:color w:val="000080"/>
                <w:sz w:val="22"/>
                <w:szCs w:val="22"/>
              </w:rPr>
            </w:pPr>
          </w:p>
        </w:tc>
        <w:tc>
          <w:tcPr>
            <w:tcW w:w="540" w:type="dxa"/>
            <w:tcBorders>
              <w:top w:val="nil"/>
              <w:left w:val="nil"/>
              <w:bottom w:val="nil"/>
              <w:right w:val="nil"/>
            </w:tcBorders>
            <w:shd w:val="clear" w:color="000000" w:fill="FFFFFF"/>
            <w:noWrap/>
            <w:vAlign w:val="bottom"/>
          </w:tcPr>
          <w:p w:rsidR="002B6B1D" w:rsidRPr="005759D1" w:rsidRDefault="002B6B1D" w:rsidP="002B6B1D">
            <w:pPr>
              <w:rPr>
                <w:rFonts w:asciiTheme="majorHAnsi" w:hAnsiTheme="majorHAnsi" w:cstheme="majorHAnsi"/>
                <w:color w:val="000080"/>
                <w:sz w:val="22"/>
                <w:szCs w:val="22"/>
              </w:rPr>
            </w:pPr>
          </w:p>
        </w:tc>
        <w:tc>
          <w:tcPr>
            <w:tcW w:w="1620" w:type="dxa"/>
            <w:tcBorders>
              <w:top w:val="nil"/>
              <w:left w:val="nil"/>
              <w:bottom w:val="nil"/>
              <w:right w:val="nil"/>
            </w:tcBorders>
            <w:shd w:val="clear" w:color="000000" w:fill="FFFFFF"/>
            <w:noWrap/>
            <w:vAlign w:val="bottom"/>
          </w:tcPr>
          <w:p w:rsidR="002B6B1D" w:rsidRPr="005759D1" w:rsidRDefault="002B6B1D" w:rsidP="002B6B1D">
            <w:pPr>
              <w:rPr>
                <w:rFonts w:asciiTheme="majorHAnsi" w:hAnsiTheme="majorHAnsi" w:cstheme="majorHAnsi"/>
                <w:color w:val="000080"/>
                <w:sz w:val="22"/>
                <w:szCs w:val="22"/>
              </w:rPr>
            </w:pPr>
          </w:p>
        </w:tc>
        <w:tc>
          <w:tcPr>
            <w:tcW w:w="1728" w:type="dxa"/>
            <w:tcBorders>
              <w:top w:val="nil"/>
              <w:left w:val="nil"/>
              <w:bottom w:val="nil"/>
              <w:right w:val="nil"/>
            </w:tcBorders>
            <w:shd w:val="clear" w:color="000000" w:fill="FFFFFF"/>
            <w:noWrap/>
            <w:vAlign w:val="bottom"/>
          </w:tcPr>
          <w:p w:rsidR="002B6B1D" w:rsidRPr="005759D1" w:rsidRDefault="002B6B1D" w:rsidP="002B6B1D">
            <w:pPr>
              <w:rPr>
                <w:rFonts w:asciiTheme="majorHAnsi" w:hAnsiTheme="majorHAnsi" w:cstheme="majorHAnsi"/>
                <w:color w:val="000080"/>
                <w:sz w:val="22"/>
                <w:szCs w:val="22"/>
              </w:rPr>
            </w:pPr>
          </w:p>
        </w:tc>
      </w:tr>
    </w:tbl>
    <w:p w:rsidR="007B78E3" w:rsidRPr="005759D1" w:rsidRDefault="002B6B1D" w:rsidP="00332ED9">
      <w:pPr>
        <w:pStyle w:val="ListParagraph"/>
        <w:numPr>
          <w:ilvl w:val="0"/>
          <w:numId w:val="14"/>
        </w:numPr>
        <w:rPr>
          <w:rFonts w:asciiTheme="majorHAnsi" w:hAnsiTheme="majorHAnsi" w:cstheme="majorHAnsi"/>
          <w:sz w:val="22"/>
          <w:szCs w:val="22"/>
          <w:u w:val="single"/>
        </w:rPr>
      </w:pPr>
      <w:r w:rsidRPr="005759D1">
        <w:rPr>
          <w:rFonts w:asciiTheme="majorHAnsi" w:hAnsiTheme="majorHAnsi" w:cstheme="majorHAnsi"/>
          <w:sz w:val="22"/>
          <w:szCs w:val="22"/>
          <w:u w:val="single"/>
        </w:rPr>
        <w:t>Study Design</w:t>
      </w:r>
    </w:p>
    <w:p w:rsidR="00AC105C" w:rsidRPr="005759D1" w:rsidRDefault="00AC105C" w:rsidP="00B1100F">
      <w:pPr>
        <w:rPr>
          <w:rFonts w:asciiTheme="majorHAnsi" w:hAnsiTheme="majorHAnsi" w:cstheme="majorHAnsi"/>
          <w:sz w:val="22"/>
          <w:szCs w:val="22"/>
        </w:rPr>
      </w:pPr>
    </w:p>
    <w:p w:rsidR="002B6B1D" w:rsidRPr="005759D1" w:rsidRDefault="00B1100F" w:rsidP="002B6B1D">
      <w:pPr>
        <w:rPr>
          <w:rFonts w:asciiTheme="majorHAnsi" w:hAnsiTheme="majorHAnsi" w:cstheme="majorHAnsi"/>
          <w:sz w:val="22"/>
          <w:szCs w:val="22"/>
        </w:rPr>
      </w:pPr>
      <w:r w:rsidRPr="005759D1">
        <w:rPr>
          <w:rFonts w:asciiTheme="majorHAnsi" w:hAnsiTheme="majorHAnsi" w:cstheme="majorHAnsi"/>
          <w:sz w:val="22"/>
          <w:szCs w:val="22"/>
        </w:rPr>
        <w:t>T</w:t>
      </w:r>
      <w:r w:rsidR="002B6B1D" w:rsidRPr="005759D1">
        <w:rPr>
          <w:rFonts w:asciiTheme="majorHAnsi" w:hAnsiTheme="majorHAnsi" w:cstheme="majorHAnsi"/>
          <w:sz w:val="22"/>
          <w:szCs w:val="22"/>
        </w:rPr>
        <w:t xml:space="preserve">o demonstrate proof of concept regarding feasibility of the approach to identifying biomarkers </w:t>
      </w:r>
      <w:r w:rsidR="00F4297C" w:rsidRPr="005759D1">
        <w:rPr>
          <w:rFonts w:asciiTheme="majorHAnsi" w:hAnsiTheme="majorHAnsi" w:cstheme="majorHAnsi"/>
          <w:sz w:val="22"/>
          <w:szCs w:val="22"/>
        </w:rPr>
        <w:t xml:space="preserve">present in serum </w:t>
      </w:r>
      <w:r w:rsidR="002B6B1D" w:rsidRPr="005759D1">
        <w:rPr>
          <w:rFonts w:asciiTheme="majorHAnsi" w:hAnsiTheme="majorHAnsi" w:cstheme="majorHAnsi"/>
          <w:sz w:val="22"/>
          <w:szCs w:val="22"/>
        </w:rPr>
        <w:t>which can be used to identify patients with high risk for of developing POAF post CABG surgery</w:t>
      </w:r>
      <w:r w:rsidRPr="005759D1">
        <w:rPr>
          <w:rFonts w:asciiTheme="majorHAnsi" w:hAnsiTheme="majorHAnsi" w:cstheme="majorHAnsi"/>
          <w:sz w:val="22"/>
          <w:szCs w:val="22"/>
        </w:rPr>
        <w:t xml:space="preserve"> </w:t>
      </w:r>
      <w:r w:rsidR="00F4297C" w:rsidRPr="005759D1">
        <w:rPr>
          <w:rFonts w:asciiTheme="majorHAnsi" w:hAnsiTheme="majorHAnsi" w:cstheme="majorHAnsi"/>
          <w:sz w:val="22"/>
          <w:szCs w:val="22"/>
        </w:rPr>
        <w:t xml:space="preserve">and require prophylactic intervention, </w:t>
      </w:r>
      <w:r w:rsidRPr="005759D1">
        <w:rPr>
          <w:rFonts w:asciiTheme="majorHAnsi" w:hAnsiTheme="majorHAnsi" w:cstheme="majorHAnsi"/>
          <w:sz w:val="22"/>
          <w:szCs w:val="22"/>
        </w:rPr>
        <w:t>a prospective case</w:t>
      </w:r>
      <w:r w:rsidR="00821612" w:rsidRPr="005759D1">
        <w:rPr>
          <w:rFonts w:asciiTheme="majorHAnsi" w:hAnsiTheme="majorHAnsi" w:cstheme="majorHAnsi"/>
          <w:sz w:val="22"/>
          <w:szCs w:val="22"/>
        </w:rPr>
        <w:t>/</w:t>
      </w:r>
      <w:r w:rsidRPr="005759D1">
        <w:rPr>
          <w:rFonts w:asciiTheme="majorHAnsi" w:hAnsiTheme="majorHAnsi" w:cstheme="majorHAnsi"/>
          <w:sz w:val="22"/>
          <w:szCs w:val="22"/>
        </w:rPr>
        <w:t>control pilot study design is proposed</w:t>
      </w:r>
      <w:r w:rsidR="002B6B1D" w:rsidRPr="005759D1">
        <w:rPr>
          <w:rFonts w:asciiTheme="majorHAnsi" w:hAnsiTheme="majorHAnsi" w:cstheme="majorHAnsi"/>
          <w:sz w:val="22"/>
          <w:szCs w:val="22"/>
        </w:rPr>
        <w:t xml:space="preserve">. </w:t>
      </w:r>
      <w:r w:rsidR="00602972" w:rsidRPr="005759D1">
        <w:rPr>
          <w:rFonts w:asciiTheme="majorHAnsi" w:hAnsiTheme="majorHAnsi" w:cstheme="majorHAnsi"/>
          <w:sz w:val="22"/>
          <w:szCs w:val="22"/>
        </w:rPr>
        <w:t xml:space="preserve">Blood will be collected for serum collection, pre and post-surgery at two specific time points as described below. </w:t>
      </w:r>
      <w:r w:rsidR="00F4297C" w:rsidRPr="005759D1">
        <w:rPr>
          <w:rFonts w:asciiTheme="majorHAnsi" w:hAnsiTheme="majorHAnsi" w:cstheme="majorHAnsi"/>
          <w:sz w:val="22"/>
          <w:szCs w:val="22"/>
        </w:rPr>
        <w:t xml:space="preserve"> Protocols for miRNA testing will be established for use in this and future studies. </w:t>
      </w:r>
      <w:r w:rsidR="00A60A11" w:rsidRPr="005759D1">
        <w:rPr>
          <w:rFonts w:asciiTheme="majorHAnsi" w:hAnsiTheme="majorHAnsi" w:cstheme="majorHAnsi"/>
          <w:sz w:val="22"/>
          <w:szCs w:val="22"/>
        </w:rPr>
        <w:t xml:space="preserve"> </w:t>
      </w:r>
      <w:r w:rsidR="002B6B1D" w:rsidRPr="005759D1">
        <w:rPr>
          <w:rFonts w:asciiTheme="majorHAnsi" w:hAnsiTheme="majorHAnsi" w:cstheme="majorHAnsi"/>
          <w:sz w:val="22"/>
          <w:szCs w:val="22"/>
        </w:rPr>
        <w:t xml:space="preserve">Study outcomes will serve as preliminary data for proposals soliciting grand funding to pursue a larger clinical study. </w:t>
      </w:r>
      <w:r w:rsidR="00A60A11" w:rsidRPr="005759D1">
        <w:rPr>
          <w:rFonts w:asciiTheme="majorHAnsi" w:hAnsiTheme="majorHAnsi" w:cstheme="majorHAnsi"/>
          <w:sz w:val="22"/>
          <w:szCs w:val="22"/>
        </w:rPr>
        <w:t xml:space="preserve"> </w:t>
      </w:r>
      <w:r w:rsidR="002B6B1D" w:rsidRPr="005759D1">
        <w:rPr>
          <w:rFonts w:asciiTheme="majorHAnsi" w:hAnsiTheme="majorHAnsi" w:cstheme="majorHAnsi"/>
          <w:sz w:val="22"/>
          <w:szCs w:val="22"/>
        </w:rPr>
        <w:t xml:space="preserve">A synopsis of the study is presented in the Protocol Schema shown in </w:t>
      </w:r>
      <w:r w:rsidR="002B6B1D" w:rsidRPr="005759D1">
        <w:rPr>
          <w:rFonts w:asciiTheme="majorHAnsi" w:hAnsiTheme="majorHAnsi" w:cstheme="majorHAnsi"/>
          <w:b/>
          <w:sz w:val="22"/>
          <w:szCs w:val="22"/>
        </w:rPr>
        <w:t>Table 3</w:t>
      </w:r>
      <w:r w:rsidR="002B6B1D" w:rsidRPr="005759D1">
        <w:rPr>
          <w:rFonts w:asciiTheme="majorHAnsi" w:hAnsiTheme="majorHAnsi" w:cstheme="majorHAnsi"/>
          <w:sz w:val="22"/>
          <w:szCs w:val="22"/>
        </w:rPr>
        <w:t>.</w:t>
      </w:r>
    </w:p>
    <w:p w:rsidR="002B6B1D" w:rsidRPr="005759D1" w:rsidRDefault="002B6B1D" w:rsidP="002B6B1D">
      <w:pPr>
        <w:rPr>
          <w:rFonts w:asciiTheme="majorHAnsi" w:hAnsiTheme="majorHAnsi" w:cstheme="majorHAnsi"/>
          <w:b/>
          <w:sz w:val="22"/>
          <w:szCs w:val="22"/>
        </w:rPr>
      </w:pPr>
    </w:p>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b/>
          <w:sz w:val="22"/>
          <w:szCs w:val="22"/>
        </w:rPr>
        <w:t>Table 3</w:t>
      </w:r>
    </w:p>
    <w:tbl>
      <w:tblPr>
        <w:tblStyle w:val="TableGrid"/>
        <w:tblW w:w="0" w:type="auto"/>
        <w:tblLook w:val="01E0" w:firstRow="1" w:lastRow="1" w:firstColumn="1" w:lastColumn="1" w:noHBand="0" w:noVBand="0"/>
      </w:tblPr>
      <w:tblGrid>
        <w:gridCol w:w="1908"/>
        <w:gridCol w:w="5603"/>
        <w:gridCol w:w="2700"/>
      </w:tblGrid>
      <w:tr w:rsidR="002B6B1D" w:rsidRPr="005759D1" w:rsidTr="002B6B1D">
        <w:tc>
          <w:tcPr>
            <w:tcW w:w="1908" w:type="dxa"/>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b/>
                <w:sz w:val="22"/>
                <w:szCs w:val="22"/>
              </w:rPr>
              <w:t>Time</w:t>
            </w:r>
          </w:p>
        </w:tc>
        <w:tc>
          <w:tcPr>
            <w:tcW w:w="5490" w:type="dxa"/>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b/>
                <w:sz w:val="22"/>
                <w:szCs w:val="22"/>
              </w:rPr>
              <w:t>Task</w:t>
            </w:r>
          </w:p>
        </w:tc>
        <w:tc>
          <w:tcPr>
            <w:tcW w:w="2700" w:type="dxa"/>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b/>
                <w:sz w:val="22"/>
                <w:szCs w:val="22"/>
              </w:rPr>
              <w:t>Performed By</w:t>
            </w:r>
          </w:p>
        </w:tc>
      </w:tr>
      <w:tr w:rsidR="002B6B1D" w:rsidRPr="005759D1" w:rsidTr="002B6B1D">
        <w:tc>
          <w:tcPr>
            <w:tcW w:w="1908" w:type="dxa"/>
            <w:vMerge w:val="restart"/>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sz w:val="22"/>
                <w:szCs w:val="22"/>
              </w:rPr>
              <w:t>@ Enrollment</w:t>
            </w: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Identify patients who</w:t>
            </w:r>
            <w:r w:rsidR="00821612" w:rsidRPr="005759D1">
              <w:rPr>
                <w:rFonts w:asciiTheme="majorHAnsi" w:hAnsiTheme="majorHAnsi" w:cstheme="majorHAnsi"/>
                <w:sz w:val="22"/>
                <w:szCs w:val="22"/>
              </w:rPr>
              <w:t xml:space="preserve"> will</w:t>
            </w:r>
            <w:r w:rsidRPr="005759D1">
              <w:rPr>
                <w:rFonts w:asciiTheme="majorHAnsi" w:hAnsiTheme="majorHAnsi" w:cstheme="majorHAnsi"/>
                <w:sz w:val="22"/>
                <w:szCs w:val="22"/>
              </w:rPr>
              <w:t xml:space="preserve"> be having CABG. </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Cardiologist</w:t>
            </w:r>
            <w:r w:rsidR="00905F96">
              <w:rPr>
                <w:rFonts w:asciiTheme="majorHAnsi" w:hAnsiTheme="majorHAnsi" w:cstheme="majorHAnsi"/>
                <w:sz w:val="22"/>
                <w:szCs w:val="22"/>
              </w:rPr>
              <w:t>/Coordinator</w:t>
            </w:r>
          </w:p>
        </w:tc>
      </w:tr>
      <w:tr w:rsidR="002B6B1D" w:rsidRPr="005759D1" w:rsidTr="002B6B1D">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 xml:space="preserve">Verify identified patients meet eligibility criteria. </w:t>
            </w:r>
          </w:p>
        </w:tc>
        <w:tc>
          <w:tcPr>
            <w:tcW w:w="2700" w:type="dxa"/>
          </w:tcPr>
          <w:p w:rsidR="002B6B1D" w:rsidRPr="005759D1" w:rsidRDefault="00B1100F" w:rsidP="002B6B1D">
            <w:pPr>
              <w:rPr>
                <w:rFonts w:asciiTheme="majorHAnsi" w:hAnsiTheme="majorHAnsi" w:cstheme="majorHAnsi"/>
                <w:sz w:val="22"/>
                <w:szCs w:val="22"/>
              </w:rPr>
            </w:pPr>
            <w:r w:rsidRPr="005759D1">
              <w:rPr>
                <w:rFonts w:asciiTheme="majorHAnsi" w:hAnsiTheme="majorHAnsi" w:cstheme="majorHAnsi"/>
                <w:sz w:val="22"/>
                <w:szCs w:val="22"/>
              </w:rPr>
              <w:t>Coord</w:t>
            </w:r>
            <w:r w:rsidR="002B6B1D" w:rsidRPr="005759D1">
              <w:rPr>
                <w:rFonts w:asciiTheme="majorHAnsi" w:hAnsiTheme="majorHAnsi" w:cstheme="majorHAnsi"/>
                <w:sz w:val="22"/>
                <w:szCs w:val="22"/>
              </w:rPr>
              <w:t>inator</w:t>
            </w:r>
          </w:p>
        </w:tc>
      </w:tr>
      <w:tr w:rsidR="002B6B1D" w:rsidRPr="005759D1" w:rsidTr="002B6B1D">
        <w:trPr>
          <w:trHeight w:val="562"/>
        </w:trPr>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 xml:space="preserve">Consent and enroll CABG candidates </w:t>
            </w:r>
            <w:r w:rsidR="00B1100F" w:rsidRPr="005759D1">
              <w:rPr>
                <w:rFonts w:asciiTheme="majorHAnsi" w:hAnsiTheme="majorHAnsi" w:cstheme="majorHAnsi"/>
                <w:sz w:val="22"/>
                <w:szCs w:val="22"/>
              </w:rPr>
              <w:t xml:space="preserve">reviewed by the MDs </w:t>
            </w:r>
            <w:r w:rsidRPr="005759D1">
              <w:rPr>
                <w:rFonts w:asciiTheme="majorHAnsi" w:hAnsiTheme="majorHAnsi" w:cstheme="majorHAnsi"/>
                <w:sz w:val="22"/>
                <w:szCs w:val="22"/>
              </w:rPr>
              <w:t>who meet eligibility criteria preoperatively and collect relevant clinical data/validate against EMR</w:t>
            </w:r>
            <w:r w:rsidR="00A60A11" w:rsidRPr="005759D1">
              <w:rPr>
                <w:rFonts w:asciiTheme="majorHAnsi" w:hAnsiTheme="majorHAnsi" w:cstheme="majorHAnsi"/>
                <w:sz w:val="22"/>
                <w:szCs w:val="22"/>
              </w:rPr>
              <w:t>.</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Coordinator</w:t>
            </w:r>
          </w:p>
        </w:tc>
      </w:tr>
      <w:tr w:rsidR="002B6B1D" w:rsidRPr="005759D1" w:rsidTr="002B6B1D">
        <w:trPr>
          <w:trHeight w:val="420"/>
        </w:trPr>
        <w:tc>
          <w:tcPr>
            <w:tcW w:w="1908" w:type="dxa"/>
            <w:vMerge w:val="restart"/>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sz w:val="22"/>
                <w:szCs w:val="22"/>
              </w:rPr>
              <w:t>Prior to CABG</w:t>
            </w:r>
          </w:p>
        </w:tc>
        <w:tc>
          <w:tcPr>
            <w:tcW w:w="5490" w:type="dxa"/>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sz w:val="22"/>
                <w:szCs w:val="22"/>
              </w:rPr>
              <w:t>Collect blood draws from all participants and deliver to Dr. Burmester’s laboratory</w:t>
            </w:r>
            <w:r w:rsidR="00A60A11" w:rsidRPr="005759D1">
              <w:rPr>
                <w:rFonts w:asciiTheme="majorHAnsi" w:hAnsiTheme="majorHAnsi" w:cstheme="majorHAnsi"/>
                <w:sz w:val="22"/>
                <w:szCs w:val="22"/>
              </w:rPr>
              <w:t>.</w:t>
            </w:r>
            <w:r w:rsidRPr="005759D1">
              <w:rPr>
                <w:rFonts w:asciiTheme="majorHAnsi" w:hAnsiTheme="majorHAnsi" w:cstheme="majorHAnsi"/>
                <w:sz w:val="22"/>
                <w:szCs w:val="22"/>
              </w:rPr>
              <w:t xml:space="preserve"> </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Coordinator</w:t>
            </w:r>
          </w:p>
        </w:tc>
      </w:tr>
      <w:tr w:rsidR="002B6B1D" w:rsidRPr="005759D1" w:rsidTr="002B6B1D">
        <w:trPr>
          <w:trHeight w:val="420"/>
        </w:trPr>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Process and store serum samples</w:t>
            </w:r>
            <w:r w:rsidR="00A60A11" w:rsidRPr="005759D1">
              <w:rPr>
                <w:rFonts w:asciiTheme="majorHAnsi" w:hAnsiTheme="majorHAnsi" w:cstheme="majorHAnsi"/>
                <w:sz w:val="22"/>
                <w:szCs w:val="22"/>
              </w:rPr>
              <w:t>.</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 xml:space="preserve">Research Laboratory </w:t>
            </w:r>
          </w:p>
        </w:tc>
      </w:tr>
      <w:tr w:rsidR="002B6B1D" w:rsidRPr="005759D1" w:rsidTr="002B6B1D">
        <w:tc>
          <w:tcPr>
            <w:tcW w:w="1908" w:type="dxa"/>
            <w:vMerge w:val="restart"/>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Post CABG</w:t>
            </w:r>
          </w:p>
          <w:p w:rsidR="002B6B1D" w:rsidRPr="005759D1" w:rsidRDefault="002B6B1D" w:rsidP="002B6B1D">
            <w:pPr>
              <w:rPr>
                <w:rFonts w:asciiTheme="majorHAnsi" w:hAnsiTheme="majorHAnsi" w:cstheme="majorHAnsi"/>
                <w:sz w:val="22"/>
                <w:szCs w:val="22"/>
              </w:rPr>
            </w:pPr>
          </w:p>
          <w:p w:rsidR="002B6B1D" w:rsidRPr="005759D1" w:rsidRDefault="002B6B1D" w:rsidP="002B6B1D">
            <w:pPr>
              <w:rPr>
                <w:rFonts w:asciiTheme="majorHAnsi" w:hAnsiTheme="majorHAnsi" w:cstheme="majorHAnsi"/>
                <w:sz w:val="22"/>
                <w:szCs w:val="22"/>
              </w:rPr>
            </w:pPr>
          </w:p>
          <w:p w:rsidR="002B6B1D" w:rsidRPr="005759D1" w:rsidRDefault="002B6B1D" w:rsidP="002B6B1D">
            <w:pPr>
              <w:rPr>
                <w:rFonts w:asciiTheme="majorHAnsi" w:hAnsiTheme="majorHAnsi" w:cstheme="majorHAnsi"/>
                <w:sz w:val="22"/>
                <w:szCs w:val="22"/>
              </w:rPr>
            </w:pPr>
          </w:p>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Collect blood draws from subjects and deliver to Dr. Burmester’s laboratory for processing and storage</w:t>
            </w:r>
            <w:r w:rsidR="00A60A11" w:rsidRPr="005759D1">
              <w:rPr>
                <w:rFonts w:asciiTheme="majorHAnsi" w:hAnsiTheme="majorHAnsi" w:cstheme="majorHAnsi"/>
                <w:sz w:val="22"/>
                <w:szCs w:val="22"/>
              </w:rPr>
              <w:t>.</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Coordinator</w:t>
            </w:r>
          </w:p>
        </w:tc>
      </w:tr>
      <w:tr w:rsidR="002B6B1D" w:rsidRPr="005759D1" w:rsidTr="002B6B1D">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Process and store serum samples</w:t>
            </w:r>
            <w:r w:rsidR="00A60A11" w:rsidRPr="005759D1">
              <w:rPr>
                <w:rFonts w:asciiTheme="majorHAnsi" w:hAnsiTheme="majorHAnsi" w:cstheme="majorHAnsi"/>
                <w:sz w:val="22"/>
                <w:szCs w:val="22"/>
              </w:rPr>
              <w:t>.</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Research Laboratory</w:t>
            </w:r>
          </w:p>
        </w:tc>
      </w:tr>
      <w:tr w:rsidR="002B6B1D" w:rsidRPr="005759D1" w:rsidTr="002B6B1D">
        <w:trPr>
          <w:trHeight w:val="575"/>
        </w:trPr>
        <w:tc>
          <w:tcPr>
            <w:tcW w:w="1908" w:type="dxa"/>
            <w:vMerge/>
          </w:tcPr>
          <w:p w:rsidR="002B6B1D" w:rsidRPr="005759D1" w:rsidRDefault="002B6B1D" w:rsidP="002B6B1D">
            <w:pPr>
              <w:rPr>
                <w:rFonts w:asciiTheme="majorHAnsi" w:hAnsiTheme="majorHAnsi" w:cstheme="majorHAnsi"/>
                <w:b/>
                <w:sz w:val="22"/>
                <w:szCs w:val="22"/>
              </w:rPr>
            </w:pPr>
          </w:p>
        </w:tc>
        <w:tc>
          <w:tcPr>
            <w:tcW w:w="5490" w:type="dxa"/>
          </w:tcPr>
          <w:p w:rsidR="002B6B1D" w:rsidRPr="005759D1" w:rsidRDefault="00594340" w:rsidP="002B6B1D">
            <w:pPr>
              <w:rPr>
                <w:rFonts w:asciiTheme="majorHAnsi" w:hAnsiTheme="majorHAnsi" w:cstheme="majorHAnsi"/>
                <w:b/>
                <w:sz w:val="22"/>
                <w:szCs w:val="22"/>
              </w:rPr>
            </w:pPr>
            <w:r w:rsidRPr="005759D1">
              <w:rPr>
                <w:rFonts w:asciiTheme="majorHAnsi" w:hAnsiTheme="majorHAnsi" w:cstheme="majorHAnsi"/>
                <w:sz w:val="22"/>
                <w:szCs w:val="22"/>
              </w:rPr>
              <w:t>Track POAF incidence in EMR:  E</w:t>
            </w:r>
            <w:r w:rsidR="002B6B1D" w:rsidRPr="005759D1">
              <w:rPr>
                <w:rFonts w:asciiTheme="majorHAnsi" w:hAnsiTheme="majorHAnsi" w:cstheme="majorHAnsi"/>
                <w:sz w:val="22"/>
                <w:szCs w:val="22"/>
              </w:rPr>
              <w:t xml:space="preserve">nd enrollment after </w:t>
            </w:r>
            <w:r w:rsidR="00CB70F9" w:rsidRPr="005759D1">
              <w:rPr>
                <w:rFonts w:asciiTheme="majorHAnsi" w:hAnsiTheme="majorHAnsi" w:cstheme="majorHAnsi"/>
                <w:sz w:val="22"/>
                <w:szCs w:val="22"/>
              </w:rPr>
              <w:t>8</w:t>
            </w:r>
            <w:r w:rsidR="002B6B1D" w:rsidRPr="005759D1">
              <w:rPr>
                <w:rFonts w:asciiTheme="majorHAnsi" w:hAnsiTheme="majorHAnsi" w:cstheme="majorHAnsi"/>
                <w:sz w:val="22"/>
                <w:szCs w:val="22"/>
                <w:vertAlign w:val="superscript"/>
              </w:rPr>
              <w:t>th</w:t>
            </w:r>
            <w:r w:rsidR="002B6B1D" w:rsidRPr="005759D1">
              <w:rPr>
                <w:rFonts w:asciiTheme="majorHAnsi" w:hAnsiTheme="majorHAnsi" w:cstheme="majorHAnsi"/>
                <w:sz w:val="22"/>
                <w:szCs w:val="22"/>
              </w:rPr>
              <w:t xml:space="preserve"> case emerges</w:t>
            </w:r>
            <w:r w:rsidR="00A60A11" w:rsidRPr="005759D1">
              <w:rPr>
                <w:rFonts w:asciiTheme="majorHAnsi" w:hAnsiTheme="majorHAnsi" w:cstheme="majorHAnsi"/>
                <w:sz w:val="22"/>
                <w:szCs w:val="22"/>
              </w:rPr>
              <w:t>.</w:t>
            </w:r>
            <w:r w:rsidRPr="005759D1">
              <w:rPr>
                <w:rFonts w:asciiTheme="majorHAnsi" w:hAnsiTheme="majorHAnsi" w:cstheme="majorHAnsi"/>
                <w:sz w:val="22"/>
                <w:szCs w:val="22"/>
              </w:rPr>
              <w:t xml:space="preserve"> </w:t>
            </w:r>
          </w:p>
        </w:tc>
        <w:tc>
          <w:tcPr>
            <w:tcW w:w="2700" w:type="dxa"/>
          </w:tcPr>
          <w:p w:rsidR="002B6B1D" w:rsidRPr="005759D1" w:rsidRDefault="00B1100F" w:rsidP="002B6B1D">
            <w:pPr>
              <w:rPr>
                <w:rFonts w:asciiTheme="majorHAnsi" w:hAnsiTheme="majorHAnsi" w:cstheme="majorHAnsi"/>
                <w:sz w:val="22"/>
                <w:szCs w:val="22"/>
              </w:rPr>
            </w:pPr>
            <w:r w:rsidRPr="005759D1">
              <w:rPr>
                <w:rFonts w:asciiTheme="majorHAnsi" w:hAnsiTheme="majorHAnsi" w:cstheme="majorHAnsi"/>
                <w:sz w:val="22"/>
                <w:szCs w:val="22"/>
              </w:rPr>
              <w:t>Physicians</w:t>
            </w:r>
          </w:p>
        </w:tc>
      </w:tr>
      <w:tr w:rsidR="002B6B1D" w:rsidRPr="005759D1" w:rsidTr="002B6B1D">
        <w:trPr>
          <w:trHeight w:val="275"/>
        </w:trPr>
        <w:tc>
          <w:tcPr>
            <w:tcW w:w="1908" w:type="dxa"/>
            <w:vMerge w:val="restart"/>
          </w:tcPr>
          <w:p w:rsidR="002B6B1D" w:rsidRPr="005759D1" w:rsidRDefault="002B6B1D" w:rsidP="002B6B1D">
            <w:pPr>
              <w:rPr>
                <w:rFonts w:asciiTheme="majorHAnsi" w:hAnsiTheme="majorHAnsi" w:cstheme="majorHAnsi"/>
                <w:b/>
                <w:sz w:val="22"/>
                <w:szCs w:val="22"/>
              </w:rPr>
            </w:pPr>
            <w:r w:rsidRPr="005759D1">
              <w:rPr>
                <w:rFonts w:asciiTheme="majorHAnsi" w:hAnsiTheme="majorHAnsi" w:cstheme="majorHAnsi"/>
                <w:sz w:val="22"/>
                <w:szCs w:val="22"/>
              </w:rPr>
              <w:t xml:space="preserve">@ 60 days post last CABG performed </w:t>
            </w:r>
          </w:p>
        </w:tc>
        <w:tc>
          <w:tcPr>
            <w:tcW w:w="5490" w:type="dxa"/>
          </w:tcPr>
          <w:p w:rsidR="002B6B1D" w:rsidRPr="005759D1" w:rsidRDefault="002B6B1D" w:rsidP="00397B1F">
            <w:pPr>
              <w:rPr>
                <w:rFonts w:asciiTheme="majorHAnsi" w:hAnsiTheme="majorHAnsi" w:cstheme="majorHAnsi"/>
                <w:sz w:val="22"/>
                <w:szCs w:val="22"/>
              </w:rPr>
            </w:pPr>
            <w:r w:rsidRPr="005759D1">
              <w:rPr>
                <w:rFonts w:asciiTheme="majorHAnsi" w:hAnsiTheme="majorHAnsi" w:cstheme="majorHAnsi"/>
                <w:sz w:val="22"/>
                <w:szCs w:val="22"/>
              </w:rPr>
              <w:t>Identify/match controls</w:t>
            </w:r>
            <w:r w:rsidR="00594340" w:rsidRPr="005759D1">
              <w:rPr>
                <w:rFonts w:asciiTheme="majorHAnsi" w:hAnsiTheme="majorHAnsi" w:cstheme="majorHAnsi"/>
                <w:sz w:val="22"/>
                <w:szCs w:val="22"/>
              </w:rPr>
              <w:t xml:space="preserve"> to cases </w:t>
            </w:r>
            <w:r w:rsidR="001F1ACA" w:rsidRPr="005759D1">
              <w:rPr>
                <w:rFonts w:asciiTheme="majorHAnsi" w:hAnsiTheme="majorHAnsi" w:cstheme="majorHAnsi"/>
                <w:sz w:val="22"/>
                <w:szCs w:val="22"/>
              </w:rPr>
              <w:t xml:space="preserve">as closely as possible from the pool of enrolled participants.  </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Study team</w:t>
            </w:r>
          </w:p>
        </w:tc>
      </w:tr>
      <w:tr w:rsidR="002B6B1D" w:rsidRPr="005759D1" w:rsidTr="002B6B1D">
        <w:trPr>
          <w:trHeight w:val="275"/>
        </w:trPr>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1F1ACA" w:rsidP="001F1ACA">
            <w:pPr>
              <w:rPr>
                <w:rFonts w:asciiTheme="majorHAnsi" w:hAnsiTheme="majorHAnsi" w:cstheme="majorHAnsi"/>
                <w:strike/>
                <w:sz w:val="22"/>
                <w:szCs w:val="22"/>
              </w:rPr>
            </w:pPr>
            <w:r w:rsidRPr="005759D1">
              <w:rPr>
                <w:rFonts w:asciiTheme="majorHAnsi" w:hAnsiTheme="majorHAnsi" w:cstheme="majorHAnsi"/>
                <w:sz w:val="22"/>
                <w:szCs w:val="22"/>
              </w:rPr>
              <w:t>Run Qiagen’s Human Serum &amp; Plasma miScript miRNA Array profiling 84 miRNA’s using the 384 well format to test 4 samples (2 cases and 2 controls) and repeat on a separate day to establish in house miRNA handling protocols and test sensitivity, specificity and reproducibility of the commercial assay in our laboratory</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Research Laboratory</w:t>
            </w:r>
          </w:p>
        </w:tc>
      </w:tr>
      <w:tr w:rsidR="002F5D00" w:rsidRPr="005759D1" w:rsidTr="002B6B1D">
        <w:trPr>
          <w:trHeight w:val="275"/>
        </w:trPr>
        <w:tc>
          <w:tcPr>
            <w:tcW w:w="1908" w:type="dxa"/>
            <w:vMerge/>
          </w:tcPr>
          <w:p w:rsidR="002F5D00" w:rsidRPr="005759D1" w:rsidRDefault="002F5D00" w:rsidP="002B6B1D">
            <w:pPr>
              <w:rPr>
                <w:rFonts w:asciiTheme="majorHAnsi" w:hAnsiTheme="majorHAnsi" w:cstheme="majorHAnsi"/>
                <w:sz w:val="22"/>
                <w:szCs w:val="22"/>
              </w:rPr>
            </w:pPr>
          </w:p>
        </w:tc>
        <w:tc>
          <w:tcPr>
            <w:tcW w:w="5490" w:type="dxa"/>
          </w:tcPr>
          <w:tbl>
            <w:tblPr>
              <w:tblStyle w:val="TableGrid"/>
              <w:tblW w:w="5377" w:type="dxa"/>
              <w:tblLook w:val="01E0" w:firstRow="1" w:lastRow="1" w:firstColumn="1" w:lastColumn="1" w:noHBand="0" w:noVBand="0"/>
            </w:tblPr>
            <w:tblGrid>
              <w:gridCol w:w="5377"/>
            </w:tblGrid>
            <w:tr w:rsidR="00F4297C" w:rsidRPr="005759D1" w:rsidTr="00841B60">
              <w:trPr>
                <w:trHeight w:val="275"/>
              </w:trPr>
              <w:tc>
                <w:tcPr>
                  <w:tcW w:w="5377" w:type="dxa"/>
                </w:tcPr>
                <w:p w:rsidR="00F4297C" w:rsidRDefault="00F4297C" w:rsidP="00F4297C">
                  <w:pPr>
                    <w:rPr>
                      <w:rFonts w:asciiTheme="majorHAnsi" w:hAnsiTheme="majorHAnsi" w:cstheme="majorHAnsi"/>
                      <w:sz w:val="22"/>
                      <w:szCs w:val="22"/>
                    </w:rPr>
                  </w:pPr>
                  <w:r w:rsidRPr="005759D1">
                    <w:rPr>
                      <w:rFonts w:asciiTheme="majorHAnsi" w:hAnsiTheme="majorHAnsi" w:cstheme="majorHAnsi"/>
                      <w:sz w:val="22"/>
                      <w:szCs w:val="22"/>
                    </w:rPr>
                    <w:t>Run miRNome miRNA PCR arrays to test one case and one control in duplicate to QA this array.</w:t>
                  </w:r>
                </w:p>
                <w:p w:rsidR="005F2370" w:rsidRDefault="005F2370" w:rsidP="00F4297C">
                  <w:pPr>
                    <w:rPr>
                      <w:rFonts w:asciiTheme="majorHAnsi" w:hAnsiTheme="majorHAnsi" w:cstheme="majorHAnsi"/>
                      <w:sz w:val="22"/>
                      <w:szCs w:val="22"/>
                    </w:rPr>
                  </w:pPr>
                </w:p>
                <w:p w:rsidR="005F2370" w:rsidRPr="005759D1" w:rsidRDefault="005F2370" w:rsidP="00F4297C">
                  <w:pPr>
                    <w:rPr>
                      <w:rFonts w:asciiTheme="majorHAnsi" w:hAnsiTheme="majorHAnsi" w:cstheme="majorHAnsi"/>
                      <w:sz w:val="22"/>
                      <w:szCs w:val="22"/>
                    </w:rPr>
                  </w:pPr>
                </w:p>
              </w:tc>
            </w:tr>
            <w:tr w:rsidR="00F4297C" w:rsidRPr="005759D1" w:rsidTr="00841B60">
              <w:trPr>
                <w:trHeight w:val="275"/>
              </w:trPr>
              <w:tc>
                <w:tcPr>
                  <w:tcW w:w="5377" w:type="dxa"/>
                </w:tcPr>
                <w:p w:rsidR="00F4297C" w:rsidRDefault="00F4297C" w:rsidP="00F4297C">
                  <w:pPr>
                    <w:rPr>
                      <w:rFonts w:asciiTheme="majorHAnsi" w:hAnsiTheme="majorHAnsi" w:cstheme="majorHAnsi"/>
                      <w:sz w:val="22"/>
                      <w:szCs w:val="22"/>
                    </w:rPr>
                  </w:pPr>
                  <w:r w:rsidRPr="005759D1">
                    <w:rPr>
                      <w:rFonts w:asciiTheme="majorHAnsi" w:hAnsiTheme="majorHAnsi" w:cstheme="majorHAnsi"/>
                      <w:sz w:val="22"/>
                      <w:szCs w:val="22"/>
                    </w:rPr>
                    <w:t>Run miRNome miRNA PCR arrays to test the remaining 14 samples (7 cases and 7 controls).</w:t>
                  </w:r>
                </w:p>
                <w:p w:rsidR="005F2370" w:rsidRDefault="005F2370" w:rsidP="00F4297C">
                  <w:pPr>
                    <w:rPr>
                      <w:rFonts w:asciiTheme="majorHAnsi" w:hAnsiTheme="majorHAnsi" w:cstheme="majorHAnsi"/>
                      <w:sz w:val="22"/>
                      <w:szCs w:val="22"/>
                    </w:rPr>
                  </w:pPr>
                </w:p>
                <w:p w:rsidR="005F2370" w:rsidRPr="005759D1" w:rsidRDefault="005F2370" w:rsidP="00F4297C">
                  <w:pPr>
                    <w:rPr>
                      <w:rFonts w:asciiTheme="majorHAnsi" w:hAnsiTheme="majorHAnsi" w:cstheme="majorHAnsi"/>
                      <w:sz w:val="22"/>
                      <w:szCs w:val="22"/>
                    </w:rPr>
                  </w:pPr>
                </w:p>
              </w:tc>
            </w:tr>
          </w:tbl>
          <w:p w:rsidR="002F5D00" w:rsidRPr="005759D1" w:rsidRDefault="002F5D00" w:rsidP="00836AF0">
            <w:pPr>
              <w:rPr>
                <w:rFonts w:asciiTheme="majorHAnsi" w:hAnsiTheme="majorHAnsi" w:cstheme="majorHAnsi"/>
                <w:sz w:val="22"/>
                <w:szCs w:val="22"/>
              </w:rPr>
            </w:pPr>
          </w:p>
        </w:tc>
        <w:tc>
          <w:tcPr>
            <w:tcW w:w="2700" w:type="dxa"/>
          </w:tcPr>
          <w:tbl>
            <w:tblPr>
              <w:tblStyle w:val="TableGrid"/>
              <w:tblW w:w="0" w:type="auto"/>
              <w:tblLook w:val="01E0" w:firstRow="1" w:lastRow="1" w:firstColumn="1" w:lastColumn="1" w:noHBand="0" w:noVBand="0"/>
            </w:tblPr>
            <w:tblGrid>
              <w:gridCol w:w="2474"/>
            </w:tblGrid>
            <w:tr w:rsidR="00F4297C" w:rsidRPr="005759D1" w:rsidTr="00F4297C">
              <w:trPr>
                <w:trHeight w:val="275"/>
              </w:trPr>
              <w:tc>
                <w:tcPr>
                  <w:tcW w:w="2700" w:type="dxa"/>
                </w:tcPr>
                <w:p w:rsidR="00F4297C" w:rsidRPr="005759D1" w:rsidRDefault="00F4297C" w:rsidP="00F4297C">
                  <w:pPr>
                    <w:rPr>
                      <w:rFonts w:asciiTheme="majorHAnsi" w:hAnsiTheme="majorHAnsi" w:cstheme="majorHAnsi"/>
                      <w:sz w:val="22"/>
                      <w:szCs w:val="22"/>
                    </w:rPr>
                  </w:pPr>
                  <w:r w:rsidRPr="005759D1">
                    <w:rPr>
                      <w:rFonts w:asciiTheme="majorHAnsi" w:hAnsiTheme="majorHAnsi" w:cstheme="majorHAnsi"/>
                      <w:sz w:val="22"/>
                      <w:szCs w:val="22"/>
                    </w:rPr>
                    <w:t>Research Laboratory</w:t>
                  </w:r>
                </w:p>
                <w:p w:rsidR="00F4297C" w:rsidRPr="005759D1" w:rsidRDefault="00F4297C" w:rsidP="00F4297C">
                  <w:pPr>
                    <w:rPr>
                      <w:rFonts w:asciiTheme="majorHAnsi" w:hAnsiTheme="majorHAnsi" w:cstheme="majorHAnsi"/>
                      <w:sz w:val="22"/>
                      <w:szCs w:val="22"/>
                    </w:rPr>
                  </w:pPr>
                </w:p>
                <w:p w:rsidR="00F4297C" w:rsidRPr="005759D1" w:rsidRDefault="00F4297C" w:rsidP="00F4297C">
                  <w:pPr>
                    <w:rPr>
                      <w:rFonts w:asciiTheme="majorHAnsi" w:hAnsiTheme="majorHAnsi" w:cstheme="majorHAnsi"/>
                      <w:sz w:val="22"/>
                      <w:szCs w:val="22"/>
                    </w:rPr>
                  </w:pPr>
                </w:p>
                <w:p w:rsidR="00F4297C" w:rsidRPr="005759D1" w:rsidRDefault="00F4297C" w:rsidP="00F4297C">
                  <w:pPr>
                    <w:rPr>
                      <w:rFonts w:asciiTheme="majorHAnsi" w:hAnsiTheme="majorHAnsi" w:cstheme="majorHAnsi"/>
                      <w:sz w:val="22"/>
                      <w:szCs w:val="22"/>
                    </w:rPr>
                  </w:pPr>
                </w:p>
              </w:tc>
            </w:tr>
            <w:tr w:rsidR="00F4297C" w:rsidRPr="005759D1" w:rsidTr="00F4297C">
              <w:trPr>
                <w:trHeight w:val="275"/>
              </w:trPr>
              <w:tc>
                <w:tcPr>
                  <w:tcW w:w="2700" w:type="dxa"/>
                </w:tcPr>
                <w:p w:rsidR="00F4297C" w:rsidRPr="005759D1" w:rsidRDefault="00F4297C" w:rsidP="00F4297C">
                  <w:pPr>
                    <w:rPr>
                      <w:rFonts w:asciiTheme="majorHAnsi" w:hAnsiTheme="majorHAnsi" w:cstheme="majorHAnsi"/>
                      <w:sz w:val="22"/>
                      <w:szCs w:val="22"/>
                    </w:rPr>
                  </w:pPr>
                  <w:r w:rsidRPr="005759D1">
                    <w:rPr>
                      <w:rFonts w:asciiTheme="majorHAnsi" w:hAnsiTheme="majorHAnsi" w:cstheme="majorHAnsi"/>
                      <w:sz w:val="22"/>
                      <w:szCs w:val="22"/>
                    </w:rPr>
                    <w:t>Research Laboratory</w:t>
                  </w:r>
                </w:p>
                <w:p w:rsidR="00F4297C" w:rsidRPr="005759D1" w:rsidRDefault="00F4297C" w:rsidP="00F4297C">
                  <w:pPr>
                    <w:rPr>
                      <w:rFonts w:asciiTheme="majorHAnsi" w:hAnsiTheme="majorHAnsi" w:cstheme="majorHAnsi"/>
                      <w:sz w:val="22"/>
                      <w:szCs w:val="22"/>
                    </w:rPr>
                  </w:pPr>
                </w:p>
                <w:p w:rsidR="00F4297C" w:rsidRPr="005759D1" w:rsidRDefault="00F4297C" w:rsidP="00F4297C">
                  <w:pPr>
                    <w:rPr>
                      <w:rFonts w:asciiTheme="majorHAnsi" w:hAnsiTheme="majorHAnsi" w:cstheme="majorHAnsi"/>
                      <w:sz w:val="22"/>
                      <w:szCs w:val="22"/>
                    </w:rPr>
                  </w:pPr>
                </w:p>
                <w:p w:rsidR="00F4297C" w:rsidRPr="005759D1" w:rsidRDefault="00F4297C" w:rsidP="00F4297C">
                  <w:pPr>
                    <w:rPr>
                      <w:rFonts w:asciiTheme="majorHAnsi" w:hAnsiTheme="majorHAnsi" w:cstheme="majorHAnsi"/>
                      <w:sz w:val="22"/>
                      <w:szCs w:val="22"/>
                    </w:rPr>
                  </w:pPr>
                </w:p>
              </w:tc>
            </w:tr>
          </w:tbl>
          <w:p w:rsidR="002F5D00" w:rsidRPr="005759D1" w:rsidRDefault="002F5D00" w:rsidP="002B6B1D">
            <w:pPr>
              <w:rPr>
                <w:rFonts w:asciiTheme="majorHAnsi" w:hAnsiTheme="majorHAnsi" w:cstheme="majorHAnsi"/>
                <w:sz w:val="22"/>
                <w:szCs w:val="22"/>
              </w:rPr>
            </w:pPr>
          </w:p>
        </w:tc>
      </w:tr>
      <w:tr w:rsidR="002B6B1D" w:rsidRPr="005759D1" w:rsidTr="002B6B1D">
        <w:trPr>
          <w:trHeight w:val="275"/>
        </w:trPr>
        <w:tc>
          <w:tcPr>
            <w:tcW w:w="1908" w:type="dxa"/>
            <w:vMerge/>
          </w:tcPr>
          <w:p w:rsidR="002B6B1D" w:rsidRPr="005759D1" w:rsidRDefault="002B6B1D" w:rsidP="002B6B1D">
            <w:pPr>
              <w:rPr>
                <w:rFonts w:asciiTheme="majorHAnsi" w:hAnsiTheme="majorHAnsi" w:cstheme="majorHAnsi"/>
                <w:sz w:val="22"/>
                <w:szCs w:val="22"/>
              </w:rPr>
            </w:pPr>
          </w:p>
        </w:tc>
        <w:tc>
          <w:tcPr>
            <w:tcW w:w="549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Data entry and analysis</w:t>
            </w:r>
            <w:r w:rsidR="00A60A11" w:rsidRPr="005759D1">
              <w:rPr>
                <w:rFonts w:asciiTheme="majorHAnsi" w:hAnsiTheme="majorHAnsi" w:cstheme="majorHAnsi"/>
                <w:sz w:val="22"/>
                <w:szCs w:val="22"/>
              </w:rPr>
              <w:t>.</w:t>
            </w:r>
          </w:p>
        </w:tc>
        <w:tc>
          <w:tcPr>
            <w:tcW w:w="2700" w:type="dxa"/>
          </w:tcPr>
          <w:p w:rsidR="002B6B1D" w:rsidRPr="005759D1" w:rsidRDefault="002B6B1D" w:rsidP="002B6B1D">
            <w:pPr>
              <w:rPr>
                <w:rFonts w:asciiTheme="majorHAnsi" w:hAnsiTheme="majorHAnsi" w:cstheme="majorHAnsi"/>
                <w:sz w:val="22"/>
                <w:szCs w:val="22"/>
              </w:rPr>
            </w:pPr>
            <w:r w:rsidRPr="005759D1">
              <w:rPr>
                <w:rFonts w:asciiTheme="majorHAnsi" w:hAnsiTheme="majorHAnsi" w:cstheme="majorHAnsi"/>
                <w:sz w:val="22"/>
                <w:szCs w:val="22"/>
              </w:rPr>
              <w:t>BIRC/Biostatistician</w:t>
            </w:r>
          </w:p>
        </w:tc>
      </w:tr>
    </w:tbl>
    <w:p w:rsidR="00332ED9" w:rsidRPr="005759D1" w:rsidRDefault="00332ED9">
      <w:pPr>
        <w:rPr>
          <w:rFonts w:asciiTheme="majorHAnsi" w:hAnsiTheme="majorHAnsi" w:cstheme="majorHAnsi"/>
          <w:sz w:val="22"/>
          <w:szCs w:val="22"/>
        </w:rPr>
      </w:pPr>
    </w:p>
    <w:tbl>
      <w:tblPr>
        <w:tblW w:w="10802" w:type="dxa"/>
        <w:tblInd w:w="93" w:type="dxa"/>
        <w:tblLayout w:type="fixed"/>
        <w:tblLook w:val="04A0" w:firstRow="1" w:lastRow="0" w:firstColumn="1" w:lastColumn="0" w:noHBand="0" w:noVBand="1"/>
      </w:tblPr>
      <w:tblGrid>
        <w:gridCol w:w="5595"/>
        <w:gridCol w:w="270"/>
        <w:gridCol w:w="1170"/>
        <w:gridCol w:w="2003"/>
        <w:gridCol w:w="1764"/>
      </w:tblGrid>
      <w:tr w:rsidR="00111A33" w:rsidRPr="005759D1" w:rsidTr="002B6B1D">
        <w:trPr>
          <w:trHeight w:val="300"/>
        </w:trPr>
        <w:tc>
          <w:tcPr>
            <w:tcW w:w="5595" w:type="dxa"/>
            <w:tcBorders>
              <w:top w:val="nil"/>
              <w:left w:val="nil"/>
              <w:bottom w:val="nil"/>
              <w:right w:val="nil"/>
            </w:tcBorders>
            <w:shd w:val="clear" w:color="000000" w:fill="FFFFFF"/>
            <w:noWrap/>
            <w:vAlign w:val="bottom"/>
            <w:hideMark/>
          </w:tcPr>
          <w:p w:rsidR="00E929D4" w:rsidRPr="005759D1" w:rsidRDefault="00E929D4" w:rsidP="00196717">
            <w:pPr>
              <w:rPr>
                <w:rFonts w:asciiTheme="majorHAnsi" w:hAnsiTheme="majorHAnsi" w:cstheme="majorHAnsi"/>
                <w:b/>
                <w:color w:val="000080"/>
                <w:sz w:val="22"/>
                <w:szCs w:val="22"/>
              </w:rPr>
            </w:pPr>
          </w:p>
        </w:tc>
        <w:tc>
          <w:tcPr>
            <w:tcW w:w="270" w:type="dxa"/>
            <w:tcBorders>
              <w:top w:val="nil"/>
              <w:left w:val="nil"/>
              <w:bottom w:val="nil"/>
              <w:right w:val="nil"/>
            </w:tcBorders>
            <w:shd w:val="clear" w:color="000000" w:fill="FFFFFF"/>
            <w:noWrap/>
            <w:vAlign w:val="bottom"/>
            <w:hideMark/>
          </w:tcPr>
          <w:p w:rsidR="00E929D4" w:rsidRPr="005759D1" w:rsidRDefault="00E929D4">
            <w:pPr>
              <w:rPr>
                <w:rFonts w:asciiTheme="majorHAnsi" w:hAnsiTheme="majorHAnsi" w:cstheme="majorHAnsi"/>
                <w:color w:val="000080"/>
                <w:sz w:val="22"/>
                <w:szCs w:val="22"/>
              </w:rPr>
            </w:pPr>
            <w:r w:rsidRPr="005759D1">
              <w:rPr>
                <w:rFonts w:asciiTheme="majorHAnsi" w:hAnsiTheme="majorHAnsi" w:cstheme="majorHAnsi"/>
                <w:color w:val="000080"/>
                <w:sz w:val="22"/>
                <w:szCs w:val="22"/>
              </w:rPr>
              <w:t> </w:t>
            </w:r>
          </w:p>
        </w:tc>
        <w:tc>
          <w:tcPr>
            <w:tcW w:w="1170" w:type="dxa"/>
            <w:tcBorders>
              <w:top w:val="nil"/>
              <w:left w:val="nil"/>
              <w:bottom w:val="nil"/>
              <w:right w:val="nil"/>
            </w:tcBorders>
            <w:shd w:val="clear" w:color="000000" w:fill="FFFFFF"/>
            <w:noWrap/>
            <w:vAlign w:val="bottom"/>
            <w:hideMark/>
          </w:tcPr>
          <w:p w:rsidR="00E929D4" w:rsidRPr="005759D1" w:rsidRDefault="00E929D4">
            <w:pPr>
              <w:rPr>
                <w:rFonts w:asciiTheme="majorHAnsi" w:hAnsiTheme="majorHAnsi" w:cstheme="majorHAnsi"/>
                <w:color w:val="000080"/>
                <w:sz w:val="22"/>
                <w:szCs w:val="22"/>
              </w:rPr>
            </w:pPr>
            <w:r w:rsidRPr="005759D1">
              <w:rPr>
                <w:rFonts w:asciiTheme="majorHAnsi" w:hAnsiTheme="majorHAnsi" w:cstheme="majorHAnsi"/>
                <w:color w:val="000080"/>
                <w:sz w:val="22"/>
                <w:szCs w:val="22"/>
              </w:rPr>
              <w:t> </w:t>
            </w:r>
          </w:p>
        </w:tc>
        <w:tc>
          <w:tcPr>
            <w:tcW w:w="2003" w:type="dxa"/>
            <w:tcBorders>
              <w:top w:val="nil"/>
              <w:left w:val="nil"/>
              <w:bottom w:val="nil"/>
              <w:right w:val="nil"/>
            </w:tcBorders>
            <w:shd w:val="clear" w:color="000000" w:fill="FFFFFF"/>
            <w:noWrap/>
            <w:vAlign w:val="bottom"/>
            <w:hideMark/>
          </w:tcPr>
          <w:p w:rsidR="00E929D4" w:rsidRPr="005759D1" w:rsidRDefault="00E929D4">
            <w:pPr>
              <w:rPr>
                <w:rFonts w:asciiTheme="majorHAnsi" w:hAnsiTheme="majorHAnsi" w:cstheme="majorHAnsi"/>
                <w:color w:val="000080"/>
                <w:sz w:val="22"/>
                <w:szCs w:val="22"/>
              </w:rPr>
            </w:pPr>
            <w:r w:rsidRPr="005759D1">
              <w:rPr>
                <w:rFonts w:asciiTheme="majorHAnsi" w:hAnsiTheme="majorHAnsi" w:cstheme="majorHAnsi"/>
                <w:color w:val="000080"/>
                <w:sz w:val="22"/>
                <w:szCs w:val="22"/>
              </w:rPr>
              <w:t> </w:t>
            </w:r>
          </w:p>
        </w:tc>
        <w:tc>
          <w:tcPr>
            <w:tcW w:w="1764" w:type="dxa"/>
            <w:tcBorders>
              <w:top w:val="nil"/>
              <w:left w:val="nil"/>
              <w:bottom w:val="nil"/>
              <w:right w:val="nil"/>
            </w:tcBorders>
            <w:shd w:val="clear" w:color="000000" w:fill="FFFFFF"/>
            <w:noWrap/>
            <w:vAlign w:val="bottom"/>
            <w:hideMark/>
          </w:tcPr>
          <w:p w:rsidR="00E929D4" w:rsidRPr="005759D1" w:rsidRDefault="00E929D4">
            <w:pPr>
              <w:rPr>
                <w:rFonts w:asciiTheme="majorHAnsi" w:hAnsiTheme="majorHAnsi" w:cstheme="majorHAnsi"/>
                <w:color w:val="000080"/>
                <w:sz w:val="22"/>
                <w:szCs w:val="22"/>
              </w:rPr>
            </w:pPr>
            <w:r w:rsidRPr="005759D1">
              <w:rPr>
                <w:rFonts w:asciiTheme="majorHAnsi" w:hAnsiTheme="majorHAnsi" w:cstheme="majorHAnsi"/>
                <w:color w:val="000080"/>
                <w:sz w:val="22"/>
                <w:szCs w:val="22"/>
              </w:rPr>
              <w:t> </w:t>
            </w:r>
          </w:p>
        </w:tc>
      </w:tr>
    </w:tbl>
    <w:p w:rsidR="00AB32D5" w:rsidRPr="005759D1" w:rsidRDefault="00AB32D5" w:rsidP="00AB32D5">
      <w:pPr>
        <w:rPr>
          <w:rFonts w:asciiTheme="majorHAnsi" w:hAnsiTheme="majorHAnsi" w:cstheme="majorHAnsi"/>
          <w:b/>
          <w:sz w:val="22"/>
          <w:szCs w:val="22"/>
        </w:rPr>
      </w:pPr>
      <w:r w:rsidRPr="005759D1">
        <w:rPr>
          <w:rFonts w:asciiTheme="majorHAnsi" w:hAnsiTheme="majorHAnsi" w:cstheme="majorHAnsi"/>
          <w:b/>
          <w:sz w:val="22"/>
          <w:szCs w:val="22"/>
        </w:rPr>
        <w:t>Study Endpoints</w:t>
      </w:r>
      <w:r w:rsidRPr="005759D1">
        <w:rPr>
          <w:rFonts w:asciiTheme="majorHAnsi" w:hAnsiTheme="majorHAnsi" w:cstheme="majorHAnsi"/>
          <w:sz w:val="22"/>
          <w:szCs w:val="22"/>
        </w:rPr>
        <w:t xml:space="preserve"> include:</w:t>
      </w:r>
    </w:p>
    <w:p w:rsidR="00414B7E" w:rsidRPr="005759D1" w:rsidRDefault="00B1100F" w:rsidP="00AB32D5">
      <w:pPr>
        <w:rPr>
          <w:rFonts w:asciiTheme="majorHAnsi" w:hAnsiTheme="majorHAnsi" w:cstheme="majorHAnsi"/>
          <w:sz w:val="22"/>
          <w:szCs w:val="22"/>
        </w:rPr>
      </w:pPr>
      <w:r w:rsidRPr="005759D1">
        <w:rPr>
          <w:rFonts w:asciiTheme="majorHAnsi" w:hAnsiTheme="majorHAnsi" w:cstheme="majorHAnsi"/>
          <w:sz w:val="22"/>
          <w:szCs w:val="22"/>
        </w:rPr>
        <w:t>a</w:t>
      </w:r>
      <w:r w:rsidR="00AB32D5" w:rsidRPr="005759D1">
        <w:rPr>
          <w:rFonts w:asciiTheme="majorHAnsi" w:hAnsiTheme="majorHAnsi" w:cstheme="majorHAnsi"/>
          <w:sz w:val="22"/>
          <w:szCs w:val="22"/>
        </w:rPr>
        <w:t xml:space="preserve">) </w:t>
      </w:r>
      <w:r w:rsidR="00414B7E" w:rsidRPr="005759D1">
        <w:rPr>
          <w:rFonts w:asciiTheme="majorHAnsi" w:hAnsiTheme="majorHAnsi" w:cstheme="majorHAnsi"/>
          <w:sz w:val="22"/>
          <w:szCs w:val="22"/>
        </w:rPr>
        <w:t>Identifying miRNA</w:t>
      </w:r>
      <w:r w:rsidR="00AB32D5" w:rsidRPr="005759D1">
        <w:rPr>
          <w:rFonts w:asciiTheme="majorHAnsi" w:hAnsiTheme="majorHAnsi" w:cstheme="majorHAnsi"/>
          <w:sz w:val="22"/>
          <w:szCs w:val="22"/>
        </w:rPr>
        <w:t xml:space="preserve"> biomarkers</w:t>
      </w:r>
      <w:r w:rsidR="00414B7E" w:rsidRPr="005759D1">
        <w:rPr>
          <w:rFonts w:asciiTheme="majorHAnsi" w:hAnsiTheme="majorHAnsi" w:cstheme="majorHAnsi"/>
          <w:sz w:val="22"/>
          <w:szCs w:val="22"/>
        </w:rPr>
        <w:t xml:space="preserve"> in serum</w:t>
      </w:r>
      <w:r w:rsidR="00AB32D5" w:rsidRPr="005759D1">
        <w:rPr>
          <w:rFonts w:asciiTheme="majorHAnsi" w:hAnsiTheme="majorHAnsi" w:cstheme="majorHAnsi"/>
          <w:sz w:val="22"/>
          <w:szCs w:val="22"/>
        </w:rPr>
        <w:t xml:space="preserve"> </w:t>
      </w:r>
      <w:r w:rsidR="00414B7E" w:rsidRPr="005759D1">
        <w:rPr>
          <w:rFonts w:asciiTheme="majorHAnsi" w:hAnsiTheme="majorHAnsi" w:cstheme="majorHAnsi"/>
          <w:sz w:val="22"/>
          <w:szCs w:val="22"/>
        </w:rPr>
        <w:t>which differentiate between cases and control preoperatively</w:t>
      </w:r>
    </w:p>
    <w:p w:rsidR="00AB32D5" w:rsidRPr="005759D1" w:rsidRDefault="00B1100F" w:rsidP="00AB32D5">
      <w:pPr>
        <w:rPr>
          <w:rFonts w:asciiTheme="majorHAnsi" w:hAnsiTheme="majorHAnsi" w:cstheme="majorHAnsi"/>
          <w:sz w:val="22"/>
          <w:szCs w:val="22"/>
        </w:rPr>
      </w:pPr>
      <w:r w:rsidRPr="005759D1">
        <w:rPr>
          <w:rFonts w:asciiTheme="majorHAnsi" w:hAnsiTheme="majorHAnsi" w:cstheme="majorHAnsi"/>
          <w:sz w:val="22"/>
          <w:szCs w:val="22"/>
        </w:rPr>
        <w:t>b</w:t>
      </w:r>
      <w:r w:rsidR="00AB32D5" w:rsidRPr="005759D1">
        <w:rPr>
          <w:rFonts w:asciiTheme="majorHAnsi" w:hAnsiTheme="majorHAnsi" w:cstheme="majorHAnsi"/>
          <w:sz w:val="22"/>
          <w:szCs w:val="22"/>
        </w:rPr>
        <w:t xml:space="preserve">) </w:t>
      </w:r>
      <w:r w:rsidR="00B95639" w:rsidRPr="005759D1">
        <w:rPr>
          <w:rFonts w:asciiTheme="majorHAnsi" w:hAnsiTheme="majorHAnsi" w:cstheme="majorHAnsi"/>
          <w:sz w:val="22"/>
          <w:szCs w:val="22"/>
        </w:rPr>
        <w:t xml:space="preserve">Collection of post CABG serum </w:t>
      </w:r>
      <w:r w:rsidR="00F4297C" w:rsidRPr="005759D1">
        <w:rPr>
          <w:rFonts w:asciiTheme="majorHAnsi" w:hAnsiTheme="majorHAnsi" w:cstheme="majorHAnsi"/>
          <w:sz w:val="22"/>
          <w:szCs w:val="22"/>
        </w:rPr>
        <w:t>for banking</w:t>
      </w:r>
      <w:r w:rsidR="00765B4B" w:rsidRPr="005759D1">
        <w:rPr>
          <w:rFonts w:asciiTheme="majorHAnsi" w:hAnsiTheme="majorHAnsi" w:cstheme="majorHAnsi"/>
          <w:sz w:val="22"/>
          <w:szCs w:val="22"/>
        </w:rPr>
        <w:t>:</w:t>
      </w:r>
      <w:r w:rsidR="00F4297C" w:rsidRPr="005759D1">
        <w:rPr>
          <w:rFonts w:asciiTheme="majorHAnsi" w:hAnsiTheme="majorHAnsi" w:cstheme="majorHAnsi"/>
          <w:sz w:val="22"/>
          <w:szCs w:val="22"/>
        </w:rPr>
        <w:t xml:space="preserve"> </w:t>
      </w:r>
      <w:r w:rsidR="00B95639" w:rsidRPr="005759D1">
        <w:rPr>
          <w:rFonts w:asciiTheme="majorHAnsi" w:hAnsiTheme="majorHAnsi" w:cstheme="majorHAnsi"/>
          <w:sz w:val="22"/>
          <w:szCs w:val="22"/>
        </w:rPr>
        <w:t xml:space="preserve">to permit comparisons of </w:t>
      </w:r>
      <w:r w:rsidR="00414B7E" w:rsidRPr="005759D1">
        <w:rPr>
          <w:rFonts w:asciiTheme="majorHAnsi" w:hAnsiTheme="majorHAnsi" w:cstheme="majorHAnsi"/>
          <w:sz w:val="22"/>
          <w:szCs w:val="22"/>
        </w:rPr>
        <w:t>levels of candidate</w:t>
      </w:r>
      <w:r w:rsidR="00AB32D5" w:rsidRPr="005759D1">
        <w:rPr>
          <w:rFonts w:asciiTheme="majorHAnsi" w:hAnsiTheme="majorHAnsi" w:cstheme="majorHAnsi"/>
          <w:sz w:val="22"/>
          <w:szCs w:val="22"/>
        </w:rPr>
        <w:t xml:space="preserve"> biomarker</w:t>
      </w:r>
      <w:r w:rsidR="00414B7E" w:rsidRPr="005759D1">
        <w:rPr>
          <w:rFonts w:asciiTheme="majorHAnsi" w:hAnsiTheme="majorHAnsi" w:cstheme="majorHAnsi"/>
          <w:sz w:val="22"/>
          <w:szCs w:val="22"/>
        </w:rPr>
        <w:t>s</w:t>
      </w:r>
      <w:r w:rsidR="00AB32D5" w:rsidRPr="005759D1">
        <w:rPr>
          <w:rFonts w:asciiTheme="majorHAnsi" w:hAnsiTheme="majorHAnsi" w:cstheme="majorHAnsi"/>
          <w:sz w:val="22"/>
          <w:szCs w:val="22"/>
        </w:rPr>
        <w:t xml:space="preserve"> pre and post CABG and </w:t>
      </w:r>
      <w:r w:rsidR="00414B7E" w:rsidRPr="005759D1">
        <w:rPr>
          <w:rFonts w:asciiTheme="majorHAnsi" w:hAnsiTheme="majorHAnsi" w:cstheme="majorHAnsi"/>
          <w:sz w:val="22"/>
          <w:szCs w:val="22"/>
        </w:rPr>
        <w:t xml:space="preserve">POAF </w:t>
      </w:r>
      <w:r w:rsidR="00AB32D5" w:rsidRPr="005759D1">
        <w:rPr>
          <w:rFonts w:asciiTheme="majorHAnsi" w:hAnsiTheme="majorHAnsi" w:cstheme="majorHAnsi"/>
          <w:sz w:val="22"/>
          <w:szCs w:val="22"/>
        </w:rPr>
        <w:t>incidence</w:t>
      </w:r>
      <w:r w:rsidR="00B95639" w:rsidRPr="005759D1">
        <w:rPr>
          <w:rFonts w:asciiTheme="majorHAnsi" w:hAnsiTheme="majorHAnsi" w:cstheme="majorHAnsi"/>
          <w:sz w:val="22"/>
          <w:szCs w:val="22"/>
        </w:rPr>
        <w:t xml:space="preserve"> in a future study</w:t>
      </w:r>
      <w:r w:rsidR="00AB32D5" w:rsidRPr="005759D1">
        <w:rPr>
          <w:rFonts w:asciiTheme="majorHAnsi" w:hAnsiTheme="majorHAnsi" w:cstheme="majorHAnsi"/>
          <w:sz w:val="22"/>
          <w:szCs w:val="22"/>
        </w:rPr>
        <w:t xml:space="preserve">. </w:t>
      </w:r>
    </w:p>
    <w:p w:rsidR="00AB32D5" w:rsidRPr="005759D1" w:rsidRDefault="00B1100F" w:rsidP="00AB32D5">
      <w:pPr>
        <w:rPr>
          <w:rFonts w:asciiTheme="majorHAnsi" w:hAnsiTheme="majorHAnsi" w:cstheme="majorHAnsi"/>
          <w:sz w:val="22"/>
          <w:szCs w:val="22"/>
        </w:rPr>
      </w:pPr>
      <w:r w:rsidRPr="005759D1">
        <w:rPr>
          <w:rFonts w:asciiTheme="majorHAnsi" w:hAnsiTheme="majorHAnsi" w:cstheme="majorHAnsi"/>
          <w:sz w:val="22"/>
          <w:szCs w:val="22"/>
        </w:rPr>
        <w:t>c</w:t>
      </w:r>
      <w:r w:rsidR="00AB32D5" w:rsidRPr="005759D1">
        <w:rPr>
          <w:rFonts w:asciiTheme="majorHAnsi" w:hAnsiTheme="majorHAnsi" w:cstheme="majorHAnsi"/>
          <w:sz w:val="22"/>
          <w:szCs w:val="22"/>
        </w:rPr>
        <w:t xml:space="preserve">) </w:t>
      </w:r>
      <w:r w:rsidR="00997925" w:rsidRPr="005759D1">
        <w:rPr>
          <w:rFonts w:asciiTheme="majorHAnsi" w:hAnsiTheme="majorHAnsi" w:cstheme="majorHAnsi"/>
          <w:sz w:val="22"/>
          <w:szCs w:val="22"/>
        </w:rPr>
        <w:t>Establish</w:t>
      </w:r>
      <w:r w:rsidRPr="005759D1">
        <w:rPr>
          <w:rFonts w:asciiTheme="majorHAnsi" w:hAnsiTheme="majorHAnsi" w:cstheme="majorHAnsi"/>
          <w:sz w:val="22"/>
          <w:szCs w:val="22"/>
        </w:rPr>
        <w:t>ing</w:t>
      </w:r>
      <w:r w:rsidR="00AB32D5" w:rsidRPr="005759D1">
        <w:rPr>
          <w:rFonts w:asciiTheme="majorHAnsi" w:hAnsiTheme="majorHAnsi" w:cstheme="majorHAnsi"/>
          <w:sz w:val="22"/>
          <w:szCs w:val="22"/>
        </w:rPr>
        <w:t xml:space="preserve"> rate of AF in post CABG patients</w:t>
      </w:r>
      <w:r w:rsidR="00997925" w:rsidRPr="005759D1">
        <w:rPr>
          <w:rFonts w:asciiTheme="majorHAnsi" w:hAnsiTheme="majorHAnsi" w:cstheme="majorHAnsi"/>
          <w:sz w:val="22"/>
          <w:szCs w:val="22"/>
        </w:rPr>
        <w:t xml:space="preserve"> compared to 2010 data</w:t>
      </w:r>
    </w:p>
    <w:p w:rsidR="00AB32D5" w:rsidRPr="005759D1" w:rsidRDefault="00B1100F" w:rsidP="00AB32D5">
      <w:pPr>
        <w:rPr>
          <w:rFonts w:asciiTheme="majorHAnsi" w:hAnsiTheme="majorHAnsi" w:cstheme="majorHAnsi"/>
          <w:sz w:val="22"/>
          <w:szCs w:val="22"/>
        </w:rPr>
      </w:pPr>
      <w:r w:rsidRPr="005759D1">
        <w:rPr>
          <w:rFonts w:asciiTheme="majorHAnsi" w:hAnsiTheme="majorHAnsi" w:cstheme="majorHAnsi"/>
          <w:sz w:val="22"/>
          <w:szCs w:val="22"/>
        </w:rPr>
        <w:lastRenderedPageBreak/>
        <w:t>d</w:t>
      </w:r>
      <w:r w:rsidR="00AB32D5" w:rsidRPr="005759D1">
        <w:rPr>
          <w:rFonts w:asciiTheme="majorHAnsi" w:hAnsiTheme="majorHAnsi" w:cstheme="majorHAnsi"/>
          <w:sz w:val="22"/>
          <w:szCs w:val="22"/>
        </w:rPr>
        <w:t xml:space="preserve">) </w:t>
      </w:r>
      <w:r w:rsidRPr="005759D1">
        <w:rPr>
          <w:rFonts w:asciiTheme="majorHAnsi" w:hAnsiTheme="majorHAnsi" w:cstheme="majorHAnsi"/>
          <w:sz w:val="22"/>
          <w:szCs w:val="22"/>
        </w:rPr>
        <w:t>Standardizing</w:t>
      </w:r>
      <w:r w:rsidR="00AB32D5" w:rsidRPr="005759D1">
        <w:rPr>
          <w:rFonts w:asciiTheme="majorHAnsi" w:hAnsiTheme="majorHAnsi" w:cstheme="majorHAnsi"/>
          <w:sz w:val="22"/>
          <w:szCs w:val="22"/>
        </w:rPr>
        <w:t xml:space="preserve"> </w:t>
      </w:r>
      <w:r w:rsidR="00997925" w:rsidRPr="005759D1">
        <w:rPr>
          <w:rFonts w:asciiTheme="majorHAnsi" w:hAnsiTheme="majorHAnsi" w:cstheme="majorHAnsi"/>
          <w:sz w:val="22"/>
          <w:szCs w:val="22"/>
        </w:rPr>
        <w:t>specimen</w:t>
      </w:r>
      <w:r w:rsidR="00AB32D5" w:rsidRPr="005759D1">
        <w:rPr>
          <w:rFonts w:asciiTheme="majorHAnsi" w:hAnsiTheme="majorHAnsi" w:cstheme="majorHAnsi"/>
          <w:sz w:val="22"/>
          <w:szCs w:val="22"/>
        </w:rPr>
        <w:t xml:space="preserve"> collection, storage, and </w:t>
      </w:r>
      <w:r w:rsidR="00414B7E" w:rsidRPr="005759D1">
        <w:rPr>
          <w:rFonts w:asciiTheme="majorHAnsi" w:hAnsiTheme="majorHAnsi" w:cstheme="majorHAnsi"/>
          <w:sz w:val="22"/>
          <w:szCs w:val="22"/>
        </w:rPr>
        <w:t>mi</w:t>
      </w:r>
      <w:r w:rsidR="00AB32D5" w:rsidRPr="005759D1">
        <w:rPr>
          <w:rFonts w:asciiTheme="majorHAnsi" w:hAnsiTheme="majorHAnsi" w:cstheme="majorHAnsi"/>
          <w:sz w:val="22"/>
          <w:szCs w:val="22"/>
        </w:rPr>
        <w:t xml:space="preserve">RNA </w:t>
      </w:r>
      <w:r w:rsidR="00414B7E" w:rsidRPr="005759D1">
        <w:rPr>
          <w:rFonts w:asciiTheme="majorHAnsi" w:hAnsiTheme="majorHAnsi" w:cstheme="majorHAnsi"/>
          <w:sz w:val="22"/>
          <w:szCs w:val="22"/>
        </w:rPr>
        <w:t>assay</w:t>
      </w:r>
      <w:r w:rsidR="00AB32D5" w:rsidRPr="005759D1">
        <w:rPr>
          <w:rFonts w:asciiTheme="majorHAnsi" w:hAnsiTheme="majorHAnsi" w:cstheme="majorHAnsi"/>
          <w:sz w:val="22"/>
          <w:szCs w:val="22"/>
        </w:rPr>
        <w:t xml:space="preserve"> methodology</w:t>
      </w:r>
      <w:r w:rsidR="00E115E5" w:rsidRPr="005759D1">
        <w:rPr>
          <w:rFonts w:asciiTheme="majorHAnsi" w:hAnsiTheme="majorHAnsi" w:cstheme="majorHAnsi"/>
          <w:sz w:val="22"/>
          <w:szCs w:val="22"/>
        </w:rPr>
        <w:t xml:space="preserve"> </w:t>
      </w:r>
    </w:p>
    <w:p w:rsidR="00B1100F" w:rsidRPr="005759D1" w:rsidRDefault="00B1100F" w:rsidP="00B1100F">
      <w:pPr>
        <w:rPr>
          <w:rFonts w:asciiTheme="majorHAnsi" w:hAnsiTheme="majorHAnsi" w:cstheme="majorHAnsi"/>
          <w:sz w:val="22"/>
          <w:szCs w:val="22"/>
        </w:rPr>
      </w:pPr>
    </w:p>
    <w:p w:rsidR="00B1100F" w:rsidRPr="005759D1" w:rsidRDefault="00B1100F" w:rsidP="00B1100F">
      <w:pPr>
        <w:rPr>
          <w:rFonts w:asciiTheme="majorHAnsi" w:hAnsiTheme="majorHAnsi" w:cstheme="majorHAnsi"/>
          <w:sz w:val="22"/>
          <w:szCs w:val="22"/>
        </w:rPr>
      </w:pPr>
      <w:r w:rsidRPr="005759D1">
        <w:rPr>
          <w:rFonts w:asciiTheme="majorHAnsi" w:hAnsiTheme="majorHAnsi" w:cstheme="majorHAnsi"/>
          <w:sz w:val="22"/>
          <w:szCs w:val="22"/>
        </w:rPr>
        <w:t>Further, as a pilot demonstrating preliminary data for a larger study, the study will demonstrate feasibility of:</w:t>
      </w:r>
    </w:p>
    <w:p w:rsidR="00B1100F" w:rsidRPr="005759D1" w:rsidRDefault="00B1100F" w:rsidP="00B1100F">
      <w:pPr>
        <w:rPr>
          <w:rFonts w:asciiTheme="majorHAnsi" w:hAnsiTheme="majorHAnsi" w:cstheme="majorHAnsi"/>
          <w:sz w:val="22"/>
          <w:szCs w:val="22"/>
        </w:rPr>
      </w:pPr>
    </w:p>
    <w:p w:rsidR="00B1100F" w:rsidRPr="005759D1" w:rsidRDefault="00B1100F" w:rsidP="00B1100F">
      <w:pPr>
        <w:numPr>
          <w:ilvl w:val="0"/>
          <w:numId w:val="6"/>
        </w:numPr>
        <w:rPr>
          <w:rFonts w:asciiTheme="majorHAnsi" w:hAnsiTheme="majorHAnsi" w:cstheme="majorHAnsi"/>
          <w:sz w:val="22"/>
          <w:szCs w:val="22"/>
        </w:rPr>
      </w:pPr>
      <w:r w:rsidRPr="005759D1">
        <w:rPr>
          <w:rFonts w:asciiTheme="majorHAnsi" w:hAnsiTheme="majorHAnsi" w:cstheme="majorHAnsi"/>
          <w:sz w:val="22"/>
          <w:szCs w:val="22"/>
        </w:rPr>
        <w:t>patient identification, screening, receptivity of patients, enrollment processes, subject retention and successful follow up</w:t>
      </w:r>
    </w:p>
    <w:p w:rsidR="00B1100F" w:rsidRPr="005759D1" w:rsidRDefault="00B1100F" w:rsidP="00B1100F">
      <w:pPr>
        <w:numPr>
          <w:ilvl w:val="0"/>
          <w:numId w:val="6"/>
        </w:numPr>
        <w:rPr>
          <w:rFonts w:asciiTheme="majorHAnsi" w:hAnsiTheme="majorHAnsi" w:cstheme="majorHAnsi"/>
          <w:sz w:val="22"/>
          <w:szCs w:val="22"/>
        </w:rPr>
      </w:pPr>
      <w:r w:rsidRPr="005759D1">
        <w:rPr>
          <w:rFonts w:asciiTheme="majorHAnsi" w:hAnsiTheme="majorHAnsi" w:cstheme="majorHAnsi"/>
          <w:sz w:val="22"/>
          <w:szCs w:val="22"/>
        </w:rPr>
        <w:t>sample collection pre and post surgically at designated time points within the flow of care</w:t>
      </w:r>
    </w:p>
    <w:p w:rsidR="00B1100F" w:rsidRPr="005759D1" w:rsidRDefault="00B1100F" w:rsidP="00B1100F">
      <w:pPr>
        <w:numPr>
          <w:ilvl w:val="0"/>
          <w:numId w:val="6"/>
        </w:numPr>
        <w:rPr>
          <w:rFonts w:asciiTheme="majorHAnsi" w:hAnsiTheme="majorHAnsi" w:cstheme="majorHAnsi"/>
          <w:sz w:val="22"/>
          <w:szCs w:val="22"/>
        </w:rPr>
      </w:pPr>
      <w:r w:rsidRPr="005759D1">
        <w:rPr>
          <w:rFonts w:asciiTheme="majorHAnsi" w:hAnsiTheme="majorHAnsi" w:cstheme="majorHAnsi"/>
          <w:sz w:val="22"/>
          <w:szCs w:val="22"/>
        </w:rPr>
        <w:t>validation of rates of incidence of AF post CABG</w:t>
      </w:r>
    </w:p>
    <w:p w:rsidR="006500E6" w:rsidRPr="005759D1" w:rsidRDefault="006500E6" w:rsidP="005D27A0">
      <w:pPr>
        <w:ind w:left="360"/>
        <w:rPr>
          <w:rFonts w:asciiTheme="majorHAnsi" w:hAnsiTheme="majorHAnsi" w:cstheme="majorHAnsi"/>
          <w:sz w:val="22"/>
          <w:szCs w:val="22"/>
        </w:rPr>
      </w:pPr>
      <w:r w:rsidRPr="005759D1">
        <w:rPr>
          <w:rFonts w:asciiTheme="majorHAnsi" w:hAnsiTheme="majorHAnsi" w:cstheme="majorHAnsi"/>
          <w:sz w:val="22"/>
          <w:szCs w:val="22"/>
        </w:rPr>
        <w:t>d</w:t>
      </w:r>
      <w:r w:rsidR="00765B4B" w:rsidRPr="005759D1">
        <w:rPr>
          <w:rFonts w:asciiTheme="majorHAnsi" w:hAnsiTheme="majorHAnsi" w:cstheme="majorHAnsi"/>
          <w:sz w:val="22"/>
          <w:szCs w:val="22"/>
        </w:rPr>
        <w:t>)</w:t>
      </w:r>
      <w:r w:rsidRPr="005759D1">
        <w:rPr>
          <w:rFonts w:asciiTheme="majorHAnsi" w:hAnsiTheme="majorHAnsi" w:cstheme="majorHAnsi"/>
          <w:sz w:val="22"/>
          <w:szCs w:val="22"/>
        </w:rPr>
        <w:t>. establish laboratory protocols and expertise for sample processing which require special handling and laboratory methodology related to detection of miRNA using the more cost effective 384-well format currently available in house.</w:t>
      </w:r>
    </w:p>
    <w:p w:rsidR="006500E6" w:rsidRPr="005759D1" w:rsidRDefault="006500E6" w:rsidP="006500E6">
      <w:pPr>
        <w:pStyle w:val="ListParagraph"/>
        <w:numPr>
          <w:ilvl w:val="2"/>
          <w:numId w:val="6"/>
        </w:numPr>
        <w:tabs>
          <w:tab w:val="clear" w:pos="2520"/>
        </w:tabs>
        <w:ind w:left="1800" w:hanging="360"/>
        <w:rPr>
          <w:rFonts w:asciiTheme="majorHAnsi" w:hAnsiTheme="majorHAnsi" w:cstheme="majorHAnsi"/>
          <w:sz w:val="22"/>
          <w:szCs w:val="22"/>
        </w:rPr>
      </w:pPr>
      <w:r w:rsidRPr="005759D1">
        <w:rPr>
          <w:rFonts w:asciiTheme="majorHAnsi" w:hAnsiTheme="majorHAnsi" w:cstheme="majorHAnsi"/>
          <w:sz w:val="22"/>
          <w:szCs w:val="22"/>
        </w:rPr>
        <w:t xml:space="preserve">establish proficient handling of existing microfluidic setup. </w:t>
      </w:r>
    </w:p>
    <w:p w:rsidR="006500E6" w:rsidRPr="005759D1" w:rsidRDefault="00A60A11" w:rsidP="006500E6">
      <w:pPr>
        <w:pStyle w:val="ListParagraph"/>
        <w:numPr>
          <w:ilvl w:val="2"/>
          <w:numId w:val="6"/>
        </w:numPr>
        <w:tabs>
          <w:tab w:val="clear" w:pos="2520"/>
        </w:tabs>
        <w:ind w:left="1800" w:hanging="360"/>
        <w:rPr>
          <w:rFonts w:asciiTheme="majorHAnsi" w:hAnsiTheme="majorHAnsi" w:cstheme="majorHAnsi"/>
          <w:sz w:val="22"/>
          <w:szCs w:val="22"/>
        </w:rPr>
      </w:pPr>
      <w:r w:rsidRPr="005759D1">
        <w:rPr>
          <w:rFonts w:asciiTheme="majorHAnsi" w:hAnsiTheme="majorHAnsi" w:cstheme="majorHAnsi"/>
          <w:sz w:val="22"/>
          <w:szCs w:val="22"/>
        </w:rPr>
        <w:t>s</w:t>
      </w:r>
      <w:r w:rsidR="006500E6" w:rsidRPr="005759D1">
        <w:rPr>
          <w:rFonts w:asciiTheme="majorHAnsi" w:hAnsiTheme="majorHAnsi" w:cstheme="majorHAnsi"/>
          <w:sz w:val="22"/>
          <w:szCs w:val="22"/>
        </w:rPr>
        <w:t xml:space="preserve">how proficiency in demonstrating array </w:t>
      </w:r>
      <w:r w:rsidR="00765B4B" w:rsidRPr="005759D1">
        <w:rPr>
          <w:rFonts w:asciiTheme="majorHAnsi" w:hAnsiTheme="majorHAnsi" w:cstheme="majorHAnsi"/>
          <w:sz w:val="22"/>
          <w:szCs w:val="22"/>
        </w:rPr>
        <w:t>sensitivity</w:t>
      </w:r>
      <w:r w:rsidR="006500E6" w:rsidRPr="005759D1">
        <w:rPr>
          <w:rFonts w:asciiTheme="majorHAnsi" w:hAnsiTheme="majorHAnsi" w:cstheme="majorHAnsi"/>
          <w:sz w:val="22"/>
          <w:szCs w:val="22"/>
        </w:rPr>
        <w:t xml:space="preserve">, specificity, and reproducibility </w:t>
      </w:r>
    </w:p>
    <w:p w:rsidR="00B1100F" w:rsidRPr="005759D1" w:rsidRDefault="00B1100F" w:rsidP="006500E6">
      <w:pPr>
        <w:ind w:left="720"/>
        <w:rPr>
          <w:rFonts w:asciiTheme="majorHAnsi" w:hAnsiTheme="majorHAnsi" w:cstheme="majorHAnsi"/>
          <w:sz w:val="22"/>
          <w:szCs w:val="22"/>
        </w:rPr>
      </w:pPr>
    </w:p>
    <w:p w:rsidR="00B1100F" w:rsidRPr="005759D1" w:rsidRDefault="006500E6" w:rsidP="006500E6">
      <w:pPr>
        <w:ind w:left="360"/>
        <w:rPr>
          <w:rFonts w:asciiTheme="majorHAnsi" w:hAnsiTheme="majorHAnsi" w:cstheme="majorHAnsi"/>
          <w:sz w:val="22"/>
          <w:szCs w:val="22"/>
        </w:rPr>
      </w:pPr>
      <w:r w:rsidRPr="005759D1">
        <w:rPr>
          <w:rFonts w:asciiTheme="majorHAnsi" w:hAnsiTheme="majorHAnsi" w:cstheme="majorHAnsi"/>
          <w:sz w:val="22"/>
          <w:szCs w:val="22"/>
        </w:rPr>
        <w:t xml:space="preserve">e. </w:t>
      </w:r>
      <w:r w:rsidR="00B1100F" w:rsidRPr="005759D1">
        <w:rPr>
          <w:rFonts w:asciiTheme="majorHAnsi" w:hAnsiTheme="majorHAnsi" w:cstheme="majorHAnsi"/>
          <w:sz w:val="22"/>
          <w:szCs w:val="22"/>
        </w:rPr>
        <w:t>data collection related to biomarkers, incidence of AF and clinically relevant endpoints such as risk assessment analysis</w:t>
      </w:r>
    </w:p>
    <w:p w:rsidR="006500E6" w:rsidRPr="005759D1" w:rsidRDefault="006500E6" w:rsidP="009A07C2">
      <w:pPr>
        <w:ind w:firstLine="360"/>
        <w:rPr>
          <w:rFonts w:asciiTheme="majorHAnsi" w:hAnsiTheme="majorHAnsi" w:cstheme="majorHAnsi"/>
          <w:sz w:val="22"/>
          <w:szCs w:val="22"/>
        </w:rPr>
      </w:pPr>
      <w:r w:rsidRPr="005759D1">
        <w:rPr>
          <w:rFonts w:asciiTheme="majorHAnsi" w:hAnsiTheme="majorHAnsi" w:cstheme="majorHAnsi"/>
          <w:sz w:val="22"/>
          <w:szCs w:val="22"/>
        </w:rPr>
        <w:t xml:space="preserve">f. </w:t>
      </w:r>
      <w:r w:rsidR="00B1100F" w:rsidRPr="005759D1">
        <w:rPr>
          <w:rFonts w:asciiTheme="majorHAnsi" w:hAnsiTheme="majorHAnsi" w:cstheme="majorHAnsi"/>
          <w:sz w:val="22"/>
          <w:szCs w:val="22"/>
        </w:rPr>
        <w:t xml:space="preserve">establishment of an estimated cost per subject </w:t>
      </w:r>
    </w:p>
    <w:p w:rsidR="00B1100F" w:rsidRPr="005759D1" w:rsidRDefault="006500E6" w:rsidP="006500E6">
      <w:pPr>
        <w:ind w:left="720" w:hanging="360"/>
        <w:rPr>
          <w:rFonts w:asciiTheme="majorHAnsi" w:hAnsiTheme="majorHAnsi" w:cstheme="majorHAnsi"/>
          <w:sz w:val="22"/>
          <w:szCs w:val="22"/>
        </w:rPr>
      </w:pPr>
      <w:r w:rsidRPr="005759D1">
        <w:rPr>
          <w:rFonts w:asciiTheme="majorHAnsi" w:hAnsiTheme="majorHAnsi" w:cstheme="majorHAnsi"/>
          <w:sz w:val="22"/>
          <w:szCs w:val="22"/>
        </w:rPr>
        <w:t xml:space="preserve">g. </w:t>
      </w:r>
      <w:r w:rsidR="00B1100F" w:rsidRPr="005759D1">
        <w:rPr>
          <w:rFonts w:asciiTheme="majorHAnsi" w:hAnsiTheme="majorHAnsi" w:cstheme="majorHAnsi"/>
          <w:sz w:val="22"/>
          <w:szCs w:val="22"/>
        </w:rPr>
        <w:t xml:space="preserve">identification of unanticipated barriers in the methodological approach and strategies to overcome these. </w:t>
      </w:r>
    </w:p>
    <w:p w:rsidR="00B1100F" w:rsidRPr="005759D1" w:rsidRDefault="006500E6" w:rsidP="006500E6">
      <w:pPr>
        <w:ind w:left="720" w:hanging="360"/>
        <w:rPr>
          <w:rFonts w:asciiTheme="majorHAnsi" w:hAnsiTheme="majorHAnsi" w:cstheme="majorHAnsi"/>
          <w:sz w:val="22"/>
          <w:szCs w:val="22"/>
        </w:rPr>
      </w:pPr>
      <w:r w:rsidRPr="005759D1">
        <w:rPr>
          <w:rFonts w:asciiTheme="majorHAnsi" w:hAnsiTheme="majorHAnsi" w:cstheme="majorHAnsi"/>
          <w:sz w:val="22"/>
          <w:szCs w:val="22"/>
        </w:rPr>
        <w:t xml:space="preserve">h. </w:t>
      </w:r>
      <w:r w:rsidR="00B1100F" w:rsidRPr="005759D1">
        <w:rPr>
          <w:rFonts w:asciiTheme="majorHAnsi" w:hAnsiTheme="majorHAnsi" w:cstheme="majorHAnsi"/>
          <w:sz w:val="22"/>
          <w:szCs w:val="22"/>
        </w:rPr>
        <w:t>test statistical approaches</w:t>
      </w:r>
    </w:p>
    <w:p w:rsidR="00AB32D5" w:rsidRPr="005759D1" w:rsidRDefault="00AB32D5" w:rsidP="006500E6">
      <w:pPr>
        <w:ind w:hanging="360"/>
        <w:rPr>
          <w:rFonts w:asciiTheme="majorHAnsi" w:hAnsiTheme="majorHAnsi" w:cstheme="majorHAnsi"/>
          <w:sz w:val="22"/>
          <w:szCs w:val="22"/>
        </w:rPr>
      </w:pPr>
    </w:p>
    <w:p w:rsidR="00AB32D5" w:rsidRPr="005759D1" w:rsidRDefault="00AB32D5" w:rsidP="00AB32D5">
      <w:pPr>
        <w:rPr>
          <w:rFonts w:asciiTheme="majorHAnsi" w:hAnsiTheme="majorHAnsi" w:cstheme="majorHAnsi"/>
          <w:sz w:val="22"/>
          <w:szCs w:val="22"/>
          <w:u w:val="single"/>
        </w:rPr>
      </w:pPr>
      <w:r w:rsidRPr="005759D1">
        <w:rPr>
          <w:rFonts w:asciiTheme="majorHAnsi" w:hAnsiTheme="majorHAnsi" w:cstheme="majorHAnsi"/>
          <w:sz w:val="22"/>
          <w:szCs w:val="22"/>
          <w:u w:val="single"/>
        </w:rPr>
        <w:t>2) Study Cohort</w:t>
      </w:r>
    </w:p>
    <w:p w:rsidR="00AB32D5" w:rsidRPr="005759D1" w:rsidRDefault="00AB32D5" w:rsidP="00AB32D5">
      <w:pPr>
        <w:rPr>
          <w:rFonts w:asciiTheme="majorHAnsi" w:hAnsiTheme="majorHAnsi" w:cstheme="majorHAnsi"/>
          <w:sz w:val="22"/>
          <w:szCs w:val="22"/>
        </w:rPr>
      </w:pPr>
      <w:r w:rsidRPr="005759D1">
        <w:rPr>
          <w:rFonts w:asciiTheme="majorHAnsi" w:hAnsiTheme="majorHAnsi" w:cstheme="majorHAnsi"/>
          <w:sz w:val="22"/>
          <w:szCs w:val="22"/>
        </w:rPr>
        <w:t xml:space="preserve">The study cohort will consist of </w:t>
      </w:r>
      <w:r w:rsidR="00414B7E" w:rsidRPr="005759D1">
        <w:rPr>
          <w:rFonts w:asciiTheme="majorHAnsi" w:hAnsiTheme="majorHAnsi" w:cstheme="majorHAnsi"/>
          <w:sz w:val="22"/>
          <w:szCs w:val="22"/>
        </w:rPr>
        <w:t xml:space="preserve">CABG-eligible </w:t>
      </w:r>
      <w:r w:rsidRPr="005759D1">
        <w:rPr>
          <w:rFonts w:asciiTheme="majorHAnsi" w:hAnsiTheme="majorHAnsi" w:cstheme="majorHAnsi"/>
          <w:sz w:val="22"/>
          <w:szCs w:val="22"/>
        </w:rPr>
        <w:t xml:space="preserve">patients recruited from within the Marshfield Clinic </w:t>
      </w:r>
      <w:r w:rsidR="004A60F0" w:rsidRPr="005759D1">
        <w:rPr>
          <w:rFonts w:asciiTheme="majorHAnsi" w:hAnsiTheme="majorHAnsi" w:cstheme="majorHAnsi"/>
          <w:sz w:val="22"/>
          <w:szCs w:val="22"/>
        </w:rPr>
        <w:t>Central</w:t>
      </w:r>
      <w:r w:rsidR="00414B7E" w:rsidRPr="005759D1">
        <w:rPr>
          <w:rFonts w:asciiTheme="majorHAnsi" w:hAnsiTheme="majorHAnsi" w:cstheme="majorHAnsi"/>
          <w:sz w:val="22"/>
          <w:szCs w:val="22"/>
        </w:rPr>
        <w:t>.</w:t>
      </w:r>
      <w:r w:rsidRPr="005759D1">
        <w:rPr>
          <w:rFonts w:asciiTheme="majorHAnsi" w:hAnsiTheme="majorHAnsi" w:cstheme="majorHAnsi"/>
          <w:sz w:val="22"/>
          <w:szCs w:val="22"/>
        </w:rPr>
        <w:t xml:space="preserve"> For the purpose of this pilot</w:t>
      </w:r>
      <w:r w:rsidR="00C863F5" w:rsidRPr="005759D1">
        <w:rPr>
          <w:rFonts w:asciiTheme="majorHAnsi" w:hAnsiTheme="majorHAnsi" w:cstheme="majorHAnsi"/>
          <w:sz w:val="22"/>
          <w:szCs w:val="22"/>
        </w:rPr>
        <w:t>,</w:t>
      </w:r>
      <w:r w:rsidRPr="005759D1">
        <w:rPr>
          <w:rFonts w:asciiTheme="majorHAnsi" w:hAnsiTheme="majorHAnsi" w:cstheme="majorHAnsi"/>
          <w:sz w:val="22"/>
          <w:szCs w:val="22"/>
        </w:rPr>
        <w:t xml:space="preserve"> </w:t>
      </w:r>
      <w:r w:rsidR="00602972" w:rsidRPr="005759D1">
        <w:rPr>
          <w:rFonts w:asciiTheme="majorHAnsi" w:hAnsiTheme="majorHAnsi" w:cstheme="majorHAnsi"/>
          <w:sz w:val="22"/>
          <w:szCs w:val="22"/>
        </w:rPr>
        <w:t>identification</w:t>
      </w:r>
      <w:r w:rsidRPr="005759D1">
        <w:rPr>
          <w:rFonts w:asciiTheme="majorHAnsi" w:hAnsiTheme="majorHAnsi" w:cstheme="majorHAnsi"/>
          <w:sz w:val="22"/>
          <w:szCs w:val="22"/>
        </w:rPr>
        <w:t xml:space="preserve"> of subjects </w:t>
      </w:r>
      <w:r w:rsidR="00602972" w:rsidRPr="005759D1">
        <w:rPr>
          <w:rFonts w:asciiTheme="majorHAnsi" w:hAnsiTheme="majorHAnsi" w:cstheme="majorHAnsi"/>
          <w:sz w:val="22"/>
          <w:szCs w:val="22"/>
        </w:rPr>
        <w:t>will be accomplished</w:t>
      </w:r>
      <w:r w:rsidR="004A60F0" w:rsidRPr="005759D1">
        <w:rPr>
          <w:rFonts w:asciiTheme="majorHAnsi" w:hAnsiTheme="majorHAnsi" w:cstheme="majorHAnsi"/>
          <w:sz w:val="22"/>
          <w:szCs w:val="22"/>
        </w:rPr>
        <w:t xml:space="preserve"> by the PI </w:t>
      </w:r>
      <w:r w:rsidR="00602972" w:rsidRPr="005759D1">
        <w:rPr>
          <w:rFonts w:asciiTheme="majorHAnsi" w:hAnsiTheme="majorHAnsi" w:cstheme="majorHAnsi"/>
          <w:sz w:val="22"/>
          <w:szCs w:val="22"/>
        </w:rPr>
        <w:t xml:space="preserve">within his practice </w:t>
      </w:r>
      <w:r w:rsidR="004A60F0" w:rsidRPr="005759D1">
        <w:rPr>
          <w:rFonts w:asciiTheme="majorHAnsi" w:hAnsiTheme="majorHAnsi" w:cstheme="majorHAnsi"/>
          <w:sz w:val="22"/>
          <w:szCs w:val="22"/>
        </w:rPr>
        <w:t xml:space="preserve">or by </w:t>
      </w:r>
      <w:r w:rsidR="00602972" w:rsidRPr="005759D1">
        <w:rPr>
          <w:rFonts w:asciiTheme="majorHAnsi" w:hAnsiTheme="majorHAnsi" w:cstheme="majorHAnsi"/>
          <w:sz w:val="22"/>
          <w:szCs w:val="22"/>
        </w:rPr>
        <w:t xml:space="preserve">coordinator-assisted </w:t>
      </w:r>
      <w:r w:rsidR="004A60F0" w:rsidRPr="005759D1">
        <w:rPr>
          <w:rFonts w:asciiTheme="majorHAnsi" w:hAnsiTheme="majorHAnsi" w:cstheme="majorHAnsi"/>
          <w:sz w:val="22"/>
          <w:szCs w:val="22"/>
        </w:rPr>
        <w:t xml:space="preserve">screening </w:t>
      </w:r>
      <w:r w:rsidR="00602972" w:rsidRPr="005759D1">
        <w:rPr>
          <w:rFonts w:asciiTheme="majorHAnsi" w:hAnsiTheme="majorHAnsi" w:cstheme="majorHAnsi"/>
          <w:sz w:val="22"/>
          <w:szCs w:val="22"/>
        </w:rPr>
        <w:t xml:space="preserve">of </w:t>
      </w:r>
      <w:r w:rsidR="004A60F0" w:rsidRPr="005759D1">
        <w:rPr>
          <w:rFonts w:asciiTheme="majorHAnsi" w:hAnsiTheme="majorHAnsi" w:cstheme="majorHAnsi"/>
          <w:sz w:val="22"/>
          <w:szCs w:val="22"/>
        </w:rPr>
        <w:t xml:space="preserve">scheduled surgeries by provider numbers </w:t>
      </w:r>
      <w:r w:rsidR="00602972" w:rsidRPr="005759D1">
        <w:rPr>
          <w:rFonts w:asciiTheme="majorHAnsi" w:hAnsiTheme="majorHAnsi" w:cstheme="majorHAnsi"/>
          <w:sz w:val="22"/>
          <w:szCs w:val="22"/>
        </w:rPr>
        <w:t>to identify</w:t>
      </w:r>
      <w:r w:rsidR="004A60F0" w:rsidRPr="005759D1">
        <w:rPr>
          <w:rFonts w:asciiTheme="majorHAnsi" w:hAnsiTheme="majorHAnsi" w:cstheme="majorHAnsi"/>
          <w:sz w:val="22"/>
          <w:szCs w:val="22"/>
        </w:rPr>
        <w:t xml:space="preserve"> scheduled CABG procedures.  Study overviews will be sent </w:t>
      </w:r>
      <w:r w:rsidR="00602972" w:rsidRPr="005759D1">
        <w:rPr>
          <w:rFonts w:asciiTheme="majorHAnsi" w:hAnsiTheme="majorHAnsi" w:cstheme="majorHAnsi"/>
          <w:sz w:val="22"/>
          <w:szCs w:val="22"/>
        </w:rPr>
        <w:t>to patients</w:t>
      </w:r>
      <w:r w:rsidR="004A60F0" w:rsidRPr="005759D1">
        <w:rPr>
          <w:rFonts w:asciiTheme="majorHAnsi" w:hAnsiTheme="majorHAnsi" w:cstheme="majorHAnsi"/>
          <w:sz w:val="22"/>
          <w:szCs w:val="22"/>
        </w:rPr>
        <w:t xml:space="preserve"> </w:t>
      </w:r>
      <w:r w:rsidR="00602972" w:rsidRPr="005759D1">
        <w:rPr>
          <w:rFonts w:asciiTheme="majorHAnsi" w:hAnsiTheme="majorHAnsi" w:cstheme="majorHAnsi"/>
          <w:sz w:val="22"/>
          <w:szCs w:val="22"/>
        </w:rPr>
        <w:t xml:space="preserve">scheduled for surgery </w:t>
      </w:r>
      <w:r w:rsidR="004A60F0" w:rsidRPr="005759D1">
        <w:rPr>
          <w:rFonts w:asciiTheme="majorHAnsi" w:hAnsiTheme="majorHAnsi" w:cstheme="majorHAnsi"/>
          <w:sz w:val="22"/>
          <w:szCs w:val="22"/>
        </w:rPr>
        <w:t>and follow</w:t>
      </w:r>
      <w:r w:rsidR="00332ED9" w:rsidRPr="005759D1">
        <w:rPr>
          <w:rFonts w:asciiTheme="majorHAnsi" w:hAnsiTheme="majorHAnsi" w:cstheme="majorHAnsi"/>
          <w:sz w:val="22"/>
          <w:szCs w:val="22"/>
        </w:rPr>
        <w:t>-</w:t>
      </w:r>
      <w:r w:rsidR="004A60F0" w:rsidRPr="005759D1">
        <w:rPr>
          <w:rFonts w:asciiTheme="majorHAnsi" w:hAnsiTheme="majorHAnsi" w:cstheme="majorHAnsi"/>
          <w:sz w:val="22"/>
          <w:szCs w:val="22"/>
        </w:rPr>
        <w:t>up will occur by the coordinator to set up further screening, consenting process of eligible subjects and collection of clinical data</w:t>
      </w:r>
      <w:r w:rsidR="00506ACC" w:rsidRPr="005759D1">
        <w:rPr>
          <w:rFonts w:asciiTheme="majorHAnsi" w:hAnsiTheme="majorHAnsi" w:cstheme="majorHAnsi"/>
          <w:sz w:val="22"/>
          <w:szCs w:val="22"/>
        </w:rPr>
        <w:t xml:space="preserve"> (including demographic data, comorbidities, pharmaceutical and environmental exposures, or other relevant parameters)</w:t>
      </w:r>
      <w:r w:rsidR="00684FD6" w:rsidRPr="005759D1">
        <w:rPr>
          <w:rFonts w:asciiTheme="majorHAnsi" w:hAnsiTheme="majorHAnsi" w:cstheme="majorHAnsi"/>
          <w:sz w:val="22"/>
          <w:szCs w:val="22"/>
        </w:rPr>
        <w:t xml:space="preserve">. </w:t>
      </w:r>
      <w:r w:rsidR="00602972" w:rsidRPr="005759D1">
        <w:rPr>
          <w:rFonts w:asciiTheme="majorHAnsi" w:hAnsiTheme="majorHAnsi" w:cstheme="majorHAnsi"/>
          <w:sz w:val="22"/>
          <w:szCs w:val="22"/>
        </w:rPr>
        <w:t xml:space="preserve">These data will be collected using questionnaires and data abstraction for validation from the electronic medical record.  </w:t>
      </w:r>
      <w:r w:rsidR="00684FD6" w:rsidRPr="005759D1">
        <w:rPr>
          <w:rFonts w:asciiTheme="majorHAnsi" w:hAnsiTheme="majorHAnsi" w:cstheme="majorHAnsi"/>
          <w:sz w:val="22"/>
          <w:szCs w:val="22"/>
        </w:rPr>
        <w:t>D</w:t>
      </w:r>
      <w:r w:rsidR="00506ACC" w:rsidRPr="005759D1">
        <w:rPr>
          <w:rFonts w:asciiTheme="majorHAnsi" w:hAnsiTheme="majorHAnsi" w:cstheme="majorHAnsi"/>
          <w:sz w:val="22"/>
          <w:szCs w:val="22"/>
        </w:rPr>
        <w:t xml:space="preserve">ata surrounding surgical parameters including type (on- or off-pump) and length of surgery, clamp time, time on pump, number of venous </w:t>
      </w:r>
      <w:r w:rsidR="00684FD6" w:rsidRPr="005759D1">
        <w:rPr>
          <w:rFonts w:asciiTheme="majorHAnsi" w:hAnsiTheme="majorHAnsi" w:cstheme="majorHAnsi"/>
          <w:sz w:val="22"/>
          <w:szCs w:val="22"/>
        </w:rPr>
        <w:t>cannulas</w:t>
      </w:r>
      <w:r w:rsidR="00506ACC" w:rsidRPr="005759D1">
        <w:rPr>
          <w:rFonts w:asciiTheme="majorHAnsi" w:hAnsiTheme="majorHAnsi" w:cstheme="majorHAnsi"/>
          <w:sz w:val="22"/>
          <w:szCs w:val="22"/>
        </w:rPr>
        <w:t>, coolest body temperature achieved during procedure, lowest hematocrit, any transfusions or administration of blood produ</w:t>
      </w:r>
      <w:r w:rsidR="00684FD6" w:rsidRPr="005759D1">
        <w:rPr>
          <w:rFonts w:asciiTheme="majorHAnsi" w:hAnsiTheme="majorHAnsi" w:cstheme="majorHAnsi"/>
          <w:sz w:val="22"/>
          <w:szCs w:val="22"/>
        </w:rPr>
        <w:t>cts or perioperative medication will be captured by MDs following surgery.</w:t>
      </w:r>
      <w:r w:rsidR="00506ACC" w:rsidRPr="005759D1">
        <w:rPr>
          <w:rFonts w:asciiTheme="majorHAnsi" w:hAnsiTheme="majorHAnsi" w:cstheme="majorHAnsi"/>
          <w:sz w:val="22"/>
          <w:szCs w:val="22"/>
        </w:rPr>
        <w:t xml:space="preserve"> </w:t>
      </w:r>
      <w:r w:rsidR="004A60F0" w:rsidRPr="005759D1">
        <w:rPr>
          <w:rFonts w:asciiTheme="majorHAnsi" w:hAnsiTheme="majorHAnsi" w:cstheme="majorHAnsi"/>
          <w:sz w:val="22"/>
          <w:szCs w:val="22"/>
        </w:rPr>
        <w:t xml:space="preserve"> (see </w:t>
      </w:r>
      <w:r w:rsidR="00506ACC" w:rsidRPr="005759D1">
        <w:rPr>
          <w:rFonts w:asciiTheme="majorHAnsi" w:hAnsiTheme="majorHAnsi" w:cstheme="majorHAnsi"/>
          <w:sz w:val="22"/>
          <w:szCs w:val="22"/>
        </w:rPr>
        <w:t xml:space="preserve">detailed </w:t>
      </w:r>
      <w:r w:rsidR="004A60F0" w:rsidRPr="005759D1">
        <w:rPr>
          <w:rFonts w:asciiTheme="majorHAnsi" w:hAnsiTheme="majorHAnsi" w:cstheme="majorHAnsi"/>
          <w:sz w:val="22"/>
          <w:szCs w:val="22"/>
        </w:rPr>
        <w:t xml:space="preserve">data form, </w:t>
      </w:r>
      <w:r w:rsidR="00456ECF" w:rsidRPr="005759D1">
        <w:rPr>
          <w:rFonts w:asciiTheme="majorHAnsi" w:hAnsiTheme="majorHAnsi" w:cstheme="majorHAnsi"/>
          <w:sz w:val="22"/>
          <w:szCs w:val="22"/>
        </w:rPr>
        <w:t>Appendix 1</w:t>
      </w:r>
      <w:r w:rsidR="004A60F0" w:rsidRPr="005759D1">
        <w:rPr>
          <w:rFonts w:asciiTheme="majorHAnsi" w:hAnsiTheme="majorHAnsi" w:cstheme="majorHAnsi"/>
          <w:sz w:val="22"/>
          <w:szCs w:val="22"/>
        </w:rPr>
        <w:t>)</w:t>
      </w:r>
      <w:r w:rsidR="00456ECF" w:rsidRPr="005759D1">
        <w:rPr>
          <w:rFonts w:asciiTheme="majorHAnsi" w:hAnsiTheme="majorHAnsi" w:cstheme="majorHAnsi"/>
          <w:sz w:val="22"/>
          <w:szCs w:val="22"/>
        </w:rPr>
        <w:t xml:space="preserve">.  </w:t>
      </w:r>
    </w:p>
    <w:p w:rsidR="00506ACC" w:rsidRPr="005759D1" w:rsidRDefault="00506ACC" w:rsidP="00AB32D5">
      <w:pPr>
        <w:rPr>
          <w:rFonts w:asciiTheme="majorHAnsi" w:hAnsiTheme="majorHAnsi" w:cstheme="majorHAnsi"/>
          <w:sz w:val="22"/>
          <w:szCs w:val="22"/>
        </w:rPr>
      </w:pPr>
    </w:p>
    <w:p w:rsidR="00AB32D5" w:rsidRPr="005759D1" w:rsidRDefault="00AB32D5" w:rsidP="00AB32D5">
      <w:pPr>
        <w:rPr>
          <w:rFonts w:asciiTheme="majorHAnsi" w:hAnsiTheme="majorHAnsi" w:cstheme="majorHAnsi"/>
          <w:sz w:val="22"/>
          <w:szCs w:val="22"/>
        </w:rPr>
      </w:pPr>
      <w:r w:rsidRPr="005759D1">
        <w:rPr>
          <w:rFonts w:asciiTheme="majorHAnsi" w:hAnsiTheme="majorHAnsi" w:cstheme="majorHAnsi"/>
          <w:sz w:val="22"/>
          <w:szCs w:val="22"/>
          <w:u w:val="single"/>
        </w:rPr>
        <w:t>Screening/Enrollment</w:t>
      </w:r>
      <w:r w:rsidRPr="005759D1">
        <w:rPr>
          <w:rFonts w:asciiTheme="majorHAnsi" w:hAnsiTheme="majorHAnsi" w:cstheme="majorHAnsi"/>
          <w:sz w:val="22"/>
          <w:szCs w:val="22"/>
        </w:rPr>
        <w:t xml:space="preserve"> of the cohort will be as follow</w:t>
      </w:r>
      <w:r w:rsidR="000700ED" w:rsidRPr="005759D1">
        <w:rPr>
          <w:rFonts w:asciiTheme="majorHAnsi" w:hAnsiTheme="majorHAnsi" w:cstheme="majorHAnsi"/>
          <w:sz w:val="22"/>
          <w:szCs w:val="22"/>
        </w:rPr>
        <w:t>s</w:t>
      </w:r>
      <w:r w:rsidRPr="005759D1">
        <w:rPr>
          <w:rFonts w:asciiTheme="majorHAnsi" w:hAnsiTheme="majorHAnsi" w:cstheme="majorHAnsi"/>
          <w:sz w:val="22"/>
          <w:szCs w:val="22"/>
        </w:rPr>
        <w:t>:</w:t>
      </w:r>
    </w:p>
    <w:p w:rsidR="006500E6" w:rsidRPr="005759D1" w:rsidRDefault="00AB32D5" w:rsidP="006500E6">
      <w:pPr>
        <w:rPr>
          <w:rFonts w:asciiTheme="majorHAnsi" w:hAnsiTheme="majorHAnsi" w:cstheme="majorHAnsi"/>
          <w:sz w:val="22"/>
          <w:szCs w:val="22"/>
        </w:rPr>
      </w:pPr>
      <w:r w:rsidRPr="005759D1">
        <w:rPr>
          <w:rFonts w:asciiTheme="majorHAnsi" w:hAnsiTheme="majorHAnsi" w:cstheme="majorHAnsi"/>
          <w:sz w:val="22"/>
          <w:szCs w:val="22"/>
        </w:rPr>
        <w:t xml:space="preserve">Patients identified by cardiologist as needing CABG for the first time will be reviewed </w:t>
      </w:r>
      <w:r w:rsidR="00684FD6" w:rsidRPr="005759D1">
        <w:rPr>
          <w:rFonts w:asciiTheme="majorHAnsi" w:hAnsiTheme="majorHAnsi" w:cstheme="majorHAnsi"/>
          <w:sz w:val="22"/>
          <w:szCs w:val="22"/>
        </w:rPr>
        <w:t>for eligibility based on the</w:t>
      </w:r>
      <w:r w:rsidR="000700ED" w:rsidRPr="005759D1">
        <w:rPr>
          <w:rFonts w:asciiTheme="majorHAnsi" w:hAnsiTheme="majorHAnsi" w:cstheme="majorHAnsi"/>
          <w:sz w:val="22"/>
          <w:szCs w:val="22"/>
        </w:rPr>
        <w:t xml:space="preserve"> following criteria</w:t>
      </w:r>
      <w:r w:rsidR="00506ACC" w:rsidRPr="005759D1">
        <w:rPr>
          <w:rFonts w:asciiTheme="majorHAnsi" w:hAnsiTheme="majorHAnsi" w:cstheme="majorHAnsi"/>
          <w:sz w:val="22"/>
          <w:szCs w:val="22"/>
        </w:rPr>
        <w:t>.  Patients with scheduled surgeries will be identified in advance.  Those who are not prescheduled will be identified by coordinators reviewing surgical schedules in advance of the procedure</w:t>
      </w:r>
      <w:r w:rsidR="000B159B" w:rsidRPr="005759D1">
        <w:rPr>
          <w:rFonts w:asciiTheme="majorHAnsi" w:hAnsiTheme="majorHAnsi" w:cstheme="majorHAnsi"/>
          <w:sz w:val="22"/>
          <w:szCs w:val="22"/>
        </w:rPr>
        <w:t xml:space="preserve"> and will be approached for enrollment prior to surgery</w:t>
      </w:r>
      <w:r w:rsidR="00506ACC" w:rsidRPr="005759D1">
        <w:rPr>
          <w:rFonts w:asciiTheme="majorHAnsi" w:hAnsiTheme="majorHAnsi" w:cstheme="majorHAnsi"/>
          <w:sz w:val="22"/>
          <w:szCs w:val="22"/>
        </w:rPr>
        <w:t xml:space="preserve">.  </w:t>
      </w:r>
      <w:r w:rsidR="006500E6" w:rsidRPr="005759D1">
        <w:rPr>
          <w:rFonts w:asciiTheme="majorHAnsi" w:hAnsiTheme="majorHAnsi" w:cstheme="majorHAnsi"/>
          <w:sz w:val="22"/>
          <w:szCs w:val="22"/>
        </w:rPr>
        <w:t>Enrollment will cease when 8</w:t>
      </w:r>
      <w:r w:rsidR="006500E6" w:rsidRPr="005759D1">
        <w:rPr>
          <w:rFonts w:asciiTheme="majorHAnsi" w:hAnsiTheme="majorHAnsi" w:cstheme="majorHAnsi"/>
          <w:sz w:val="22"/>
          <w:szCs w:val="22"/>
          <w:vertAlign w:val="superscript"/>
        </w:rPr>
        <w:t>th</w:t>
      </w:r>
      <w:r w:rsidR="006500E6" w:rsidRPr="005759D1">
        <w:rPr>
          <w:rFonts w:asciiTheme="majorHAnsi" w:hAnsiTheme="majorHAnsi" w:cstheme="majorHAnsi"/>
          <w:sz w:val="22"/>
          <w:szCs w:val="22"/>
        </w:rPr>
        <w:t xml:space="preserve"> case is identified.  </w:t>
      </w:r>
    </w:p>
    <w:p w:rsidR="00AB32D5" w:rsidRPr="005759D1" w:rsidRDefault="00AB32D5" w:rsidP="00AB32D5">
      <w:pPr>
        <w:rPr>
          <w:rFonts w:asciiTheme="majorHAnsi" w:hAnsiTheme="majorHAnsi" w:cstheme="majorHAnsi"/>
          <w:sz w:val="22"/>
          <w:szCs w:val="22"/>
        </w:rPr>
      </w:pPr>
    </w:p>
    <w:p w:rsidR="00AB32D5" w:rsidRPr="005759D1" w:rsidRDefault="00AB32D5" w:rsidP="00AB32D5">
      <w:pPr>
        <w:rPr>
          <w:rFonts w:asciiTheme="majorHAnsi" w:hAnsiTheme="majorHAnsi" w:cstheme="majorHAnsi"/>
          <w:b/>
          <w:sz w:val="22"/>
          <w:szCs w:val="22"/>
        </w:rPr>
      </w:pPr>
      <w:r w:rsidRPr="005759D1">
        <w:rPr>
          <w:rFonts w:asciiTheme="majorHAnsi" w:hAnsiTheme="majorHAnsi" w:cstheme="majorHAnsi"/>
          <w:b/>
          <w:sz w:val="22"/>
          <w:szCs w:val="22"/>
        </w:rPr>
        <w:t>Inclusion criteria</w:t>
      </w:r>
    </w:p>
    <w:p w:rsidR="00AB32D5" w:rsidRPr="005759D1" w:rsidRDefault="000700ED" w:rsidP="00AB32D5">
      <w:pPr>
        <w:numPr>
          <w:ilvl w:val="0"/>
          <w:numId w:val="10"/>
        </w:numPr>
        <w:rPr>
          <w:rFonts w:asciiTheme="majorHAnsi" w:hAnsiTheme="majorHAnsi" w:cstheme="majorHAnsi"/>
          <w:sz w:val="22"/>
          <w:szCs w:val="22"/>
        </w:rPr>
      </w:pPr>
      <w:r w:rsidRPr="005759D1">
        <w:rPr>
          <w:rFonts w:asciiTheme="majorHAnsi" w:hAnsiTheme="majorHAnsi" w:cstheme="majorHAnsi"/>
          <w:sz w:val="22"/>
          <w:szCs w:val="22"/>
        </w:rPr>
        <w:t xml:space="preserve">Age </w:t>
      </w:r>
      <w:r w:rsidRPr="005759D1">
        <w:rPr>
          <w:rFonts w:asciiTheme="majorHAnsi" w:hAnsiTheme="majorHAnsi" w:cstheme="majorHAnsi"/>
          <w:sz w:val="22"/>
          <w:szCs w:val="22"/>
          <w:u w:val="single"/>
        </w:rPr>
        <w:t>&gt;</w:t>
      </w:r>
      <w:r w:rsidRPr="005759D1">
        <w:rPr>
          <w:rFonts w:asciiTheme="majorHAnsi" w:hAnsiTheme="majorHAnsi" w:cstheme="majorHAnsi"/>
          <w:sz w:val="22"/>
          <w:szCs w:val="22"/>
        </w:rPr>
        <w:t xml:space="preserve"> 18years</w:t>
      </w:r>
    </w:p>
    <w:p w:rsidR="00AB32D5" w:rsidRPr="005759D1" w:rsidRDefault="004A60F0" w:rsidP="00AB32D5">
      <w:pPr>
        <w:numPr>
          <w:ilvl w:val="0"/>
          <w:numId w:val="10"/>
        </w:numPr>
        <w:rPr>
          <w:rFonts w:asciiTheme="majorHAnsi" w:hAnsiTheme="majorHAnsi" w:cstheme="majorHAnsi"/>
          <w:sz w:val="22"/>
          <w:szCs w:val="22"/>
        </w:rPr>
      </w:pPr>
      <w:r w:rsidRPr="005759D1">
        <w:rPr>
          <w:rFonts w:asciiTheme="majorHAnsi" w:hAnsiTheme="majorHAnsi" w:cstheme="majorHAnsi"/>
          <w:sz w:val="22"/>
          <w:szCs w:val="22"/>
        </w:rPr>
        <w:t>P</w:t>
      </w:r>
      <w:r w:rsidR="00AB32D5" w:rsidRPr="005759D1">
        <w:rPr>
          <w:rFonts w:asciiTheme="majorHAnsi" w:hAnsiTheme="majorHAnsi" w:cstheme="majorHAnsi"/>
          <w:sz w:val="22"/>
          <w:szCs w:val="22"/>
        </w:rPr>
        <w:t xml:space="preserve">atient </w:t>
      </w:r>
      <w:r w:rsidR="000700ED" w:rsidRPr="005759D1">
        <w:rPr>
          <w:rFonts w:asciiTheme="majorHAnsi" w:hAnsiTheme="majorHAnsi" w:cstheme="majorHAnsi"/>
          <w:sz w:val="22"/>
          <w:szCs w:val="22"/>
        </w:rPr>
        <w:t>in the MC</w:t>
      </w:r>
      <w:r w:rsidR="00AB32D5" w:rsidRPr="005759D1">
        <w:rPr>
          <w:rFonts w:asciiTheme="majorHAnsi" w:hAnsiTheme="majorHAnsi" w:cstheme="majorHAnsi"/>
          <w:sz w:val="22"/>
          <w:szCs w:val="22"/>
        </w:rPr>
        <w:t xml:space="preserve"> system </w:t>
      </w:r>
      <w:r w:rsidR="00EA773E" w:rsidRPr="005759D1">
        <w:rPr>
          <w:rFonts w:asciiTheme="majorHAnsi" w:hAnsiTheme="majorHAnsi" w:cstheme="majorHAnsi"/>
          <w:sz w:val="22"/>
          <w:szCs w:val="22"/>
        </w:rPr>
        <w:t>is</w:t>
      </w:r>
      <w:r w:rsidR="00AB32D5" w:rsidRPr="005759D1">
        <w:rPr>
          <w:rFonts w:asciiTheme="majorHAnsi" w:hAnsiTheme="majorHAnsi" w:cstheme="majorHAnsi"/>
          <w:sz w:val="22"/>
          <w:szCs w:val="22"/>
        </w:rPr>
        <w:t xml:space="preserve"> an e</w:t>
      </w:r>
      <w:r w:rsidR="00EA773E" w:rsidRPr="005759D1">
        <w:rPr>
          <w:rFonts w:asciiTheme="majorHAnsi" w:hAnsiTheme="majorHAnsi" w:cstheme="majorHAnsi"/>
          <w:sz w:val="22"/>
          <w:szCs w:val="22"/>
        </w:rPr>
        <w:t xml:space="preserve">stablished patient </w:t>
      </w:r>
      <w:r w:rsidR="00AB32D5" w:rsidRPr="005759D1">
        <w:rPr>
          <w:rFonts w:asciiTheme="majorHAnsi" w:hAnsiTheme="majorHAnsi" w:cstheme="majorHAnsi"/>
          <w:sz w:val="22"/>
          <w:szCs w:val="22"/>
        </w:rPr>
        <w:t xml:space="preserve">at any </w:t>
      </w:r>
      <w:r w:rsidR="000700ED" w:rsidRPr="005759D1">
        <w:rPr>
          <w:rFonts w:asciiTheme="majorHAnsi" w:hAnsiTheme="majorHAnsi" w:cstheme="majorHAnsi"/>
          <w:sz w:val="22"/>
          <w:szCs w:val="22"/>
        </w:rPr>
        <w:t>MC center</w:t>
      </w:r>
      <w:r w:rsidR="00AB32D5" w:rsidRPr="005759D1">
        <w:rPr>
          <w:rFonts w:asciiTheme="majorHAnsi" w:hAnsiTheme="majorHAnsi" w:cstheme="majorHAnsi"/>
          <w:sz w:val="22"/>
          <w:szCs w:val="22"/>
        </w:rPr>
        <w:t xml:space="preserve">. </w:t>
      </w:r>
    </w:p>
    <w:p w:rsidR="00AB32D5" w:rsidRPr="005759D1" w:rsidRDefault="00AB32D5" w:rsidP="00AB32D5">
      <w:pPr>
        <w:numPr>
          <w:ilvl w:val="0"/>
          <w:numId w:val="10"/>
        </w:numPr>
        <w:rPr>
          <w:rFonts w:asciiTheme="majorHAnsi" w:hAnsiTheme="majorHAnsi" w:cstheme="majorHAnsi"/>
          <w:sz w:val="22"/>
          <w:szCs w:val="22"/>
        </w:rPr>
      </w:pPr>
      <w:r w:rsidRPr="005759D1">
        <w:rPr>
          <w:rFonts w:asciiTheme="majorHAnsi" w:hAnsiTheme="majorHAnsi" w:cstheme="majorHAnsi"/>
          <w:sz w:val="22"/>
          <w:szCs w:val="22"/>
        </w:rPr>
        <w:t xml:space="preserve">Cardiologist performing the CABG </w:t>
      </w:r>
      <w:r w:rsidR="000700ED" w:rsidRPr="005759D1">
        <w:rPr>
          <w:rFonts w:asciiTheme="majorHAnsi" w:hAnsiTheme="majorHAnsi" w:cstheme="majorHAnsi"/>
          <w:sz w:val="22"/>
          <w:szCs w:val="22"/>
        </w:rPr>
        <w:t>surgery will be performing surgery</w:t>
      </w:r>
      <w:r w:rsidRPr="005759D1">
        <w:rPr>
          <w:rFonts w:asciiTheme="majorHAnsi" w:hAnsiTheme="majorHAnsi" w:cstheme="majorHAnsi"/>
          <w:sz w:val="22"/>
          <w:szCs w:val="22"/>
        </w:rPr>
        <w:t xml:space="preserve"> at St. Joseph’s Hospital </w:t>
      </w:r>
      <w:r w:rsidR="00E02CFD" w:rsidRPr="005759D1">
        <w:rPr>
          <w:rFonts w:asciiTheme="majorHAnsi" w:hAnsiTheme="majorHAnsi" w:cstheme="majorHAnsi"/>
          <w:sz w:val="22"/>
          <w:szCs w:val="22"/>
        </w:rPr>
        <w:t xml:space="preserve">(SJH) </w:t>
      </w:r>
      <w:r w:rsidRPr="005759D1">
        <w:rPr>
          <w:rFonts w:asciiTheme="majorHAnsi" w:hAnsiTheme="majorHAnsi" w:cstheme="majorHAnsi"/>
          <w:sz w:val="22"/>
          <w:szCs w:val="22"/>
        </w:rPr>
        <w:t>in Marshfield</w:t>
      </w:r>
      <w:r w:rsidR="000700ED" w:rsidRPr="005759D1">
        <w:rPr>
          <w:rFonts w:asciiTheme="majorHAnsi" w:hAnsiTheme="majorHAnsi" w:cstheme="majorHAnsi"/>
          <w:sz w:val="22"/>
          <w:szCs w:val="22"/>
        </w:rPr>
        <w:t>.</w:t>
      </w:r>
      <w:r w:rsidRPr="005759D1">
        <w:rPr>
          <w:rFonts w:asciiTheme="majorHAnsi" w:hAnsiTheme="majorHAnsi" w:cstheme="majorHAnsi"/>
          <w:sz w:val="22"/>
          <w:szCs w:val="22"/>
        </w:rPr>
        <w:t xml:space="preserve"> </w:t>
      </w:r>
    </w:p>
    <w:p w:rsidR="000700ED" w:rsidRPr="005759D1" w:rsidRDefault="00E02CFD" w:rsidP="000700ED">
      <w:pPr>
        <w:numPr>
          <w:ilvl w:val="0"/>
          <w:numId w:val="10"/>
        </w:numPr>
        <w:rPr>
          <w:rFonts w:asciiTheme="majorHAnsi" w:hAnsiTheme="majorHAnsi" w:cstheme="majorHAnsi"/>
          <w:sz w:val="22"/>
          <w:szCs w:val="22"/>
        </w:rPr>
      </w:pPr>
      <w:r w:rsidRPr="005759D1">
        <w:rPr>
          <w:rFonts w:asciiTheme="majorHAnsi" w:hAnsiTheme="majorHAnsi" w:cstheme="majorHAnsi"/>
          <w:sz w:val="22"/>
          <w:szCs w:val="22"/>
        </w:rPr>
        <w:t>Patient has</w:t>
      </w:r>
      <w:r w:rsidR="000700ED" w:rsidRPr="005759D1">
        <w:rPr>
          <w:rFonts w:asciiTheme="majorHAnsi" w:hAnsiTheme="majorHAnsi" w:cstheme="majorHAnsi"/>
          <w:sz w:val="22"/>
          <w:szCs w:val="22"/>
        </w:rPr>
        <w:t xml:space="preserve"> no </w:t>
      </w:r>
      <w:r w:rsidRPr="005759D1">
        <w:rPr>
          <w:rFonts w:asciiTheme="majorHAnsi" w:hAnsiTheme="majorHAnsi" w:cstheme="majorHAnsi"/>
          <w:sz w:val="22"/>
          <w:szCs w:val="22"/>
        </w:rPr>
        <w:t xml:space="preserve">history of </w:t>
      </w:r>
      <w:r w:rsidR="000700ED" w:rsidRPr="005759D1">
        <w:rPr>
          <w:rFonts w:asciiTheme="majorHAnsi" w:hAnsiTheme="majorHAnsi" w:cstheme="majorHAnsi"/>
          <w:sz w:val="22"/>
          <w:szCs w:val="22"/>
        </w:rPr>
        <w:t>prior</w:t>
      </w:r>
      <w:r w:rsidR="00AB32D5" w:rsidRPr="005759D1">
        <w:rPr>
          <w:rFonts w:asciiTheme="majorHAnsi" w:hAnsiTheme="majorHAnsi" w:cstheme="majorHAnsi"/>
          <w:sz w:val="22"/>
          <w:szCs w:val="22"/>
        </w:rPr>
        <w:t xml:space="preserve"> CABG </w:t>
      </w:r>
      <w:r w:rsidR="000700ED" w:rsidRPr="005759D1">
        <w:rPr>
          <w:rFonts w:asciiTheme="majorHAnsi" w:hAnsiTheme="majorHAnsi" w:cstheme="majorHAnsi"/>
          <w:sz w:val="22"/>
          <w:szCs w:val="22"/>
        </w:rPr>
        <w:t>procedure</w:t>
      </w:r>
    </w:p>
    <w:p w:rsidR="000700ED" w:rsidRPr="005759D1" w:rsidRDefault="000700ED" w:rsidP="00E02CFD">
      <w:pPr>
        <w:ind w:left="720"/>
        <w:rPr>
          <w:rFonts w:asciiTheme="majorHAnsi" w:hAnsiTheme="majorHAnsi" w:cstheme="majorHAnsi"/>
          <w:sz w:val="22"/>
          <w:szCs w:val="22"/>
        </w:rPr>
      </w:pPr>
    </w:p>
    <w:p w:rsidR="00AB32D5" w:rsidRPr="005759D1" w:rsidRDefault="00AB32D5" w:rsidP="00AB32D5">
      <w:pPr>
        <w:rPr>
          <w:rFonts w:asciiTheme="majorHAnsi" w:hAnsiTheme="majorHAnsi" w:cstheme="majorHAnsi"/>
          <w:b/>
          <w:sz w:val="22"/>
          <w:szCs w:val="22"/>
        </w:rPr>
      </w:pPr>
      <w:r w:rsidRPr="005759D1">
        <w:rPr>
          <w:rFonts w:asciiTheme="majorHAnsi" w:hAnsiTheme="majorHAnsi" w:cstheme="majorHAnsi"/>
          <w:b/>
          <w:sz w:val="22"/>
          <w:szCs w:val="22"/>
        </w:rPr>
        <w:t>Exclusion criteria</w:t>
      </w:r>
    </w:p>
    <w:p w:rsidR="00AB32D5" w:rsidRPr="005759D1" w:rsidRDefault="00787733"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Age </w:t>
      </w:r>
      <w:r w:rsidR="00E02CFD" w:rsidRPr="005759D1">
        <w:rPr>
          <w:rFonts w:asciiTheme="majorHAnsi" w:hAnsiTheme="majorHAnsi" w:cstheme="majorHAnsi"/>
          <w:sz w:val="22"/>
          <w:szCs w:val="22"/>
        </w:rPr>
        <w:t>&lt; 18years of age</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w:t>
      </w:r>
      <w:r w:rsidR="00E02CFD" w:rsidRPr="005759D1">
        <w:rPr>
          <w:rFonts w:asciiTheme="majorHAnsi" w:hAnsiTheme="majorHAnsi" w:cstheme="majorHAnsi"/>
          <w:sz w:val="22"/>
          <w:szCs w:val="22"/>
        </w:rPr>
        <w:t xml:space="preserve">does </w:t>
      </w:r>
      <w:r w:rsidRPr="005759D1">
        <w:rPr>
          <w:rFonts w:asciiTheme="majorHAnsi" w:hAnsiTheme="majorHAnsi" w:cstheme="majorHAnsi"/>
          <w:sz w:val="22"/>
          <w:szCs w:val="22"/>
        </w:rPr>
        <w:t xml:space="preserve">not </w:t>
      </w:r>
      <w:r w:rsidR="00E02CFD" w:rsidRPr="005759D1">
        <w:rPr>
          <w:rFonts w:asciiTheme="majorHAnsi" w:hAnsiTheme="majorHAnsi" w:cstheme="majorHAnsi"/>
          <w:sz w:val="22"/>
          <w:szCs w:val="22"/>
        </w:rPr>
        <w:t>have a PCP at MC</w:t>
      </w:r>
      <w:r w:rsidRPr="005759D1">
        <w:rPr>
          <w:rFonts w:asciiTheme="majorHAnsi" w:hAnsiTheme="majorHAnsi" w:cstheme="majorHAnsi"/>
          <w:sz w:val="22"/>
          <w:szCs w:val="22"/>
        </w:rPr>
        <w:t xml:space="preserve">/or is only being seen </w:t>
      </w:r>
      <w:r w:rsidR="00E02CFD" w:rsidRPr="005759D1">
        <w:rPr>
          <w:rFonts w:asciiTheme="majorHAnsi" w:hAnsiTheme="majorHAnsi" w:cstheme="majorHAnsi"/>
          <w:sz w:val="22"/>
          <w:szCs w:val="22"/>
        </w:rPr>
        <w:t>at MC</w:t>
      </w:r>
      <w:r w:rsidRPr="005759D1">
        <w:rPr>
          <w:rFonts w:asciiTheme="majorHAnsi" w:hAnsiTheme="majorHAnsi" w:cstheme="majorHAnsi"/>
          <w:sz w:val="22"/>
          <w:szCs w:val="22"/>
        </w:rPr>
        <w:t xml:space="preserve"> on a “consult” basis. </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Surgery will be performed at a facility other than </w:t>
      </w:r>
      <w:r w:rsidR="00F47836" w:rsidRPr="005759D1">
        <w:rPr>
          <w:rFonts w:asciiTheme="majorHAnsi" w:hAnsiTheme="majorHAnsi" w:cstheme="majorHAnsi"/>
          <w:sz w:val="22"/>
          <w:szCs w:val="22"/>
        </w:rPr>
        <w:t>SJH</w:t>
      </w:r>
      <w:r w:rsidRPr="005759D1">
        <w:rPr>
          <w:rFonts w:asciiTheme="majorHAnsi" w:hAnsiTheme="majorHAnsi" w:cstheme="majorHAnsi"/>
          <w:sz w:val="22"/>
          <w:szCs w:val="22"/>
        </w:rPr>
        <w:t>.</w:t>
      </w:r>
    </w:p>
    <w:p w:rsidR="008847F6"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Patient had a previous CABG performed.</w:t>
      </w:r>
      <w:r w:rsidR="00787733" w:rsidRPr="005759D1">
        <w:rPr>
          <w:rFonts w:asciiTheme="majorHAnsi" w:hAnsiTheme="majorHAnsi" w:cstheme="majorHAnsi"/>
          <w:sz w:val="22"/>
          <w:szCs w:val="22"/>
        </w:rPr>
        <w:t xml:space="preserve"> </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w:t>
      </w:r>
      <w:r w:rsidR="008847F6" w:rsidRPr="005759D1">
        <w:rPr>
          <w:rFonts w:asciiTheme="majorHAnsi" w:hAnsiTheme="majorHAnsi" w:cstheme="majorHAnsi"/>
          <w:sz w:val="22"/>
          <w:szCs w:val="22"/>
        </w:rPr>
        <w:t>is in shock</w:t>
      </w:r>
    </w:p>
    <w:p w:rsidR="00F47836" w:rsidRPr="005759D1" w:rsidRDefault="00F47836"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had </w:t>
      </w:r>
      <w:r w:rsidR="0031609E" w:rsidRPr="005759D1">
        <w:rPr>
          <w:rFonts w:asciiTheme="majorHAnsi" w:hAnsiTheme="majorHAnsi" w:cstheme="majorHAnsi"/>
          <w:sz w:val="22"/>
          <w:szCs w:val="22"/>
        </w:rPr>
        <w:t xml:space="preserve">prior </w:t>
      </w:r>
      <w:r w:rsidRPr="005759D1">
        <w:rPr>
          <w:rFonts w:asciiTheme="majorHAnsi" w:hAnsiTheme="majorHAnsi" w:cstheme="majorHAnsi"/>
          <w:sz w:val="22"/>
          <w:szCs w:val="22"/>
        </w:rPr>
        <w:t xml:space="preserve">AF diagnosis </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has </w:t>
      </w:r>
      <w:r w:rsidR="00F47836" w:rsidRPr="005759D1">
        <w:rPr>
          <w:rFonts w:asciiTheme="majorHAnsi" w:hAnsiTheme="majorHAnsi" w:cstheme="majorHAnsi"/>
          <w:sz w:val="22"/>
          <w:szCs w:val="22"/>
        </w:rPr>
        <w:t>had a transfusion</w:t>
      </w:r>
      <w:r w:rsidR="00B2662D" w:rsidRPr="005759D1">
        <w:rPr>
          <w:rFonts w:asciiTheme="majorHAnsi" w:hAnsiTheme="majorHAnsi" w:cstheme="majorHAnsi"/>
          <w:sz w:val="22"/>
          <w:szCs w:val="22"/>
        </w:rPr>
        <w:t xml:space="preserve"> or received blood products in the past 2 weeks</w:t>
      </w:r>
      <w:r w:rsidR="00F4090A" w:rsidRPr="005759D1">
        <w:rPr>
          <w:rFonts w:asciiTheme="majorHAnsi" w:hAnsiTheme="majorHAnsi" w:cstheme="majorHAnsi"/>
          <w:sz w:val="22"/>
          <w:szCs w:val="22"/>
        </w:rPr>
        <w:t xml:space="preserve"> prior to CAB</w:t>
      </w:r>
      <w:r w:rsidR="00602972" w:rsidRPr="005759D1">
        <w:rPr>
          <w:rFonts w:asciiTheme="majorHAnsi" w:hAnsiTheme="majorHAnsi" w:cstheme="majorHAnsi"/>
          <w:sz w:val="22"/>
          <w:szCs w:val="22"/>
        </w:rPr>
        <w:t>G</w:t>
      </w:r>
    </w:p>
    <w:p w:rsidR="00456ECF" w:rsidRPr="005759D1" w:rsidRDefault="00456ECF"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lastRenderedPageBreak/>
        <w:t>Patient has had valve surgery</w:t>
      </w:r>
    </w:p>
    <w:p w:rsidR="00AB32D5" w:rsidRPr="005759D1" w:rsidRDefault="00F47836"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Patient has had an MI with balloon pump within previous 72 hours</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is unable to communicate effectively enough to report symptoms of </w:t>
      </w:r>
      <w:r w:rsidR="00F47836" w:rsidRPr="005759D1">
        <w:rPr>
          <w:rFonts w:asciiTheme="majorHAnsi" w:hAnsiTheme="majorHAnsi" w:cstheme="majorHAnsi"/>
          <w:sz w:val="22"/>
          <w:szCs w:val="22"/>
        </w:rPr>
        <w:t>POAF following discharge</w:t>
      </w:r>
      <w:r w:rsidRPr="005759D1">
        <w:rPr>
          <w:rFonts w:asciiTheme="majorHAnsi" w:hAnsiTheme="majorHAnsi" w:cstheme="majorHAnsi"/>
          <w:sz w:val="22"/>
          <w:szCs w:val="22"/>
        </w:rPr>
        <w:t xml:space="preserve">. </w:t>
      </w:r>
    </w:p>
    <w:p w:rsidR="00AB32D5" w:rsidRPr="005759D1" w:rsidRDefault="00AB32D5" w:rsidP="00AB32D5">
      <w:pPr>
        <w:numPr>
          <w:ilvl w:val="0"/>
          <w:numId w:val="11"/>
        </w:numPr>
        <w:rPr>
          <w:rFonts w:asciiTheme="majorHAnsi" w:hAnsiTheme="majorHAnsi" w:cstheme="majorHAnsi"/>
          <w:sz w:val="22"/>
          <w:szCs w:val="22"/>
        </w:rPr>
      </w:pPr>
      <w:r w:rsidRPr="005759D1">
        <w:rPr>
          <w:rFonts w:asciiTheme="majorHAnsi" w:hAnsiTheme="majorHAnsi" w:cstheme="majorHAnsi"/>
          <w:sz w:val="22"/>
          <w:szCs w:val="22"/>
        </w:rPr>
        <w:t xml:space="preserve">Patient is likely to be unwilling to report symptoms </w:t>
      </w:r>
      <w:r w:rsidR="00F47836" w:rsidRPr="005759D1">
        <w:rPr>
          <w:rFonts w:asciiTheme="majorHAnsi" w:hAnsiTheme="majorHAnsi" w:cstheme="majorHAnsi"/>
          <w:sz w:val="22"/>
          <w:szCs w:val="22"/>
        </w:rPr>
        <w:t>POAF</w:t>
      </w:r>
      <w:r w:rsidR="00901ADF" w:rsidRPr="005759D1">
        <w:rPr>
          <w:rFonts w:asciiTheme="majorHAnsi" w:hAnsiTheme="majorHAnsi" w:cstheme="majorHAnsi"/>
          <w:sz w:val="22"/>
          <w:szCs w:val="22"/>
        </w:rPr>
        <w:t>:</w:t>
      </w:r>
      <w:r w:rsidRPr="005759D1">
        <w:rPr>
          <w:rFonts w:asciiTheme="majorHAnsi" w:hAnsiTheme="majorHAnsi" w:cstheme="majorHAnsi"/>
          <w:sz w:val="22"/>
          <w:szCs w:val="22"/>
        </w:rPr>
        <w:t xml:space="preserve"> </w:t>
      </w:r>
      <w:r w:rsidR="00901ADF" w:rsidRPr="005759D1">
        <w:rPr>
          <w:rFonts w:asciiTheme="majorHAnsi" w:hAnsiTheme="majorHAnsi" w:cstheme="majorHAnsi"/>
          <w:sz w:val="22"/>
          <w:szCs w:val="22"/>
        </w:rPr>
        <w:t>patient has history of non-compliance</w:t>
      </w:r>
      <w:r w:rsidR="00F47836" w:rsidRPr="005759D1">
        <w:rPr>
          <w:rFonts w:asciiTheme="majorHAnsi" w:hAnsiTheme="majorHAnsi" w:cstheme="majorHAnsi"/>
          <w:sz w:val="22"/>
          <w:szCs w:val="22"/>
        </w:rPr>
        <w:t xml:space="preserve">, has a personal or </w:t>
      </w:r>
      <w:r w:rsidRPr="005759D1">
        <w:rPr>
          <w:rFonts w:asciiTheme="majorHAnsi" w:hAnsiTheme="majorHAnsi" w:cstheme="majorHAnsi"/>
          <w:sz w:val="22"/>
          <w:szCs w:val="22"/>
        </w:rPr>
        <w:t>cultural belief</w:t>
      </w:r>
      <w:r w:rsidR="00F47836" w:rsidRPr="005759D1">
        <w:rPr>
          <w:rFonts w:asciiTheme="majorHAnsi" w:hAnsiTheme="majorHAnsi" w:cstheme="majorHAnsi"/>
          <w:sz w:val="22"/>
          <w:szCs w:val="22"/>
        </w:rPr>
        <w:t>,</w:t>
      </w:r>
      <w:r w:rsidRPr="005759D1">
        <w:rPr>
          <w:rFonts w:asciiTheme="majorHAnsi" w:hAnsiTheme="majorHAnsi" w:cstheme="majorHAnsi"/>
          <w:sz w:val="22"/>
          <w:szCs w:val="22"/>
        </w:rPr>
        <w:t xml:space="preserve"> or caregiving </w:t>
      </w:r>
      <w:r w:rsidR="00F47836" w:rsidRPr="005759D1">
        <w:rPr>
          <w:rFonts w:asciiTheme="majorHAnsi" w:hAnsiTheme="majorHAnsi" w:cstheme="majorHAnsi"/>
          <w:sz w:val="22"/>
          <w:szCs w:val="22"/>
        </w:rPr>
        <w:t>situation which precludes reporting of POAF symptomology following discharge, potentially producing misclassification error among controls</w:t>
      </w:r>
      <w:r w:rsidRPr="005759D1">
        <w:rPr>
          <w:rFonts w:asciiTheme="majorHAnsi" w:hAnsiTheme="majorHAnsi" w:cstheme="majorHAnsi"/>
          <w:sz w:val="22"/>
          <w:szCs w:val="22"/>
        </w:rPr>
        <w:t xml:space="preserve">. </w:t>
      </w:r>
    </w:p>
    <w:p w:rsidR="00AB32D5" w:rsidRPr="005759D1" w:rsidRDefault="00AB32D5" w:rsidP="00AB32D5">
      <w:pPr>
        <w:rPr>
          <w:rFonts w:asciiTheme="majorHAnsi" w:hAnsiTheme="majorHAnsi" w:cstheme="majorHAnsi"/>
          <w:sz w:val="22"/>
          <w:szCs w:val="22"/>
        </w:rPr>
      </w:pPr>
    </w:p>
    <w:p w:rsidR="00AB32D5" w:rsidRPr="005759D1" w:rsidRDefault="00AB32D5" w:rsidP="00AB32D5">
      <w:pPr>
        <w:rPr>
          <w:rFonts w:asciiTheme="majorHAnsi" w:hAnsiTheme="majorHAnsi" w:cstheme="majorHAnsi"/>
          <w:sz w:val="22"/>
          <w:szCs w:val="22"/>
        </w:rPr>
      </w:pPr>
      <w:r w:rsidRPr="005759D1">
        <w:rPr>
          <w:rFonts w:asciiTheme="majorHAnsi" w:hAnsiTheme="majorHAnsi" w:cstheme="majorHAnsi"/>
          <w:sz w:val="22"/>
          <w:szCs w:val="22"/>
        </w:rPr>
        <w:t xml:space="preserve">3) Sample Size </w:t>
      </w:r>
    </w:p>
    <w:p w:rsidR="00787733" w:rsidRPr="005759D1" w:rsidRDefault="001959B1" w:rsidP="00BE2D97">
      <w:pPr>
        <w:rPr>
          <w:rFonts w:asciiTheme="majorHAnsi" w:hAnsiTheme="majorHAnsi" w:cstheme="majorHAnsi"/>
          <w:strike/>
          <w:sz w:val="22"/>
          <w:szCs w:val="22"/>
        </w:rPr>
      </w:pPr>
      <w:r w:rsidRPr="005759D1">
        <w:rPr>
          <w:rFonts w:asciiTheme="majorHAnsi" w:hAnsiTheme="majorHAnsi" w:cstheme="majorHAnsi"/>
          <w:sz w:val="22"/>
          <w:szCs w:val="22"/>
        </w:rPr>
        <w:t>Eight</w:t>
      </w:r>
      <w:r w:rsidR="00AB32D5" w:rsidRPr="005759D1">
        <w:rPr>
          <w:rFonts w:asciiTheme="majorHAnsi" w:hAnsiTheme="majorHAnsi" w:cstheme="majorHAnsi"/>
          <w:sz w:val="22"/>
          <w:szCs w:val="22"/>
        </w:rPr>
        <w:t xml:space="preserve"> cases and</w:t>
      </w:r>
      <w:r w:rsidRPr="005759D1">
        <w:rPr>
          <w:rFonts w:asciiTheme="majorHAnsi" w:hAnsiTheme="majorHAnsi" w:cstheme="majorHAnsi"/>
          <w:sz w:val="22"/>
          <w:szCs w:val="22"/>
        </w:rPr>
        <w:t xml:space="preserve"> eight</w:t>
      </w:r>
      <w:r w:rsidR="00AB32D5" w:rsidRPr="005759D1">
        <w:rPr>
          <w:rFonts w:asciiTheme="majorHAnsi" w:hAnsiTheme="majorHAnsi" w:cstheme="majorHAnsi"/>
          <w:sz w:val="22"/>
          <w:szCs w:val="22"/>
        </w:rPr>
        <w:t xml:space="preserve"> controls will be </w:t>
      </w:r>
      <w:r w:rsidR="00787733" w:rsidRPr="005759D1">
        <w:rPr>
          <w:rFonts w:asciiTheme="majorHAnsi" w:hAnsiTheme="majorHAnsi" w:cstheme="majorHAnsi"/>
          <w:sz w:val="22"/>
          <w:szCs w:val="22"/>
        </w:rPr>
        <w:t>tested with miRNA transcriptome assay</w:t>
      </w:r>
      <w:r w:rsidR="0031609E" w:rsidRPr="005759D1">
        <w:rPr>
          <w:rFonts w:asciiTheme="majorHAnsi" w:hAnsiTheme="majorHAnsi" w:cstheme="majorHAnsi"/>
          <w:sz w:val="22"/>
          <w:szCs w:val="22"/>
        </w:rPr>
        <w:t xml:space="preserve"> based on a similar study design used successfully by Fichtlscherer </w:t>
      </w:r>
      <w:r w:rsidR="0031609E" w:rsidRPr="005759D1">
        <w:rPr>
          <w:rFonts w:asciiTheme="majorHAnsi" w:hAnsiTheme="majorHAnsi" w:cstheme="majorHAnsi"/>
          <w:i/>
          <w:sz w:val="22"/>
          <w:szCs w:val="22"/>
        </w:rPr>
        <w:t>et al</w:t>
      </w:r>
      <w:r w:rsidR="0031609E" w:rsidRPr="005759D1">
        <w:rPr>
          <w:rFonts w:asciiTheme="majorHAnsi" w:hAnsiTheme="majorHAnsi" w:cstheme="majorHAnsi"/>
          <w:sz w:val="22"/>
          <w:szCs w:val="22"/>
        </w:rPr>
        <w:t xml:space="preserve"> (</w:t>
      </w:r>
      <w:r w:rsidR="0031609E" w:rsidRPr="005759D1">
        <w:rPr>
          <w:rFonts w:asciiTheme="majorHAnsi" w:hAnsiTheme="majorHAnsi" w:cstheme="majorHAnsi"/>
          <w:color w:val="FF0000"/>
          <w:sz w:val="22"/>
          <w:szCs w:val="22"/>
        </w:rPr>
        <w:t>36</w:t>
      </w:r>
      <w:r w:rsidR="0031609E" w:rsidRPr="005759D1">
        <w:rPr>
          <w:rFonts w:asciiTheme="majorHAnsi" w:hAnsiTheme="majorHAnsi" w:cstheme="majorHAnsi"/>
          <w:sz w:val="22"/>
          <w:szCs w:val="22"/>
        </w:rPr>
        <w:t>) predicting myocardial infarction by using miRNA as a biomarker.</w:t>
      </w:r>
      <w:r w:rsidR="00B95639" w:rsidRPr="005759D1">
        <w:rPr>
          <w:rFonts w:asciiTheme="majorHAnsi" w:hAnsiTheme="majorHAnsi" w:cstheme="majorHAnsi"/>
          <w:sz w:val="22"/>
          <w:szCs w:val="22"/>
        </w:rPr>
        <w:t xml:space="preserve"> </w:t>
      </w:r>
      <w:r w:rsidR="00787733" w:rsidRPr="005759D1">
        <w:rPr>
          <w:rFonts w:asciiTheme="majorHAnsi" w:hAnsiTheme="majorHAnsi" w:cstheme="majorHAnsi"/>
          <w:sz w:val="22"/>
          <w:szCs w:val="22"/>
        </w:rPr>
        <w:t xml:space="preserve"> Preliminary data indicated approximately 20</w:t>
      </w:r>
      <w:r w:rsidR="00AB32D5" w:rsidRPr="005759D1">
        <w:rPr>
          <w:rFonts w:asciiTheme="majorHAnsi" w:hAnsiTheme="majorHAnsi" w:cstheme="majorHAnsi"/>
          <w:sz w:val="22"/>
          <w:szCs w:val="22"/>
        </w:rPr>
        <w:t>% of patients w</w:t>
      </w:r>
      <w:r w:rsidR="00787733" w:rsidRPr="005759D1">
        <w:rPr>
          <w:rFonts w:asciiTheme="majorHAnsi" w:hAnsiTheme="majorHAnsi" w:cstheme="majorHAnsi"/>
          <w:sz w:val="22"/>
          <w:szCs w:val="22"/>
        </w:rPr>
        <w:t>ho underwent</w:t>
      </w:r>
      <w:r w:rsidR="00AB32D5" w:rsidRPr="005759D1">
        <w:rPr>
          <w:rFonts w:asciiTheme="majorHAnsi" w:hAnsiTheme="majorHAnsi" w:cstheme="majorHAnsi"/>
          <w:sz w:val="22"/>
          <w:szCs w:val="22"/>
        </w:rPr>
        <w:t xml:space="preserve"> CABG develop</w:t>
      </w:r>
      <w:r w:rsidR="00787733" w:rsidRPr="005759D1">
        <w:rPr>
          <w:rFonts w:asciiTheme="majorHAnsi" w:hAnsiTheme="majorHAnsi" w:cstheme="majorHAnsi"/>
          <w:sz w:val="22"/>
          <w:szCs w:val="22"/>
        </w:rPr>
        <w:t>ed</w:t>
      </w:r>
      <w:r w:rsidR="00AB32D5" w:rsidRPr="005759D1">
        <w:rPr>
          <w:rFonts w:asciiTheme="majorHAnsi" w:hAnsiTheme="majorHAnsi" w:cstheme="majorHAnsi"/>
          <w:sz w:val="22"/>
          <w:szCs w:val="22"/>
        </w:rPr>
        <w:t xml:space="preserve"> AF</w:t>
      </w:r>
      <w:r w:rsidR="00787733" w:rsidRPr="005759D1">
        <w:rPr>
          <w:rFonts w:asciiTheme="majorHAnsi" w:hAnsiTheme="majorHAnsi" w:cstheme="majorHAnsi"/>
          <w:sz w:val="22"/>
          <w:szCs w:val="22"/>
        </w:rPr>
        <w:t xml:space="preserve"> in 2010</w:t>
      </w:r>
      <w:r w:rsidR="00AB32D5" w:rsidRPr="005759D1">
        <w:rPr>
          <w:rFonts w:asciiTheme="majorHAnsi" w:hAnsiTheme="majorHAnsi" w:cstheme="majorHAnsi"/>
          <w:sz w:val="22"/>
          <w:szCs w:val="22"/>
        </w:rPr>
        <w:t xml:space="preserve">. Since it will not be known prior to surgery which patients will develop AF </w:t>
      </w:r>
      <w:r w:rsidR="0015306E" w:rsidRPr="005759D1">
        <w:rPr>
          <w:rFonts w:asciiTheme="majorHAnsi" w:hAnsiTheme="majorHAnsi" w:cstheme="majorHAnsi"/>
          <w:sz w:val="22"/>
          <w:szCs w:val="22"/>
        </w:rPr>
        <w:t>it is estimated that</w:t>
      </w:r>
      <w:r w:rsidR="00AB32D5" w:rsidRPr="005759D1">
        <w:rPr>
          <w:rFonts w:asciiTheme="majorHAnsi" w:hAnsiTheme="majorHAnsi" w:cstheme="majorHAnsi"/>
          <w:sz w:val="22"/>
          <w:szCs w:val="22"/>
        </w:rPr>
        <w:t xml:space="preserve"> </w:t>
      </w:r>
      <w:r w:rsidR="00794627" w:rsidRPr="005759D1">
        <w:rPr>
          <w:rFonts w:asciiTheme="majorHAnsi" w:hAnsiTheme="majorHAnsi" w:cstheme="majorHAnsi"/>
          <w:sz w:val="22"/>
          <w:szCs w:val="22"/>
        </w:rPr>
        <w:t>53</w:t>
      </w:r>
      <w:r w:rsidR="00AB32D5" w:rsidRPr="005759D1">
        <w:rPr>
          <w:rFonts w:asciiTheme="majorHAnsi" w:hAnsiTheme="majorHAnsi" w:cstheme="majorHAnsi"/>
          <w:sz w:val="22"/>
          <w:szCs w:val="22"/>
        </w:rPr>
        <w:t xml:space="preserve"> patients </w:t>
      </w:r>
      <w:r w:rsidR="0015306E" w:rsidRPr="005759D1">
        <w:rPr>
          <w:rFonts w:asciiTheme="majorHAnsi" w:hAnsiTheme="majorHAnsi" w:cstheme="majorHAnsi"/>
          <w:sz w:val="22"/>
          <w:szCs w:val="22"/>
        </w:rPr>
        <w:t xml:space="preserve">will need </w:t>
      </w:r>
      <w:r w:rsidR="00AB32D5" w:rsidRPr="005759D1">
        <w:rPr>
          <w:rFonts w:asciiTheme="majorHAnsi" w:hAnsiTheme="majorHAnsi" w:cstheme="majorHAnsi"/>
          <w:sz w:val="22"/>
          <w:szCs w:val="22"/>
        </w:rPr>
        <w:t xml:space="preserve">to </w:t>
      </w:r>
      <w:r w:rsidR="0015306E" w:rsidRPr="005759D1">
        <w:rPr>
          <w:rFonts w:asciiTheme="majorHAnsi" w:hAnsiTheme="majorHAnsi" w:cstheme="majorHAnsi"/>
          <w:sz w:val="22"/>
          <w:szCs w:val="22"/>
        </w:rPr>
        <w:t xml:space="preserve">be enrolled to </w:t>
      </w:r>
      <w:r w:rsidR="00AB32D5" w:rsidRPr="005759D1">
        <w:rPr>
          <w:rFonts w:asciiTheme="majorHAnsi" w:hAnsiTheme="majorHAnsi" w:cstheme="majorHAnsi"/>
          <w:sz w:val="22"/>
          <w:szCs w:val="22"/>
        </w:rPr>
        <w:t xml:space="preserve">achieve </w:t>
      </w:r>
      <w:r w:rsidRPr="005759D1">
        <w:rPr>
          <w:rFonts w:asciiTheme="majorHAnsi" w:hAnsiTheme="majorHAnsi" w:cstheme="majorHAnsi"/>
          <w:sz w:val="22"/>
          <w:szCs w:val="22"/>
        </w:rPr>
        <w:t>8</w:t>
      </w:r>
      <w:r w:rsidR="00AB32D5" w:rsidRPr="005759D1">
        <w:rPr>
          <w:rFonts w:asciiTheme="majorHAnsi" w:hAnsiTheme="majorHAnsi" w:cstheme="majorHAnsi"/>
          <w:sz w:val="22"/>
          <w:szCs w:val="22"/>
        </w:rPr>
        <w:t xml:space="preserve"> cases</w:t>
      </w:r>
      <w:r w:rsidR="0015306E" w:rsidRPr="005759D1">
        <w:rPr>
          <w:rFonts w:asciiTheme="majorHAnsi" w:hAnsiTheme="majorHAnsi" w:cstheme="majorHAnsi"/>
          <w:sz w:val="22"/>
          <w:szCs w:val="22"/>
        </w:rPr>
        <w:t xml:space="preserve"> in approximately </w:t>
      </w:r>
      <w:r w:rsidRPr="005759D1">
        <w:rPr>
          <w:rFonts w:asciiTheme="majorHAnsi" w:hAnsiTheme="majorHAnsi" w:cstheme="majorHAnsi"/>
          <w:sz w:val="22"/>
          <w:szCs w:val="22"/>
        </w:rPr>
        <w:t>8</w:t>
      </w:r>
      <w:r w:rsidR="00794627" w:rsidRPr="005759D1">
        <w:rPr>
          <w:rFonts w:asciiTheme="majorHAnsi" w:hAnsiTheme="majorHAnsi" w:cstheme="majorHAnsi"/>
          <w:sz w:val="22"/>
          <w:szCs w:val="22"/>
        </w:rPr>
        <w:t>-20</w:t>
      </w:r>
      <w:r w:rsidR="0015306E" w:rsidRPr="005759D1">
        <w:rPr>
          <w:rFonts w:asciiTheme="majorHAnsi" w:hAnsiTheme="majorHAnsi" w:cstheme="majorHAnsi"/>
          <w:sz w:val="22"/>
          <w:szCs w:val="22"/>
        </w:rPr>
        <w:t xml:space="preserve"> weeks</w:t>
      </w:r>
      <w:r w:rsidR="00787733" w:rsidRPr="005759D1">
        <w:rPr>
          <w:rFonts w:asciiTheme="majorHAnsi" w:hAnsiTheme="majorHAnsi" w:cstheme="majorHAnsi"/>
          <w:sz w:val="22"/>
          <w:szCs w:val="22"/>
        </w:rPr>
        <w:t xml:space="preserve"> (see table 2</w:t>
      </w:r>
      <w:r w:rsidR="0092217C" w:rsidRPr="005759D1">
        <w:rPr>
          <w:rFonts w:asciiTheme="majorHAnsi" w:hAnsiTheme="majorHAnsi" w:cstheme="majorHAnsi"/>
          <w:sz w:val="22"/>
          <w:szCs w:val="22"/>
        </w:rPr>
        <w:t>)</w:t>
      </w:r>
      <w:r w:rsidR="00AB32D5" w:rsidRPr="005759D1">
        <w:rPr>
          <w:rFonts w:asciiTheme="majorHAnsi" w:hAnsiTheme="majorHAnsi" w:cstheme="majorHAnsi"/>
          <w:sz w:val="22"/>
          <w:szCs w:val="22"/>
        </w:rPr>
        <w:t xml:space="preserve">. Those patients who develop AF </w:t>
      </w:r>
      <w:r w:rsidR="00787733" w:rsidRPr="005759D1">
        <w:rPr>
          <w:rFonts w:asciiTheme="majorHAnsi" w:hAnsiTheme="majorHAnsi" w:cstheme="majorHAnsi"/>
          <w:sz w:val="22"/>
          <w:szCs w:val="22"/>
        </w:rPr>
        <w:t xml:space="preserve">within 30 days </w:t>
      </w:r>
      <w:r w:rsidR="00AB32D5" w:rsidRPr="005759D1">
        <w:rPr>
          <w:rFonts w:asciiTheme="majorHAnsi" w:hAnsiTheme="majorHAnsi" w:cstheme="majorHAnsi"/>
          <w:sz w:val="22"/>
          <w:szCs w:val="22"/>
        </w:rPr>
        <w:t xml:space="preserve">post CABG </w:t>
      </w:r>
      <w:r w:rsidR="00787733" w:rsidRPr="005759D1">
        <w:rPr>
          <w:rFonts w:asciiTheme="majorHAnsi" w:hAnsiTheme="majorHAnsi" w:cstheme="majorHAnsi"/>
          <w:sz w:val="22"/>
          <w:szCs w:val="22"/>
        </w:rPr>
        <w:t xml:space="preserve">and were validated by telemetry </w:t>
      </w:r>
      <w:r w:rsidR="00AB32D5" w:rsidRPr="005759D1">
        <w:rPr>
          <w:rFonts w:asciiTheme="majorHAnsi" w:hAnsiTheme="majorHAnsi" w:cstheme="majorHAnsi"/>
          <w:sz w:val="22"/>
          <w:szCs w:val="22"/>
        </w:rPr>
        <w:t xml:space="preserve">will be defined as cases. </w:t>
      </w:r>
      <w:r w:rsidR="006500E6" w:rsidRPr="005759D1">
        <w:rPr>
          <w:rFonts w:asciiTheme="majorHAnsi" w:hAnsiTheme="majorHAnsi" w:cstheme="majorHAnsi"/>
          <w:sz w:val="22"/>
          <w:szCs w:val="22"/>
        </w:rPr>
        <w:t>After the 8</w:t>
      </w:r>
      <w:r w:rsidR="006500E6" w:rsidRPr="005759D1">
        <w:rPr>
          <w:rFonts w:asciiTheme="majorHAnsi" w:hAnsiTheme="majorHAnsi" w:cstheme="majorHAnsi"/>
          <w:sz w:val="22"/>
          <w:szCs w:val="22"/>
          <w:vertAlign w:val="superscript"/>
        </w:rPr>
        <w:t>th</w:t>
      </w:r>
      <w:r w:rsidR="006500E6" w:rsidRPr="005759D1">
        <w:rPr>
          <w:rFonts w:asciiTheme="majorHAnsi" w:hAnsiTheme="majorHAnsi" w:cstheme="majorHAnsi"/>
          <w:sz w:val="22"/>
          <w:szCs w:val="22"/>
        </w:rPr>
        <w:t xml:space="preserve"> case is identified enrollment will cease.  </w:t>
      </w:r>
      <w:r w:rsidR="00AB32D5" w:rsidRPr="005759D1">
        <w:rPr>
          <w:rFonts w:asciiTheme="majorHAnsi" w:hAnsiTheme="majorHAnsi" w:cstheme="majorHAnsi"/>
          <w:sz w:val="22"/>
          <w:szCs w:val="22"/>
        </w:rPr>
        <w:t xml:space="preserve">Using the </w:t>
      </w:r>
      <w:r w:rsidRPr="005759D1">
        <w:rPr>
          <w:rFonts w:asciiTheme="majorHAnsi" w:hAnsiTheme="majorHAnsi" w:cstheme="majorHAnsi"/>
          <w:sz w:val="22"/>
          <w:szCs w:val="22"/>
        </w:rPr>
        <w:t>45</w:t>
      </w:r>
      <w:r w:rsidR="00787733" w:rsidRPr="005759D1">
        <w:rPr>
          <w:rFonts w:asciiTheme="majorHAnsi" w:hAnsiTheme="majorHAnsi" w:cstheme="majorHAnsi"/>
          <w:sz w:val="22"/>
          <w:szCs w:val="22"/>
        </w:rPr>
        <w:t xml:space="preserve"> remaining enrolled patients</w:t>
      </w:r>
      <w:r w:rsidR="006500E6" w:rsidRPr="005759D1">
        <w:rPr>
          <w:rFonts w:asciiTheme="majorHAnsi" w:hAnsiTheme="majorHAnsi" w:cstheme="majorHAnsi"/>
          <w:sz w:val="22"/>
          <w:szCs w:val="22"/>
        </w:rPr>
        <w:t xml:space="preserve"> who do not develop AF within 60 days post CABG</w:t>
      </w:r>
      <w:r w:rsidR="00787733" w:rsidRPr="005759D1">
        <w:rPr>
          <w:rFonts w:asciiTheme="majorHAnsi" w:hAnsiTheme="majorHAnsi" w:cstheme="majorHAnsi"/>
          <w:sz w:val="22"/>
          <w:szCs w:val="22"/>
        </w:rPr>
        <w:t xml:space="preserve">, </w:t>
      </w:r>
      <w:r w:rsidRPr="005759D1">
        <w:rPr>
          <w:rFonts w:asciiTheme="majorHAnsi" w:hAnsiTheme="majorHAnsi" w:cstheme="majorHAnsi"/>
          <w:sz w:val="22"/>
          <w:szCs w:val="22"/>
        </w:rPr>
        <w:t>8</w:t>
      </w:r>
      <w:r w:rsidR="00787733" w:rsidRPr="005759D1">
        <w:rPr>
          <w:rFonts w:asciiTheme="majorHAnsi" w:hAnsiTheme="majorHAnsi" w:cstheme="majorHAnsi"/>
          <w:sz w:val="22"/>
          <w:szCs w:val="22"/>
        </w:rPr>
        <w:t xml:space="preserve"> controls will </w:t>
      </w:r>
      <w:r w:rsidR="00AB32D5" w:rsidRPr="005759D1">
        <w:rPr>
          <w:rFonts w:asciiTheme="majorHAnsi" w:hAnsiTheme="majorHAnsi" w:cstheme="majorHAnsi"/>
          <w:sz w:val="22"/>
          <w:szCs w:val="22"/>
        </w:rPr>
        <w:t xml:space="preserve">be matched to </w:t>
      </w:r>
      <w:r w:rsidR="00787733" w:rsidRPr="005759D1">
        <w:rPr>
          <w:rFonts w:asciiTheme="majorHAnsi" w:hAnsiTheme="majorHAnsi" w:cstheme="majorHAnsi"/>
          <w:sz w:val="22"/>
          <w:szCs w:val="22"/>
        </w:rPr>
        <w:t>the cases</w:t>
      </w:r>
      <w:r w:rsidR="006500E6" w:rsidRPr="005759D1">
        <w:rPr>
          <w:rFonts w:asciiTheme="majorHAnsi" w:hAnsiTheme="majorHAnsi" w:cstheme="majorHAnsi"/>
          <w:sz w:val="22"/>
          <w:szCs w:val="22"/>
        </w:rPr>
        <w:t xml:space="preserve"> as closely as possible.  </w:t>
      </w:r>
      <w:r w:rsidR="00AB32D5" w:rsidRPr="005759D1">
        <w:rPr>
          <w:rFonts w:asciiTheme="majorHAnsi" w:hAnsiTheme="majorHAnsi" w:cstheme="majorHAnsi"/>
          <w:sz w:val="22"/>
          <w:szCs w:val="22"/>
        </w:rPr>
        <w:t xml:space="preserve"> </w:t>
      </w:r>
      <w:r w:rsidR="00787733" w:rsidRPr="005759D1">
        <w:rPr>
          <w:rFonts w:asciiTheme="majorHAnsi" w:hAnsiTheme="majorHAnsi" w:cstheme="majorHAnsi"/>
          <w:sz w:val="22"/>
          <w:szCs w:val="22"/>
        </w:rPr>
        <w:t xml:space="preserve"> </w:t>
      </w:r>
    </w:p>
    <w:p w:rsidR="006403AC" w:rsidRPr="005759D1" w:rsidRDefault="006403AC" w:rsidP="0041765C">
      <w:pPr>
        <w:rPr>
          <w:rFonts w:asciiTheme="majorHAnsi" w:hAnsiTheme="majorHAnsi" w:cstheme="majorHAnsi"/>
          <w:sz w:val="22"/>
          <w:szCs w:val="22"/>
        </w:rPr>
      </w:pPr>
    </w:p>
    <w:p w:rsidR="0041765C" w:rsidRPr="005759D1" w:rsidRDefault="0041765C" w:rsidP="0041765C">
      <w:pPr>
        <w:rPr>
          <w:rFonts w:asciiTheme="majorHAnsi" w:hAnsiTheme="majorHAnsi" w:cstheme="majorHAnsi"/>
          <w:sz w:val="22"/>
          <w:szCs w:val="22"/>
        </w:rPr>
      </w:pPr>
      <w:r w:rsidRPr="00ED697B">
        <w:rPr>
          <w:rFonts w:asciiTheme="majorHAnsi" w:hAnsiTheme="majorHAnsi" w:cstheme="majorHAnsi"/>
          <w:sz w:val="22"/>
          <w:szCs w:val="22"/>
        </w:rPr>
        <w:t xml:space="preserve">Once identified, all cases and controls will be assigned a risk index score based on parameters defined by the </w:t>
      </w:r>
      <w:hyperlink r:id="rId12" w:history="1">
        <w:r w:rsidRPr="00ED697B">
          <w:rPr>
            <w:rFonts w:asciiTheme="majorHAnsi" w:hAnsiTheme="majorHAnsi" w:cstheme="majorHAnsi"/>
            <w:bCs/>
            <w:kern w:val="36"/>
            <w:sz w:val="22"/>
            <w:szCs w:val="22"/>
          </w:rPr>
          <w:t xml:space="preserve"> Perioperative Ischemia Research Group</w:t>
        </w:r>
      </w:hyperlink>
      <w:r w:rsidRPr="00ED697B">
        <w:rPr>
          <w:rFonts w:asciiTheme="majorHAnsi" w:hAnsiTheme="majorHAnsi" w:cstheme="majorHAnsi"/>
          <w:bCs/>
          <w:kern w:val="36"/>
          <w:sz w:val="22"/>
          <w:szCs w:val="22"/>
        </w:rPr>
        <w:t xml:space="preserve"> (</w:t>
      </w:r>
      <w:r w:rsidRPr="00ED697B">
        <w:rPr>
          <w:rFonts w:asciiTheme="majorHAnsi" w:hAnsiTheme="majorHAnsi" w:cstheme="majorHAnsi"/>
          <w:sz w:val="22"/>
          <w:szCs w:val="22"/>
        </w:rPr>
        <w:t>1)</w:t>
      </w:r>
      <w:r w:rsidR="00794627" w:rsidRPr="00ED697B">
        <w:rPr>
          <w:rFonts w:asciiTheme="majorHAnsi" w:hAnsiTheme="majorHAnsi" w:cstheme="majorHAnsi"/>
          <w:sz w:val="22"/>
          <w:szCs w:val="22"/>
        </w:rPr>
        <w:t xml:space="preserve">.  While patients will not be matched on risk score, calculation of this parameter will provide information regarding the added value of a screening biomarker to risk score data and to evaluate whether cases differ substantially from controls with respect to risk scores.  In addition although numbers will limit analyses, </w:t>
      </w:r>
      <w:r w:rsidR="00ED697B">
        <w:rPr>
          <w:rFonts w:asciiTheme="majorHAnsi" w:hAnsiTheme="majorHAnsi" w:cstheme="majorHAnsi"/>
          <w:sz w:val="22"/>
          <w:szCs w:val="22"/>
        </w:rPr>
        <w:t xml:space="preserve"> </w:t>
      </w:r>
      <w:r w:rsidR="00794627" w:rsidRPr="00ED697B">
        <w:rPr>
          <w:rFonts w:asciiTheme="majorHAnsi" w:hAnsiTheme="majorHAnsi" w:cstheme="majorHAnsi"/>
          <w:sz w:val="22"/>
          <w:szCs w:val="22"/>
        </w:rPr>
        <w:t xml:space="preserve">  In future</w:t>
      </w:r>
      <w:r w:rsidR="009660DA" w:rsidRPr="00ED697B">
        <w:rPr>
          <w:rFonts w:asciiTheme="majorHAnsi" w:hAnsiTheme="majorHAnsi" w:cstheme="majorHAnsi"/>
          <w:sz w:val="22"/>
          <w:szCs w:val="22"/>
        </w:rPr>
        <w:t xml:space="preserve"> statistically powered studies</w:t>
      </w:r>
      <w:r w:rsidR="00794627" w:rsidRPr="00ED697B">
        <w:rPr>
          <w:rFonts w:asciiTheme="majorHAnsi" w:hAnsiTheme="majorHAnsi" w:cstheme="majorHAnsi"/>
          <w:sz w:val="22"/>
          <w:szCs w:val="22"/>
        </w:rPr>
        <w:t xml:space="preserve">, </w:t>
      </w:r>
      <w:r w:rsidR="009660DA" w:rsidRPr="00ED697B">
        <w:rPr>
          <w:rFonts w:asciiTheme="majorHAnsi" w:hAnsiTheme="majorHAnsi" w:cstheme="majorHAnsi"/>
          <w:sz w:val="22"/>
          <w:szCs w:val="22"/>
        </w:rPr>
        <w:t xml:space="preserve">statistical </w:t>
      </w:r>
      <w:r w:rsidR="00794627" w:rsidRPr="00ED697B">
        <w:rPr>
          <w:rFonts w:asciiTheme="majorHAnsi" w:hAnsiTheme="majorHAnsi" w:cstheme="majorHAnsi"/>
          <w:sz w:val="22"/>
          <w:szCs w:val="22"/>
        </w:rPr>
        <w:t>model</w:t>
      </w:r>
      <w:r w:rsidR="009660DA" w:rsidRPr="00ED697B">
        <w:rPr>
          <w:rFonts w:asciiTheme="majorHAnsi" w:hAnsiTheme="majorHAnsi" w:cstheme="majorHAnsi"/>
          <w:sz w:val="22"/>
          <w:szCs w:val="22"/>
        </w:rPr>
        <w:t xml:space="preserve">ing </w:t>
      </w:r>
      <w:r w:rsidR="00794627" w:rsidRPr="00ED697B">
        <w:rPr>
          <w:rFonts w:asciiTheme="majorHAnsi" w:hAnsiTheme="majorHAnsi" w:cstheme="majorHAnsi"/>
          <w:sz w:val="22"/>
          <w:szCs w:val="22"/>
        </w:rPr>
        <w:t xml:space="preserve">of </w:t>
      </w:r>
      <w:r w:rsidR="009660DA" w:rsidRPr="00ED697B">
        <w:rPr>
          <w:rFonts w:asciiTheme="majorHAnsi" w:hAnsiTheme="majorHAnsi" w:cstheme="majorHAnsi"/>
          <w:sz w:val="22"/>
          <w:szCs w:val="22"/>
        </w:rPr>
        <w:t xml:space="preserve">the contribution of </w:t>
      </w:r>
      <w:r w:rsidR="00794627" w:rsidRPr="00ED697B">
        <w:rPr>
          <w:rFonts w:asciiTheme="majorHAnsi" w:hAnsiTheme="majorHAnsi" w:cstheme="majorHAnsi"/>
          <w:sz w:val="22"/>
          <w:szCs w:val="22"/>
        </w:rPr>
        <w:t xml:space="preserve">different variables </w:t>
      </w:r>
      <w:r w:rsidR="009660DA" w:rsidRPr="00ED697B">
        <w:rPr>
          <w:rFonts w:asciiTheme="majorHAnsi" w:hAnsiTheme="majorHAnsi" w:cstheme="majorHAnsi"/>
          <w:sz w:val="22"/>
          <w:szCs w:val="22"/>
        </w:rPr>
        <w:t>contributing risk of POAF onset is planned.</w:t>
      </w:r>
      <w:r w:rsidR="009660DA" w:rsidRPr="005759D1">
        <w:rPr>
          <w:rFonts w:asciiTheme="majorHAnsi" w:hAnsiTheme="majorHAnsi" w:cstheme="majorHAnsi"/>
          <w:sz w:val="22"/>
          <w:szCs w:val="22"/>
        </w:rPr>
        <w:t xml:space="preserve">  </w:t>
      </w:r>
    </w:p>
    <w:p w:rsidR="00456ECF" w:rsidRPr="005759D1" w:rsidRDefault="00456ECF" w:rsidP="00AB32D5">
      <w:pPr>
        <w:rPr>
          <w:rFonts w:asciiTheme="majorHAnsi" w:hAnsiTheme="majorHAnsi" w:cstheme="majorHAnsi"/>
          <w:sz w:val="22"/>
          <w:szCs w:val="22"/>
        </w:rPr>
      </w:pPr>
    </w:p>
    <w:p w:rsidR="00AB32D5" w:rsidRPr="005759D1" w:rsidRDefault="00AB32D5" w:rsidP="00AB32D5">
      <w:pPr>
        <w:rPr>
          <w:rFonts w:asciiTheme="majorHAnsi" w:hAnsiTheme="majorHAnsi" w:cstheme="majorHAnsi"/>
          <w:sz w:val="22"/>
          <w:szCs w:val="22"/>
        </w:rPr>
      </w:pPr>
      <w:r w:rsidRPr="005759D1">
        <w:rPr>
          <w:rFonts w:asciiTheme="majorHAnsi" w:hAnsiTheme="majorHAnsi" w:cstheme="majorHAnsi"/>
          <w:sz w:val="22"/>
          <w:szCs w:val="22"/>
        </w:rPr>
        <w:t>4) Specimen Collection</w:t>
      </w:r>
    </w:p>
    <w:p w:rsidR="00836AF0" w:rsidRPr="005759D1" w:rsidRDefault="00245A31" w:rsidP="00AB32D5">
      <w:pPr>
        <w:rPr>
          <w:rFonts w:asciiTheme="majorHAnsi" w:hAnsiTheme="majorHAnsi" w:cstheme="majorHAnsi"/>
          <w:sz w:val="22"/>
          <w:szCs w:val="22"/>
        </w:rPr>
      </w:pPr>
      <w:r w:rsidRPr="005759D1">
        <w:rPr>
          <w:rFonts w:asciiTheme="majorHAnsi" w:hAnsiTheme="majorHAnsi" w:cstheme="majorHAnsi"/>
          <w:sz w:val="22"/>
          <w:szCs w:val="22"/>
        </w:rPr>
        <w:t xml:space="preserve">Blood will be collected </w:t>
      </w:r>
      <w:r w:rsidR="000B159B" w:rsidRPr="005759D1">
        <w:rPr>
          <w:rFonts w:asciiTheme="majorHAnsi" w:hAnsiTheme="majorHAnsi" w:cstheme="majorHAnsi"/>
          <w:sz w:val="22"/>
          <w:szCs w:val="22"/>
        </w:rPr>
        <w:t xml:space="preserve">within 24 hours prior to surgery </w:t>
      </w:r>
      <w:r w:rsidRPr="005759D1">
        <w:rPr>
          <w:rFonts w:asciiTheme="majorHAnsi" w:hAnsiTheme="majorHAnsi" w:cstheme="majorHAnsi"/>
          <w:sz w:val="22"/>
          <w:szCs w:val="22"/>
        </w:rPr>
        <w:t xml:space="preserve">and </w:t>
      </w:r>
      <w:r w:rsidR="000B159B" w:rsidRPr="005759D1">
        <w:rPr>
          <w:rFonts w:asciiTheme="majorHAnsi" w:hAnsiTheme="majorHAnsi" w:cstheme="majorHAnsi"/>
          <w:sz w:val="22"/>
          <w:szCs w:val="22"/>
        </w:rPr>
        <w:t>within 24 hours post CABG.  S</w:t>
      </w:r>
      <w:r w:rsidRPr="005759D1">
        <w:rPr>
          <w:rFonts w:asciiTheme="majorHAnsi" w:hAnsiTheme="majorHAnsi" w:cstheme="majorHAnsi"/>
          <w:sz w:val="22"/>
          <w:szCs w:val="22"/>
        </w:rPr>
        <w:t>erum will be collected by centrifugation follow</w:t>
      </w:r>
      <w:r w:rsidR="00C863F5" w:rsidRPr="005759D1">
        <w:rPr>
          <w:rFonts w:asciiTheme="majorHAnsi" w:hAnsiTheme="majorHAnsi" w:cstheme="majorHAnsi"/>
          <w:sz w:val="22"/>
          <w:szCs w:val="22"/>
        </w:rPr>
        <w:t>ing</w:t>
      </w:r>
      <w:r w:rsidRPr="005759D1">
        <w:rPr>
          <w:rFonts w:asciiTheme="majorHAnsi" w:hAnsiTheme="majorHAnsi" w:cstheme="majorHAnsi"/>
          <w:sz w:val="22"/>
          <w:szCs w:val="22"/>
        </w:rPr>
        <w:t xml:space="preserve"> removal of the clotted materials.  </w:t>
      </w:r>
      <w:r w:rsidR="00B82CB7" w:rsidRPr="005759D1">
        <w:rPr>
          <w:rFonts w:asciiTheme="majorHAnsi" w:hAnsiTheme="majorHAnsi" w:cstheme="majorHAnsi"/>
          <w:sz w:val="22"/>
          <w:szCs w:val="22"/>
        </w:rPr>
        <w:t xml:space="preserve">Post CABG serum samples will be banked for a future study.  </w:t>
      </w:r>
    </w:p>
    <w:p w:rsidR="00836AF0" w:rsidRPr="005759D1" w:rsidRDefault="00836AF0" w:rsidP="00AB32D5">
      <w:pPr>
        <w:rPr>
          <w:rFonts w:asciiTheme="majorHAnsi" w:hAnsiTheme="majorHAnsi" w:cstheme="majorHAnsi"/>
          <w:sz w:val="22"/>
          <w:szCs w:val="22"/>
        </w:rPr>
      </w:pPr>
    </w:p>
    <w:p w:rsidR="00836AF0" w:rsidRPr="005759D1" w:rsidRDefault="00836AF0" w:rsidP="00AB32D5">
      <w:pPr>
        <w:rPr>
          <w:rFonts w:asciiTheme="majorHAnsi" w:hAnsiTheme="majorHAnsi" w:cstheme="majorHAnsi"/>
          <w:sz w:val="22"/>
          <w:szCs w:val="22"/>
        </w:rPr>
      </w:pPr>
      <w:r w:rsidRPr="005759D1">
        <w:rPr>
          <w:rFonts w:asciiTheme="majorHAnsi" w:hAnsiTheme="majorHAnsi" w:cstheme="majorHAnsi"/>
          <w:sz w:val="22"/>
          <w:szCs w:val="22"/>
        </w:rPr>
        <w:t>5) Establish 3</w:t>
      </w:r>
      <w:r w:rsidR="00A56EAD" w:rsidRPr="005759D1">
        <w:rPr>
          <w:rFonts w:asciiTheme="majorHAnsi" w:hAnsiTheme="majorHAnsi" w:cstheme="majorHAnsi"/>
          <w:sz w:val="22"/>
          <w:szCs w:val="22"/>
        </w:rPr>
        <w:t>84</w:t>
      </w:r>
      <w:r w:rsidRPr="005759D1">
        <w:rPr>
          <w:rFonts w:asciiTheme="majorHAnsi" w:hAnsiTheme="majorHAnsi" w:cstheme="majorHAnsi"/>
          <w:sz w:val="22"/>
          <w:szCs w:val="22"/>
        </w:rPr>
        <w:t xml:space="preserve">-well </w:t>
      </w:r>
      <w:r w:rsidR="00A56EAD" w:rsidRPr="005759D1">
        <w:rPr>
          <w:rFonts w:asciiTheme="majorHAnsi" w:hAnsiTheme="majorHAnsi" w:cstheme="majorHAnsi"/>
          <w:sz w:val="22"/>
          <w:szCs w:val="22"/>
        </w:rPr>
        <w:t>Array</w:t>
      </w:r>
      <w:r w:rsidRPr="005759D1">
        <w:rPr>
          <w:rFonts w:asciiTheme="majorHAnsi" w:hAnsiTheme="majorHAnsi" w:cstheme="majorHAnsi"/>
          <w:sz w:val="22"/>
          <w:szCs w:val="22"/>
        </w:rPr>
        <w:t xml:space="preserve"> </w:t>
      </w:r>
      <w:r w:rsidR="0037093E" w:rsidRPr="005759D1">
        <w:rPr>
          <w:rFonts w:asciiTheme="majorHAnsi" w:hAnsiTheme="majorHAnsi" w:cstheme="majorHAnsi"/>
          <w:sz w:val="22"/>
          <w:szCs w:val="22"/>
        </w:rPr>
        <w:t xml:space="preserve">Protocols </w:t>
      </w:r>
      <w:r w:rsidR="00A56EAD" w:rsidRPr="005759D1">
        <w:rPr>
          <w:rFonts w:asciiTheme="majorHAnsi" w:hAnsiTheme="majorHAnsi" w:cstheme="majorHAnsi"/>
          <w:sz w:val="22"/>
          <w:szCs w:val="22"/>
        </w:rPr>
        <w:t>in three sequential phases</w:t>
      </w:r>
    </w:p>
    <w:p w:rsidR="00A56EAD" w:rsidRPr="005759D1" w:rsidRDefault="00A56EAD" w:rsidP="00864AD8">
      <w:pPr>
        <w:ind w:firstLine="720"/>
        <w:rPr>
          <w:rFonts w:asciiTheme="majorHAnsi" w:hAnsiTheme="majorHAnsi" w:cstheme="majorHAnsi"/>
          <w:sz w:val="22"/>
          <w:szCs w:val="22"/>
        </w:rPr>
      </w:pPr>
      <w:r w:rsidRPr="005759D1">
        <w:rPr>
          <w:rFonts w:asciiTheme="majorHAnsi" w:hAnsiTheme="majorHAnsi" w:cstheme="majorHAnsi"/>
          <w:sz w:val="22"/>
          <w:szCs w:val="22"/>
        </w:rPr>
        <w:t xml:space="preserve">a) </w:t>
      </w:r>
      <w:r w:rsidRPr="005759D1">
        <w:rPr>
          <w:rFonts w:asciiTheme="majorHAnsi" w:hAnsiTheme="majorHAnsi" w:cstheme="majorHAnsi"/>
          <w:sz w:val="22"/>
          <w:szCs w:val="22"/>
          <w:u w:val="single"/>
        </w:rPr>
        <w:t>Phase One</w:t>
      </w:r>
      <w:r w:rsidRPr="005759D1">
        <w:rPr>
          <w:rFonts w:asciiTheme="majorHAnsi" w:hAnsiTheme="majorHAnsi" w:cstheme="majorHAnsi"/>
          <w:sz w:val="22"/>
          <w:szCs w:val="22"/>
        </w:rPr>
        <w:t>:  Run Qiagen’s Human Serum &amp; Plasma miScript miRNA Array profiling 84 miRNA’s using the 384 well format to test 4 samples (2 cases and 2 controls) and repeat on a separate day to establish in house miRNA handling protocols and test sensitivity, specificity and repr</w:t>
      </w:r>
      <w:r w:rsidR="00C863F5" w:rsidRPr="005759D1">
        <w:rPr>
          <w:rFonts w:asciiTheme="majorHAnsi" w:hAnsiTheme="majorHAnsi" w:cstheme="majorHAnsi"/>
          <w:sz w:val="22"/>
          <w:szCs w:val="22"/>
        </w:rPr>
        <w:t>o</w:t>
      </w:r>
      <w:r w:rsidRPr="005759D1">
        <w:rPr>
          <w:rFonts w:asciiTheme="majorHAnsi" w:hAnsiTheme="majorHAnsi" w:cstheme="majorHAnsi"/>
          <w:sz w:val="22"/>
          <w:szCs w:val="22"/>
        </w:rPr>
        <w:t>duc</w:t>
      </w:r>
      <w:r w:rsidR="00795AF5" w:rsidRPr="005759D1">
        <w:rPr>
          <w:rFonts w:asciiTheme="majorHAnsi" w:hAnsiTheme="majorHAnsi" w:cstheme="majorHAnsi"/>
          <w:sz w:val="22"/>
          <w:szCs w:val="22"/>
        </w:rPr>
        <w:t>i</w:t>
      </w:r>
      <w:r w:rsidRPr="005759D1">
        <w:rPr>
          <w:rFonts w:asciiTheme="majorHAnsi" w:hAnsiTheme="majorHAnsi" w:cstheme="majorHAnsi"/>
          <w:sz w:val="22"/>
          <w:szCs w:val="22"/>
        </w:rPr>
        <w:t>bility of the commercial assay in our laboratory.</w:t>
      </w:r>
      <w:r w:rsidR="00795AF5" w:rsidRPr="005759D1">
        <w:rPr>
          <w:rFonts w:asciiTheme="majorHAnsi" w:hAnsiTheme="majorHAnsi" w:cstheme="majorHAnsi"/>
          <w:sz w:val="22"/>
          <w:szCs w:val="22"/>
        </w:rPr>
        <w:t xml:space="preserve">  </w:t>
      </w:r>
      <w:r w:rsidRPr="005759D1">
        <w:rPr>
          <w:rFonts w:asciiTheme="majorHAnsi" w:hAnsiTheme="majorHAnsi" w:cstheme="majorHAnsi"/>
          <w:sz w:val="22"/>
          <w:szCs w:val="22"/>
        </w:rPr>
        <w:t xml:space="preserve">Test plates will be provided in kind by the manufacturer, SABiosystems/(Qiagen). </w:t>
      </w:r>
      <w:r w:rsidR="00795AF5" w:rsidRPr="005759D1">
        <w:rPr>
          <w:rFonts w:asciiTheme="majorHAnsi" w:hAnsiTheme="majorHAnsi" w:cstheme="majorHAnsi"/>
          <w:sz w:val="22"/>
          <w:szCs w:val="22"/>
        </w:rPr>
        <w:t xml:space="preserve"> </w:t>
      </w:r>
      <w:r w:rsidRPr="005759D1">
        <w:rPr>
          <w:rFonts w:asciiTheme="majorHAnsi" w:hAnsiTheme="majorHAnsi" w:cstheme="majorHAnsi"/>
          <w:sz w:val="22"/>
          <w:szCs w:val="22"/>
        </w:rPr>
        <w:t>These will be used to establish lab protocols and for lab staff training and experience resulting in proficient microfluidics handling of the 384-well plate owned by the lab which can then be used for this and future studies.</w:t>
      </w:r>
    </w:p>
    <w:p w:rsidR="00A56EAD" w:rsidRPr="005759D1" w:rsidRDefault="00A56EAD" w:rsidP="00864AD8">
      <w:pPr>
        <w:ind w:firstLine="720"/>
        <w:rPr>
          <w:rFonts w:asciiTheme="majorHAnsi" w:hAnsiTheme="majorHAnsi" w:cstheme="majorHAnsi"/>
          <w:sz w:val="22"/>
          <w:szCs w:val="22"/>
        </w:rPr>
      </w:pPr>
      <w:r w:rsidRPr="005759D1">
        <w:rPr>
          <w:rFonts w:asciiTheme="majorHAnsi" w:hAnsiTheme="majorHAnsi" w:cstheme="majorHAnsi"/>
          <w:sz w:val="22"/>
          <w:szCs w:val="22"/>
        </w:rPr>
        <w:t xml:space="preserve">b) </w:t>
      </w:r>
      <w:r w:rsidRPr="005759D1">
        <w:rPr>
          <w:rFonts w:asciiTheme="majorHAnsi" w:hAnsiTheme="majorHAnsi" w:cstheme="majorHAnsi"/>
          <w:sz w:val="22"/>
          <w:szCs w:val="22"/>
          <w:u w:val="single"/>
        </w:rPr>
        <w:t>Phase Two</w:t>
      </w:r>
      <w:r w:rsidRPr="005759D1">
        <w:rPr>
          <w:rFonts w:asciiTheme="majorHAnsi" w:hAnsiTheme="majorHAnsi" w:cstheme="majorHAnsi"/>
          <w:sz w:val="22"/>
          <w:szCs w:val="22"/>
        </w:rPr>
        <w:t>:  Run</w:t>
      </w:r>
      <w:r w:rsidR="00DC60A2" w:rsidRPr="005759D1">
        <w:rPr>
          <w:rFonts w:asciiTheme="majorHAnsi" w:hAnsiTheme="majorHAnsi" w:cstheme="majorHAnsi"/>
          <w:sz w:val="22"/>
          <w:szCs w:val="22"/>
        </w:rPr>
        <w:t xml:space="preserve"> </w:t>
      </w:r>
      <w:r w:rsidRPr="005759D1">
        <w:rPr>
          <w:rFonts w:asciiTheme="majorHAnsi" w:hAnsiTheme="majorHAnsi" w:cstheme="majorHAnsi"/>
          <w:sz w:val="22"/>
          <w:szCs w:val="22"/>
        </w:rPr>
        <w:t>miRNome miRNA PCR arra</w:t>
      </w:r>
      <w:r w:rsidR="00DC60A2" w:rsidRPr="005759D1">
        <w:rPr>
          <w:rFonts w:asciiTheme="majorHAnsi" w:hAnsiTheme="majorHAnsi" w:cstheme="majorHAnsi"/>
          <w:sz w:val="22"/>
          <w:szCs w:val="22"/>
        </w:rPr>
        <w:t xml:space="preserve">ys (SABiosystems/(Qiagen) </w:t>
      </w:r>
      <w:r w:rsidRPr="005759D1">
        <w:rPr>
          <w:rFonts w:asciiTheme="majorHAnsi" w:hAnsiTheme="majorHAnsi" w:cstheme="majorHAnsi"/>
          <w:sz w:val="22"/>
          <w:szCs w:val="22"/>
        </w:rPr>
        <w:t xml:space="preserve"> to test one case and one control in duplicate to QA this array.</w:t>
      </w:r>
    </w:p>
    <w:p w:rsidR="00A56EAD" w:rsidRPr="005759D1" w:rsidRDefault="00A56EAD" w:rsidP="00864AD8">
      <w:pPr>
        <w:ind w:firstLine="720"/>
        <w:rPr>
          <w:rFonts w:asciiTheme="majorHAnsi" w:hAnsiTheme="majorHAnsi" w:cstheme="majorHAnsi"/>
          <w:sz w:val="22"/>
          <w:szCs w:val="22"/>
        </w:rPr>
      </w:pPr>
      <w:r w:rsidRPr="005759D1">
        <w:rPr>
          <w:rFonts w:asciiTheme="majorHAnsi" w:hAnsiTheme="majorHAnsi" w:cstheme="majorHAnsi"/>
          <w:sz w:val="22"/>
          <w:szCs w:val="22"/>
        </w:rPr>
        <w:t xml:space="preserve">c) </w:t>
      </w:r>
      <w:r w:rsidRPr="005759D1">
        <w:rPr>
          <w:rFonts w:asciiTheme="majorHAnsi" w:hAnsiTheme="majorHAnsi" w:cstheme="majorHAnsi"/>
          <w:sz w:val="22"/>
          <w:szCs w:val="22"/>
          <w:u w:val="single"/>
        </w:rPr>
        <w:t>Phase Three</w:t>
      </w:r>
      <w:r w:rsidRPr="005759D1">
        <w:rPr>
          <w:rFonts w:asciiTheme="majorHAnsi" w:hAnsiTheme="majorHAnsi" w:cstheme="majorHAnsi"/>
          <w:sz w:val="22"/>
          <w:szCs w:val="22"/>
        </w:rPr>
        <w:t>:  Run miRNome miRNA PCR arrays</w:t>
      </w:r>
      <w:r w:rsidR="00DC60A2" w:rsidRPr="005759D1">
        <w:rPr>
          <w:rFonts w:asciiTheme="majorHAnsi" w:hAnsiTheme="majorHAnsi" w:cstheme="majorHAnsi"/>
          <w:sz w:val="22"/>
          <w:szCs w:val="22"/>
        </w:rPr>
        <w:t xml:space="preserve"> (SABiosystems/(Qiagen) </w:t>
      </w:r>
      <w:r w:rsidRPr="005759D1">
        <w:rPr>
          <w:rFonts w:asciiTheme="majorHAnsi" w:hAnsiTheme="majorHAnsi" w:cstheme="majorHAnsi"/>
          <w:sz w:val="22"/>
          <w:szCs w:val="22"/>
        </w:rPr>
        <w:t xml:space="preserve"> to test the remaining 14 samples   (7 cases and 7 controls).</w:t>
      </w:r>
    </w:p>
    <w:p w:rsidR="0037093E" w:rsidRPr="005759D1" w:rsidRDefault="0037093E" w:rsidP="00AB32D5">
      <w:pPr>
        <w:rPr>
          <w:rFonts w:asciiTheme="majorHAnsi" w:hAnsiTheme="majorHAnsi" w:cstheme="majorHAnsi"/>
          <w:sz w:val="22"/>
          <w:szCs w:val="22"/>
        </w:rPr>
      </w:pPr>
    </w:p>
    <w:p w:rsidR="00640624" w:rsidRPr="005759D1" w:rsidRDefault="0037093E" w:rsidP="00AB32D5">
      <w:pPr>
        <w:rPr>
          <w:rFonts w:asciiTheme="majorHAnsi" w:hAnsiTheme="majorHAnsi" w:cstheme="majorHAnsi"/>
          <w:sz w:val="22"/>
          <w:szCs w:val="22"/>
        </w:rPr>
      </w:pPr>
      <w:r w:rsidRPr="005759D1">
        <w:rPr>
          <w:rFonts w:asciiTheme="majorHAnsi" w:hAnsiTheme="majorHAnsi" w:cstheme="majorHAnsi"/>
          <w:sz w:val="22"/>
          <w:szCs w:val="22"/>
        </w:rPr>
        <w:t xml:space="preserve">6) </w:t>
      </w:r>
      <w:r w:rsidR="00245A31" w:rsidRPr="005759D1">
        <w:rPr>
          <w:rFonts w:asciiTheme="majorHAnsi" w:hAnsiTheme="majorHAnsi" w:cstheme="majorHAnsi"/>
          <w:sz w:val="22"/>
          <w:szCs w:val="22"/>
        </w:rPr>
        <w:t xml:space="preserve">MicroRNA will be processed according to manufacturer’s instructions and reverse transcribed into cDNA using the following protocol.  An internal marker is added to the serum to allow quantitation based on the known variable.  </w:t>
      </w:r>
    </w:p>
    <w:p w:rsidR="00245A31" w:rsidRPr="005759D1" w:rsidRDefault="00245A31" w:rsidP="00AB32D5">
      <w:pPr>
        <w:rPr>
          <w:rFonts w:asciiTheme="majorHAnsi" w:hAnsiTheme="majorHAnsi" w:cstheme="majorHAnsi"/>
          <w:sz w:val="22"/>
          <w:szCs w:val="22"/>
        </w:rPr>
      </w:pPr>
    </w:p>
    <w:p w:rsidR="00AB32D5" w:rsidRPr="005759D1" w:rsidRDefault="0037093E" w:rsidP="00AB32D5">
      <w:pPr>
        <w:rPr>
          <w:rFonts w:asciiTheme="majorHAnsi" w:hAnsiTheme="majorHAnsi" w:cstheme="majorHAnsi"/>
          <w:i/>
          <w:sz w:val="22"/>
          <w:szCs w:val="22"/>
        </w:rPr>
      </w:pPr>
      <w:r w:rsidRPr="005759D1">
        <w:rPr>
          <w:rFonts w:asciiTheme="majorHAnsi" w:hAnsiTheme="majorHAnsi" w:cstheme="majorHAnsi"/>
          <w:sz w:val="22"/>
          <w:szCs w:val="22"/>
        </w:rPr>
        <w:t>7</w:t>
      </w:r>
      <w:r w:rsidR="0094760B" w:rsidRPr="005759D1">
        <w:rPr>
          <w:rFonts w:asciiTheme="majorHAnsi" w:hAnsiTheme="majorHAnsi" w:cstheme="majorHAnsi"/>
          <w:sz w:val="22"/>
          <w:szCs w:val="22"/>
        </w:rPr>
        <w:t xml:space="preserve">) </w:t>
      </w:r>
      <w:r w:rsidR="00640624" w:rsidRPr="005759D1">
        <w:rPr>
          <w:rFonts w:asciiTheme="majorHAnsi" w:hAnsiTheme="majorHAnsi" w:cstheme="majorHAnsi"/>
          <w:i/>
          <w:sz w:val="22"/>
          <w:szCs w:val="22"/>
        </w:rPr>
        <w:t>miRNA Assay description:</w:t>
      </w:r>
    </w:p>
    <w:p w:rsidR="00C36211" w:rsidRPr="005759D1" w:rsidRDefault="00C36211" w:rsidP="00697DE5">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An outline from the manufacturer’s website of the </w:t>
      </w:r>
      <w:r w:rsidR="00661D9A" w:rsidRPr="005759D1">
        <w:rPr>
          <w:rFonts w:asciiTheme="majorHAnsi" w:hAnsiTheme="majorHAnsi" w:cstheme="majorHAnsi"/>
          <w:sz w:val="22"/>
          <w:szCs w:val="22"/>
        </w:rPr>
        <w:t>SABiosystems/(</w:t>
      </w:r>
      <w:r w:rsidRPr="005759D1">
        <w:rPr>
          <w:rFonts w:asciiTheme="majorHAnsi" w:hAnsiTheme="majorHAnsi" w:cstheme="majorHAnsi"/>
          <w:sz w:val="22"/>
          <w:szCs w:val="22"/>
        </w:rPr>
        <w:t>Qiagen</w:t>
      </w:r>
      <w:r w:rsidR="00661D9A" w:rsidRPr="005759D1">
        <w:rPr>
          <w:rFonts w:asciiTheme="majorHAnsi" w:hAnsiTheme="majorHAnsi" w:cstheme="majorHAnsi"/>
          <w:sz w:val="22"/>
          <w:szCs w:val="22"/>
        </w:rPr>
        <w:t>)</w:t>
      </w:r>
      <w:r w:rsidR="00697DE5" w:rsidRPr="005759D1">
        <w:rPr>
          <w:rFonts w:asciiTheme="majorHAnsi" w:hAnsiTheme="majorHAnsi" w:cstheme="majorHAnsi"/>
          <w:sz w:val="22"/>
          <w:szCs w:val="22"/>
        </w:rPr>
        <w:t>/</w:t>
      </w:r>
      <w:r w:rsidRPr="005759D1">
        <w:rPr>
          <w:rFonts w:asciiTheme="majorHAnsi" w:hAnsiTheme="majorHAnsi" w:cstheme="majorHAnsi"/>
          <w:sz w:val="22"/>
          <w:szCs w:val="22"/>
        </w:rPr>
        <w:t xml:space="preserve"> miRNA transcriptome assay to be used in the present study is presented in </w:t>
      </w:r>
      <w:r w:rsidR="009660DA" w:rsidRPr="005759D1">
        <w:rPr>
          <w:rFonts w:asciiTheme="majorHAnsi" w:hAnsiTheme="majorHAnsi" w:cstheme="majorHAnsi"/>
          <w:b/>
          <w:sz w:val="22"/>
          <w:szCs w:val="22"/>
        </w:rPr>
        <w:t>Figure 1</w:t>
      </w:r>
      <w:r w:rsidRPr="005759D1">
        <w:rPr>
          <w:rFonts w:asciiTheme="majorHAnsi" w:hAnsiTheme="majorHAnsi" w:cstheme="majorHAnsi"/>
          <w:b/>
          <w:sz w:val="22"/>
          <w:szCs w:val="22"/>
        </w:rPr>
        <w:t>.</w:t>
      </w:r>
      <w:r w:rsidRPr="005759D1">
        <w:rPr>
          <w:rFonts w:asciiTheme="majorHAnsi" w:hAnsiTheme="majorHAnsi" w:cstheme="majorHAnsi"/>
          <w:sz w:val="22"/>
          <w:szCs w:val="22"/>
        </w:rPr>
        <w:t xml:space="preserve">   The kit comes with an Excel-based data analysis template for easy data analysis and interpretation.  Assay will be run in compliance with the </w:t>
      </w:r>
      <w:r w:rsidR="00697DE5" w:rsidRPr="005759D1">
        <w:rPr>
          <w:rFonts w:asciiTheme="majorHAnsi" w:hAnsiTheme="majorHAnsi" w:cstheme="majorHAnsi"/>
          <w:sz w:val="22"/>
          <w:szCs w:val="22"/>
        </w:rPr>
        <w:t>manufacturer’s instructions.</w:t>
      </w:r>
    </w:p>
    <w:p w:rsidR="00697DE5" w:rsidRPr="005759D1" w:rsidRDefault="00697DE5" w:rsidP="00697DE5">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Briefly the miRNA PCR Array involves reverse transcribing the experimental small</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RNA samples into first</w:t>
      </w:r>
    </w:p>
    <w:p w:rsidR="00697DE5" w:rsidRPr="005759D1" w:rsidRDefault="00697DE5" w:rsidP="00697DE5">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strand cDNA, the template for the PCR, using the RT2 miRNA First</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Strand Kit. (</w:t>
      </w:r>
      <w:r w:rsidR="005F2370" w:rsidRPr="005759D1">
        <w:rPr>
          <w:rFonts w:asciiTheme="majorHAnsi" w:hAnsiTheme="majorHAnsi" w:cstheme="majorHAnsi"/>
          <w:b/>
          <w:sz w:val="22"/>
          <w:szCs w:val="22"/>
        </w:rPr>
        <w:t>Figure 1</w:t>
      </w:r>
      <w:r w:rsidR="005F2370" w:rsidRPr="005759D1">
        <w:rPr>
          <w:rFonts w:asciiTheme="majorHAnsi" w:hAnsiTheme="majorHAnsi" w:cstheme="majorHAnsi"/>
          <w:sz w:val="22"/>
          <w:szCs w:val="22"/>
        </w:rPr>
        <w:t>) The template</w:t>
      </w:r>
    </w:p>
    <w:p w:rsidR="005F2370" w:rsidRPr="005759D1" w:rsidRDefault="00697DE5" w:rsidP="005F2370">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is mixed with ready-to-use RT2 SYBR Green qPCR</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Master mixes. The mixture is aliquotted into each well of the same plate</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containing the pre-dispensed</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miRNA-specific assays</w:t>
      </w:r>
      <w:r w:rsidR="005F2370">
        <w:rPr>
          <w:rFonts w:asciiTheme="majorHAnsi" w:hAnsiTheme="majorHAnsi" w:cstheme="majorHAnsi"/>
          <w:sz w:val="22"/>
          <w:szCs w:val="22"/>
        </w:rPr>
        <w:t>.</w:t>
      </w:r>
    </w:p>
    <w:p w:rsidR="00697DE5" w:rsidRPr="005759D1" w:rsidRDefault="00697DE5" w:rsidP="005F2370">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lastRenderedPageBreak/>
        <w:t>PCR is performed</w:t>
      </w:r>
      <w:r w:rsidR="00C863F5" w:rsidRPr="005759D1">
        <w:rPr>
          <w:rFonts w:asciiTheme="majorHAnsi" w:hAnsiTheme="majorHAnsi" w:cstheme="majorHAnsi"/>
          <w:sz w:val="22"/>
          <w:szCs w:val="22"/>
        </w:rPr>
        <w:t xml:space="preserve"> and</w:t>
      </w:r>
      <w:r w:rsidRPr="005759D1">
        <w:rPr>
          <w:rFonts w:asciiTheme="majorHAnsi" w:hAnsiTheme="majorHAnsi" w:cstheme="majorHAnsi"/>
          <w:sz w:val="22"/>
          <w:szCs w:val="22"/>
        </w:rPr>
        <w:t xml:space="preserve"> relative expression is determined real-time instrument and ΔΔCt method. The small nuclear RNA housekeeping assay panel (HK1 – HK4), including:</w:t>
      </w:r>
      <w:r w:rsid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SNORD 48, 47, 44</w:t>
      </w:r>
      <w:r w:rsidR="005F2370" w:rsidRPr="005F2370">
        <w:rPr>
          <w:rFonts w:asciiTheme="majorHAnsi" w:hAnsiTheme="majorHAnsi" w:cstheme="majorHAnsi"/>
          <w:sz w:val="22"/>
          <w:szCs w:val="22"/>
        </w:rPr>
        <w:t xml:space="preserve"> </w:t>
      </w:r>
      <w:r w:rsidR="005F2370" w:rsidRPr="005759D1">
        <w:rPr>
          <w:rFonts w:asciiTheme="majorHAnsi" w:hAnsiTheme="majorHAnsi" w:cstheme="majorHAnsi"/>
          <w:sz w:val="22"/>
          <w:szCs w:val="22"/>
        </w:rPr>
        <w:t>and U6, normalizes qPCR Array data.</w:t>
      </w:r>
    </w:p>
    <w:p w:rsidR="00893D4E" w:rsidRDefault="00893D4E" w:rsidP="00E7572E">
      <w:pPr>
        <w:autoSpaceDE w:val="0"/>
        <w:autoSpaceDN w:val="0"/>
        <w:adjustRightInd w:val="0"/>
        <w:rPr>
          <w:rFonts w:asciiTheme="majorHAnsi" w:hAnsiTheme="majorHAnsi" w:cstheme="majorHAnsi"/>
          <w:b/>
          <w:sz w:val="22"/>
          <w:szCs w:val="22"/>
        </w:rPr>
      </w:pPr>
    </w:p>
    <w:p w:rsidR="00893D4E" w:rsidRPr="00893D4E" w:rsidRDefault="00893D4E" w:rsidP="00E7572E">
      <w:pPr>
        <w:autoSpaceDE w:val="0"/>
        <w:autoSpaceDN w:val="0"/>
        <w:adjustRightInd w:val="0"/>
        <w:rPr>
          <w:rFonts w:asciiTheme="majorHAnsi" w:hAnsiTheme="majorHAnsi" w:cstheme="majorHAnsi"/>
          <w:b/>
          <w:sz w:val="22"/>
          <w:szCs w:val="22"/>
        </w:rPr>
      </w:pPr>
      <w:r w:rsidRPr="00893D4E">
        <w:rPr>
          <w:rFonts w:asciiTheme="majorHAnsi" w:hAnsiTheme="majorHAnsi" w:cstheme="majorHAnsi"/>
          <w:b/>
          <w:sz w:val="22"/>
          <w:szCs w:val="22"/>
        </w:rPr>
        <w:t>Figure 1</w:t>
      </w:r>
    </w:p>
    <w:p w:rsidR="00E7572E" w:rsidRPr="005759D1" w:rsidRDefault="00E7572E" w:rsidP="00E7572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Duplicate Reverse Transcription Controls (RTC) test the efficiency of the RT² miRNA First Strand Kit (cat. no. 331401) reaction with a primer set detecting the template synthesized from the kit’s built-in miRNA External RNA Control (ERC).  Duplicate Positive PCR Controls (PPC) are included to test the efficiency of the polymerase chain reaction itself using a pre-dispensed artificial DNA sequence and the primer set that detects it.</w:t>
      </w:r>
      <w:r w:rsidR="00864AD8" w:rsidRPr="005759D1">
        <w:rPr>
          <w:rFonts w:asciiTheme="majorHAnsi" w:hAnsiTheme="majorHAnsi" w:cstheme="majorHAnsi"/>
          <w:sz w:val="22"/>
          <w:szCs w:val="22"/>
        </w:rPr>
        <w:t xml:space="preserve"> (Please refer to appendix detailed description of assay design, and overview of specificity, sensitivity and reproducibility) </w:t>
      </w:r>
    </w:p>
    <w:p w:rsidR="005F2370" w:rsidRDefault="005F2370" w:rsidP="00B81FD2">
      <w:pPr>
        <w:autoSpaceDE w:val="0"/>
        <w:autoSpaceDN w:val="0"/>
        <w:adjustRightInd w:val="0"/>
        <w:rPr>
          <w:rFonts w:asciiTheme="majorHAnsi" w:hAnsiTheme="majorHAnsi" w:cstheme="majorHAnsi"/>
          <w:sz w:val="22"/>
          <w:szCs w:val="22"/>
        </w:rPr>
      </w:pPr>
    </w:p>
    <w:p w:rsidR="005F2370" w:rsidRPr="005759D1" w:rsidRDefault="005F2370" w:rsidP="005F2370">
      <w:pPr>
        <w:autoSpaceDE w:val="0"/>
        <w:autoSpaceDN w:val="0"/>
        <w:adjustRightInd w:val="0"/>
        <w:rPr>
          <w:rFonts w:asciiTheme="majorHAnsi" w:hAnsiTheme="majorHAnsi" w:cstheme="majorHAnsi"/>
          <w:bCs/>
          <w:i/>
          <w:sz w:val="22"/>
          <w:szCs w:val="22"/>
        </w:rPr>
      </w:pPr>
      <w:r w:rsidRPr="005759D1">
        <w:rPr>
          <w:rFonts w:asciiTheme="majorHAnsi" w:hAnsiTheme="majorHAnsi" w:cstheme="majorHAnsi"/>
          <w:bCs/>
          <w:i/>
          <w:sz w:val="22"/>
          <w:szCs w:val="22"/>
        </w:rPr>
        <w:t>RNA Quality Control:</w:t>
      </w:r>
    </w:p>
    <w:p w:rsidR="005F2370" w:rsidRPr="005759D1" w:rsidRDefault="005F2370" w:rsidP="005F2370">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Samples will be tested to demonstrate consistent quality according to the following criteria:</w:t>
      </w:r>
    </w:p>
    <w:p w:rsidR="005F2370" w:rsidRPr="005759D1" w:rsidRDefault="005F2370" w:rsidP="005F2370">
      <w:pPr>
        <w:autoSpaceDE w:val="0"/>
        <w:autoSpaceDN w:val="0"/>
        <w:adjustRightInd w:val="0"/>
        <w:rPr>
          <w:rFonts w:asciiTheme="majorHAnsi" w:hAnsiTheme="majorHAnsi" w:cstheme="majorHAnsi"/>
          <w:b/>
          <w:bCs/>
          <w:sz w:val="22"/>
          <w:szCs w:val="22"/>
        </w:rPr>
      </w:pPr>
      <w:r w:rsidRPr="005759D1">
        <w:rPr>
          <w:rFonts w:asciiTheme="majorHAnsi" w:hAnsiTheme="majorHAnsi" w:cstheme="majorHAnsi"/>
          <w:b/>
          <w:bCs/>
          <w:sz w:val="22"/>
          <w:szCs w:val="22"/>
        </w:rPr>
        <w:t>a. RNA Concentration and Purity by UV Spectrophotometry</w:t>
      </w:r>
    </w:p>
    <w:p w:rsidR="005F2370" w:rsidRDefault="005F2370" w:rsidP="00B81FD2">
      <w:pPr>
        <w:autoSpaceDE w:val="0"/>
        <w:autoSpaceDN w:val="0"/>
        <w:adjustRightInd w:val="0"/>
        <w:rPr>
          <w:rFonts w:asciiTheme="majorHAnsi" w:hAnsiTheme="majorHAnsi" w:cstheme="majorHAnsi"/>
          <w:sz w:val="22"/>
          <w:szCs w:val="22"/>
        </w:rPr>
      </w:pPr>
      <w:r w:rsidRPr="005759D1">
        <w:rPr>
          <w:rFonts w:asciiTheme="majorHAnsi" w:hAnsiTheme="majorHAnsi" w:cstheme="majorHAnsi"/>
          <w:bCs/>
          <w:sz w:val="22"/>
          <w:szCs w:val="22"/>
        </w:rPr>
        <w:t>D</w:t>
      </w:r>
      <w:r w:rsidRPr="005759D1">
        <w:rPr>
          <w:rFonts w:asciiTheme="majorHAnsi" w:hAnsiTheme="majorHAnsi" w:cstheme="majorHAnsi"/>
          <w:iCs/>
          <w:sz w:val="22"/>
          <w:szCs w:val="22"/>
        </w:rPr>
        <w:t>ilutions will be prepared in 10 mM Tris, pH 8.0 buffer and absorbance measured. The following should be observed:</w:t>
      </w:r>
    </w:p>
    <w:p w:rsidR="00893D4E" w:rsidRDefault="00893D4E" w:rsidP="00B81FD2">
      <w:pPr>
        <w:autoSpaceDE w:val="0"/>
        <w:autoSpaceDN w:val="0"/>
        <w:adjustRightInd w:val="0"/>
        <w:rPr>
          <w:rFonts w:asciiTheme="majorHAnsi" w:hAnsiTheme="majorHAnsi" w:cstheme="majorHAnsi"/>
          <w:sz w:val="22"/>
          <w:szCs w:val="22"/>
        </w:rPr>
      </w:pPr>
    </w:p>
    <w:p w:rsidR="00B81FD2" w:rsidRPr="005759D1" w:rsidRDefault="00B81FD2" w:rsidP="00B81FD2">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i) A260:A230 ratio &gt; 1.7.</w:t>
      </w:r>
    </w:p>
    <w:p w:rsidR="00B81FD2" w:rsidRPr="005759D1" w:rsidRDefault="00B81FD2" w:rsidP="00B81FD2">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ii) A260:A280 ratio &gt; 2.0.</w:t>
      </w:r>
    </w:p>
    <w:p w:rsidR="00893D4E" w:rsidRDefault="00B81FD2"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iii) Concentration by A260 &gt; 10 μg / ml </w:t>
      </w:r>
      <w:r w:rsidR="00893D4E">
        <w:rPr>
          <w:rFonts w:asciiTheme="majorHAnsi" w:hAnsiTheme="majorHAnsi" w:cstheme="majorHAnsi"/>
          <w:sz w:val="22"/>
          <w:szCs w:val="22"/>
        </w:rPr>
        <w:t xml:space="preserve">small RNA </w:t>
      </w:r>
    </w:p>
    <w:p w:rsidR="00893D4E" w:rsidRDefault="00893D4E" w:rsidP="00893D4E">
      <w:pPr>
        <w:autoSpaceDE w:val="0"/>
        <w:autoSpaceDN w:val="0"/>
        <w:adjustRightInd w:val="0"/>
        <w:rPr>
          <w:rFonts w:asciiTheme="majorHAnsi" w:hAnsiTheme="majorHAnsi" w:cstheme="majorHAnsi"/>
          <w:b/>
          <w:sz w:val="22"/>
          <w:szCs w:val="22"/>
        </w:rPr>
      </w:pPr>
    </w:p>
    <w:p w:rsidR="00B81FD2" w:rsidRPr="005759D1" w:rsidRDefault="00893D4E" w:rsidP="00893D4E">
      <w:pPr>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r>
        <w:rPr>
          <w:rFonts w:asciiTheme="majorHAnsi" w:hAnsiTheme="majorHAnsi" w:cstheme="majorHAnsi"/>
          <w:sz w:val="22"/>
          <w:szCs w:val="22"/>
        </w:rPr>
        <w:tab/>
      </w:r>
    </w:p>
    <w:p w:rsidR="00893D4E" w:rsidRDefault="00893D4E" w:rsidP="00B81FD2">
      <w:pPr>
        <w:autoSpaceDE w:val="0"/>
        <w:autoSpaceDN w:val="0"/>
        <w:adjustRightInd w:val="0"/>
        <w:rPr>
          <w:rFonts w:asciiTheme="majorHAnsi" w:hAnsiTheme="majorHAnsi" w:cstheme="majorHAnsi"/>
          <w:b/>
          <w:bCs/>
          <w:sz w:val="22"/>
          <w:szCs w:val="22"/>
        </w:rPr>
      </w:pPr>
    </w:p>
    <w:p w:rsidR="00B81FD2" w:rsidRPr="005759D1" w:rsidRDefault="00B81FD2" w:rsidP="00B81FD2">
      <w:pPr>
        <w:autoSpaceDE w:val="0"/>
        <w:autoSpaceDN w:val="0"/>
        <w:adjustRightInd w:val="0"/>
        <w:rPr>
          <w:rFonts w:asciiTheme="majorHAnsi" w:hAnsiTheme="majorHAnsi" w:cstheme="majorHAnsi"/>
          <w:b/>
          <w:bCs/>
          <w:sz w:val="22"/>
          <w:szCs w:val="22"/>
        </w:rPr>
      </w:pPr>
      <w:r w:rsidRPr="005759D1">
        <w:rPr>
          <w:rFonts w:asciiTheme="majorHAnsi" w:hAnsiTheme="majorHAnsi" w:cstheme="majorHAnsi"/>
          <w:b/>
          <w:bCs/>
          <w:sz w:val="22"/>
          <w:szCs w:val="22"/>
        </w:rPr>
        <w:t>b. RNA Quality &amp; Integrity</w:t>
      </w:r>
    </w:p>
    <w:p w:rsidR="00B81FD2" w:rsidRPr="005759D1" w:rsidRDefault="00F95AE4" w:rsidP="00B81FD2">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Ten nanograms</w:t>
      </w:r>
      <w:r w:rsidR="00B81FD2" w:rsidRPr="005759D1">
        <w:rPr>
          <w:rFonts w:asciiTheme="majorHAnsi" w:hAnsiTheme="majorHAnsi" w:cstheme="majorHAnsi"/>
          <w:sz w:val="22"/>
          <w:szCs w:val="22"/>
        </w:rPr>
        <w:t xml:space="preserve"> of the small RNA should contain a single sharp peak at a low molecular weight with no smearing and no additional peaks at higher molecular weights.</w:t>
      </w:r>
    </w:p>
    <w:p w:rsidR="00B81FD2" w:rsidRPr="005759D1" w:rsidRDefault="00B81FD2" w:rsidP="00B81FD2">
      <w:pPr>
        <w:autoSpaceDE w:val="0"/>
        <w:autoSpaceDN w:val="0"/>
        <w:adjustRightInd w:val="0"/>
        <w:rPr>
          <w:rFonts w:asciiTheme="majorHAnsi" w:hAnsiTheme="majorHAnsi" w:cstheme="majorHAnsi"/>
          <w:b/>
          <w:bCs/>
          <w:sz w:val="22"/>
          <w:szCs w:val="22"/>
        </w:rPr>
      </w:pPr>
    </w:p>
    <w:p w:rsidR="006403AC" w:rsidRPr="005759D1" w:rsidRDefault="006403AC" w:rsidP="006403AC">
      <w:pPr>
        <w:rPr>
          <w:rFonts w:asciiTheme="majorHAnsi" w:hAnsiTheme="majorHAnsi" w:cstheme="majorHAnsi"/>
          <w:b/>
          <w:bCs/>
          <w:sz w:val="22"/>
          <w:szCs w:val="22"/>
        </w:rPr>
      </w:pPr>
      <w:r w:rsidRPr="005759D1">
        <w:rPr>
          <w:rFonts w:asciiTheme="majorHAnsi" w:hAnsiTheme="majorHAnsi" w:cstheme="majorHAnsi"/>
          <w:noProof/>
          <w:sz w:val="22"/>
          <w:szCs w:val="22"/>
        </w:rPr>
        <w:drawing>
          <wp:anchor distT="0" distB="0" distL="114300" distR="114300" simplePos="0" relativeHeight="251658240" behindDoc="1" locked="0" layoutInCell="1" allowOverlap="1" wp14:anchorId="209FAC48" wp14:editId="28A11715">
            <wp:simplePos x="0" y="0"/>
            <wp:positionH relativeFrom="column">
              <wp:posOffset>0</wp:posOffset>
            </wp:positionH>
            <wp:positionV relativeFrom="paragraph">
              <wp:posOffset>-3538220</wp:posOffset>
            </wp:positionV>
            <wp:extent cx="4233545" cy="5275580"/>
            <wp:effectExtent l="0" t="0" r="0" b="1270"/>
            <wp:wrapTight wrapText="bothSides">
              <wp:wrapPolygon edited="0">
                <wp:start x="0" y="0"/>
                <wp:lineTo x="0" y="21527"/>
                <wp:lineTo x="21480" y="21527"/>
                <wp:lineTo x="21480" y="0"/>
                <wp:lineTo x="0" y="0"/>
              </wp:wrapPolygon>
            </wp:wrapTight>
            <wp:docPr id="10" name="disgram" descr="http://www.sabiosciences.com/images/HOWitWORKS_miRNA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gram" descr="http://www.sabiosciences.com/images/HOWitWORKS_miRNA_4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3545" cy="527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59D1">
        <w:rPr>
          <w:rFonts w:asciiTheme="majorHAnsi" w:hAnsiTheme="majorHAnsi" w:cstheme="majorHAnsi"/>
          <w:sz w:val="22"/>
          <w:szCs w:val="22"/>
        </w:rPr>
        <w:t xml:space="preserve">The RT2 miRNA PCR Array is designed to analyze miRNA expression using real-time, reverse transcription PCR, or qRT-PCR, the most sensitive and reliable method for nucleic acid expression analysis currently available. The arrays take advantage of a SYBR® Green real-time PCR detection system designed for high performance to analyze the expression of many mature miRNA sequences simultaneously. The Genome V2.0 RT2 miRNA PCR Arrays contain  </w:t>
      </w:r>
      <w:r w:rsidR="00864AD8" w:rsidRPr="005759D1">
        <w:rPr>
          <w:rFonts w:asciiTheme="majorHAnsi" w:hAnsiTheme="majorHAnsi" w:cstheme="majorHAnsi"/>
          <w:sz w:val="22"/>
          <w:szCs w:val="22"/>
        </w:rPr>
        <w:t xml:space="preserve">1008 </w:t>
      </w:r>
      <w:r w:rsidRPr="005759D1">
        <w:rPr>
          <w:rFonts w:asciiTheme="majorHAnsi" w:hAnsiTheme="majorHAnsi" w:cstheme="majorHAnsi"/>
          <w:sz w:val="22"/>
          <w:szCs w:val="22"/>
        </w:rPr>
        <w:t xml:space="preserve">Human miRNA sequences as annotated by the Sanger miRBase Release. </w:t>
      </w:r>
      <w:hyperlink r:id="rId14" w:history="1">
        <w:r w:rsidRPr="005759D1">
          <w:rPr>
            <w:rStyle w:val="Hyperlink"/>
            <w:rFonts w:asciiTheme="majorHAnsi" w:hAnsiTheme="majorHAnsi" w:cstheme="majorHAnsi"/>
            <w:sz w:val="22"/>
            <w:szCs w:val="22"/>
          </w:rPr>
          <w:t>http://www.sabiosciences.com/Manual/1062758.pdf</w:t>
        </w:r>
      </w:hyperlink>
    </w:p>
    <w:p w:rsidR="006403AC" w:rsidRPr="005759D1" w:rsidRDefault="006403AC" w:rsidP="006403AC">
      <w:pPr>
        <w:autoSpaceDE w:val="0"/>
        <w:autoSpaceDN w:val="0"/>
        <w:adjustRightInd w:val="0"/>
        <w:rPr>
          <w:rFonts w:asciiTheme="majorHAnsi" w:hAnsiTheme="majorHAnsi" w:cstheme="majorHAnsi"/>
          <w:sz w:val="22"/>
          <w:szCs w:val="22"/>
        </w:rPr>
      </w:pPr>
    </w:p>
    <w:p w:rsidR="00893D4E" w:rsidRDefault="00893D4E" w:rsidP="006403AC">
      <w:pPr>
        <w:rPr>
          <w:rFonts w:asciiTheme="majorHAnsi" w:hAnsiTheme="majorHAnsi" w:cstheme="majorHAnsi"/>
          <w:i/>
          <w:sz w:val="22"/>
          <w:szCs w:val="22"/>
        </w:rPr>
      </w:pPr>
    </w:p>
    <w:p w:rsidR="006403AC" w:rsidRPr="005759D1" w:rsidRDefault="006403AC" w:rsidP="006403AC">
      <w:pPr>
        <w:rPr>
          <w:rFonts w:asciiTheme="majorHAnsi" w:hAnsiTheme="majorHAnsi" w:cstheme="majorHAnsi"/>
          <w:i/>
          <w:sz w:val="22"/>
          <w:szCs w:val="22"/>
        </w:rPr>
      </w:pPr>
      <w:r w:rsidRPr="005759D1">
        <w:rPr>
          <w:rFonts w:asciiTheme="majorHAnsi" w:hAnsiTheme="majorHAnsi" w:cstheme="majorHAnsi"/>
          <w:i/>
          <w:sz w:val="22"/>
          <w:szCs w:val="22"/>
        </w:rPr>
        <w:t>PCR assay</w:t>
      </w:r>
    </w:p>
    <w:p w:rsidR="006403AC" w:rsidRPr="005759D1" w:rsidRDefault="006403AC" w:rsidP="006403AC">
      <w:pPr>
        <w:rPr>
          <w:rFonts w:asciiTheme="majorHAnsi" w:hAnsiTheme="majorHAnsi" w:cstheme="majorHAnsi"/>
          <w:sz w:val="22"/>
          <w:szCs w:val="22"/>
        </w:rPr>
      </w:pPr>
      <w:r w:rsidRPr="005759D1">
        <w:rPr>
          <w:rFonts w:asciiTheme="majorHAnsi" w:hAnsiTheme="majorHAnsi" w:cstheme="majorHAnsi"/>
          <w:sz w:val="22"/>
          <w:szCs w:val="22"/>
        </w:rPr>
        <w:t>The PCR assay will be run on the Roche: LightCycler 480</w:t>
      </w:r>
    </w:p>
    <w:p w:rsidR="006403AC" w:rsidRPr="005759D1" w:rsidRDefault="006403AC" w:rsidP="006403AC">
      <w:pPr>
        <w:autoSpaceDE w:val="0"/>
        <w:autoSpaceDN w:val="0"/>
        <w:adjustRightInd w:val="0"/>
        <w:rPr>
          <w:rFonts w:asciiTheme="majorHAnsi" w:hAnsiTheme="majorHAnsi" w:cstheme="majorHAnsi"/>
          <w:b/>
          <w:bCs/>
          <w:sz w:val="22"/>
          <w:szCs w:val="22"/>
        </w:rPr>
      </w:pPr>
      <w:r w:rsidRPr="005759D1">
        <w:rPr>
          <w:rFonts w:asciiTheme="majorHAnsi" w:hAnsiTheme="majorHAnsi" w:cstheme="majorHAnsi"/>
          <w:b/>
          <w:bCs/>
          <w:sz w:val="22"/>
          <w:szCs w:val="22"/>
        </w:rPr>
        <w:lastRenderedPageBreak/>
        <w:t xml:space="preserve">Cycles </w:t>
      </w:r>
      <w:r w:rsidR="00893D4E">
        <w:rPr>
          <w:rFonts w:asciiTheme="majorHAnsi" w:hAnsiTheme="majorHAnsi" w:cstheme="majorHAnsi"/>
          <w:b/>
          <w:bCs/>
          <w:sz w:val="22"/>
          <w:szCs w:val="22"/>
        </w:rPr>
        <w:tab/>
      </w:r>
      <w:r w:rsidRPr="005759D1">
        <w:rPr>
          <w:rFonts w:asciiTheme="majorHAnsi" w:hAnsiTheme="majorHAnsi" w:cstheme="majorHAnsi"/>
          <w:b/>
          <w:bCs/>
          <w:sz w:val="22"/>
          <w:szCs w:val="22"/>
        </w:rPr>
        <w:t xml:space="preserve">Duration </w:t>
      </w:r>
      <w:r w:rsidR="00893D4E">
        <w:rPr>
          <w:rFonts w:asciiTheme="majorHAnsi" w:hAnsiTheme="majorHAnsi" w:cstheme="majorHAnsi"/>
          <w:b/>
          <w:bCs/>
          <w:sz w:val="22"/>
          <w:szCs w:val="22"/>
        </w:rPr>
        <w:tab/>
      </w:r>
      <w:r w:rsidR="00893D4E">
        <w:rPr>
          <w:rFonts w:asciiTheme="majorHAnsi" w:hAnsiTheme="majorHAnsi" w:cstheme="majorHAnsi"/>
          <w:b/>
          <w:bCs/>
          <w:sz w:val="22"/>
          <w:szCs w:val="22"/>
        </w:rPr>
        <w:tab/>
      </w:r>
      <w:r w:rsidRPr="005759D1">
        <w:rPr>
          <w:rFonts w:asciiTheme="majorHAnsi" w:hAnsiTheme="majorHAnsi" w:cstheme="majorHAnsi"/>
          <w:b/>
          <w:bCs/>
          <w:sz w:val="22"/>
          <w:szCs w:val="22"/>
        </w:rPr>
        <w:t>Temperature</w:t>
      </w:r>
    </w:p>
    <w:p w:rsidR="006403AC" w:rsidRPr="005759D1" w:rsidRDefault="006403AC" w:rsidP="006403AC">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1 </w:t>
      </w:r>
      <w:r w:rsidRPr="005759D1">
        <w:rPr>
          <w:rFonts w:asciiTheme="majorHAnsi" w:hAnsiTheme="majorHAnsi" w:cstheme="majorHAnsi"/>
          <w:sz w:val="22"/>
          <w:szCs w:val="22"/>
        </w:rPr>
        <w:tab/>
      </w:r>
      <w:r w:rsidR="00893D4E">
        <w:rPr>
          <w:rFonts w:asciiTheme="majorHAnsi" w:hAnsiTheme="majorHAnsi" w:cstheme="majorHAnsi"/>
          <w:sz w:val="22"/>
          <w:szCs w:val="22"/>
        </w:rPr>
        <w:tab/>
      </w:r>
      <w:r w:rsidRPr="005759D1">
        <w:rPr>
          <w:rFonts w:asciiTheme="majorHAnsi" w:hAnsiTheme="majorHAnsi" w:cstheme="majorHAnsi"/>
          <w:sz w:val="22"/>
          <w:szCs w:val="22"/>
        </w:rPr>
        <w:t xml:space="preserve">10 minutes </w:t>
      </w:r>
      <w:r w:rsidRPr="005759D1">
        <w:rPr>
          <w:rFonts w:asciiTheme="majorHAnsi" w:hAnsiTheme="majorHAnsi" w:cstheme="majorHAnsi"/>
          <w:sz w:val="22"/>
          <w:szCs w:val="22"/>
        </w:rPr>
        <w:tab/>
      </w:r>
      <w:r w:rsidRPr="005759D1">
        <w:rPr>
          <w:rFonts w:asciiTheme="majorHAnsi" w:hAnsiTheme="majorHAnsi" w:cstheme="majorHAnsi"/>
          <w:sz w:val="22"/>
          <w:szCs w:val="22"/>
        </w:rPr>
        <w:tab/>
        <w:t>95°C</w:t>
      </w:r>
    </w:p>
    <w:p w:rsidR="006403AC" w:rsidRPr="005759D1" w:rsidRDefault="006403AC" w:rsidP="00893D4E">
      <w:pPr>
        <w:autoSpaceDE w:val="0"/>
        <w:autoSpaceDN w:val="0"/>
        <w:adjustRightInd w:val="0"/>
        <w:ind w:left="720" w:firstLine="720"/>
        <w:rPr>
          <w:rFonts w:asciiTheme="majorHAnsi" w:hAnsiTheme="majorHAnsi" w:cstheme="majorHAnsi"/>
          <w:sz w:val="22"/>
          <w:szCs w:val="22"/>
        </w:rPr>
      </w:pPr>
      <w:r w:rsidRPr="005759D1">
        <w:rPr>
          <w:rFonts w:asciiTheme="majorHAnsi" w:hAnsiTheme="majorHAnsi" w:cstheme="majorHAnsi"/>
          <w:sz w:val="22"/>
          <w:szCs w:val="22"/>
        </w:rPr>
        <w:t xml:space="preserve">15 seconds </w:t>
      </w:r>
      <w:r w:rsidRPr="005759D1">
        <w:rPr>
          <w:rFonts w:asciiTheme="majorHAnsi" w:hAnsiTheme="majorHAnsi" w:cstheme="majorHAnsi"/>
          <w:sz w:val="22"/>
          <w:szCs w:val="22"/>
        </w:rPr>
        <w:tab/>
      </w:r>
      <w:r w:rsidRPr="005759D1">
        <w:rPr>
          <w:rFonts w:asciiTheme="majorHAnsi" w:hAnsiTheme="majorHAnsi" w:cstheme="majorHAnsi"/>
          <w:sz w:val="22"/>
          <w:szCs w:val="22"/>
        </w:rPr>
        <w:tab/>
        <w:t>95°C</w:t>
      </w:r>
    </w:p>
    <w:p w:rsidR="006403AC" w:rsidRPr="005759D1" w:rsidRDefault="006403AC" w:rsidP="006403AC">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40 </w:t>
      </w:r>
      <w:r w:rsidRPr="005759D1">
        <w:rPr>
          <w:rFonts w:asciiTheme="majorHAnsi" w:hAnsiTheme="majorHAnsi" w:cstheme="majorHAnsi"/>
          <w:sz w:val="22"/>
          <w:szCs w:val="22"/>
        </w:rPr>
        <w:tab/>
      </w:r>
      <w:r w:rsidR="00893D4E">
        <w:rPr>
          <w:rFonts w:asciiTheme="majorHAnsi" w:hAnsiTheme="majorHAnsi" w:cstheme="majorHAnsi"/>
          <w:sz w:val="22"/>
          <w:szCs w:val="22"/>
        </w:rPr>
        <w:tab/>
      </w:r>
      <w:r w:rsidRPr="005759D1">
        <w:rPr>
          <w:rFonts w:asciiTheme="majorHAnsi" w:hAnsiTheme="majorHAnsi" w:cstheme="majorHAnsi"/>
          <w:sz w:val="22"/>
          <w:szCs w:val="22"/>
        </w:rPr>
        <w:t xml:space="preserve">30 to 40 seconds </w:t>
      </w:r>
      <w:r w:rsidRPr="005759D1">
        <w:rPr>
          <w:rFonts w:asciiTheme="majorHAnsi" w:hAnsiTheme="majorHAnsi" w:cstheme="majorHAnsi"/>
          <w:sz w:val="22"/>
          <w:szCs w:val="22"/>
        </w:rPr>
        <w:tab/>
        <w:t>60°C</w:t>
      </w:r>
    </w:p>
    <w:p w:rsidR="006403AC" w:rsidRPr="005759D1" w:rsidRDefault="006403AC" w:rsidP="00893D4E">
      <w:pPr>
        <w:autoSpaceDE w:val="0"/>
        <w:autoSpaceDN w:val="0"/>
        <w:adjustRightInd w:val="0"/>
        <w:ind w:left="720" w:firstLine="720"/>
        <w:rPr>
          <w:rFonts w:asciiTheme="majorHAnsi" w:hAnsiTheme="majorHAnsi" w:cstheme="majorHAnsi"/>
          <w:sz w:val="22"/>
          <w:szCs w:val="22"/>
        </w:rPr>
      </w:pPr>
      <w:r w:rsidRPr="005759D1">
        <w:rPr>
          <w:rFonts w:asciiTheme="majorHAnsi" w:hAnsiTheme="majorHAnsi" w:cstheme="majorHAnsi"/>
          <w:sz w:val="22"/>
          <w:szCs w:val="22"/>
        </w:rPr>
        <w:t xml:space="preserve">30 seconds </w:t>
      </w:r>
      <w:r w:rsidRPr="005759D1">
        <w:rPr>
          <w:rFonts w:asciiTheme="majorHAnsi" w:hAnsiTheme="majorHAnsi" w:cstheme="majorHAnsi"/>
          <w:sz w:val="22"/>
          <w:szCs w:val="22"/>
        </w:rPr>
        <w:tab/>
      </w:r>
      <w:r w:rsidRPr="005759D1">
        <w:rPr>
          <w:rFonts w:asciiTheme="majorHAnsi" w:hAnsiTheme="majorHAnsi" w:cstheme="majorHAnsi"/>
          <w:sz w:val="22"/>
          <w:szCs w:val="22"/>
        </w:rPr>
        <w:tab/>
        <w:t>72°C</w:t>
      </w:r>
    </w:p>
    <w:p w:rsidR="00893D4E" w:rsidRDefault="00893D4E" w:rsidP="00893D4E">
      <w:pPr>
        <w:rPr>
          <w:rFonts w:asciiTheme="majorHAnsi" w:hAnsiTheme="majorHAnsi" w:cstheme="majorHAnsi"/>
          <w:b/>
          <w:bCs/>
          <w:sz w:val="22"/>
          <w:szCs w:val="22"/>
        </w:rPr>
      </w:pPr>
    </w:p>
    <w:p w:rsidR="00893D4E" w:rsidRPr="005759D1" w:rsidRDefault="00893D4E" w:rsidP="00893D4E">
      <w:pPr>
        <w:rPr>
          <w:rFonts w:asciiTheme="majorHAnsi" w:hAnsiTheme="majorHAnsi" w:cstheme="majorHAnsi"/>
          <w:b/>
          <w:bCs/>
          <w:sz w:val="22"/>
          <w:szCs w:val="22"/>
        </w:rPr>
      </w:pPr>
      <w:r w:rsidRPr="005759D1">
        <w:rPr>
          <w:rFonts w:asciiTheme="majorHAnsi" w:hAnsiTheme="majorHAnsi" w:cstheme="majorHAnsi"/>
          <w:b/>
          <w:bCs/>
          <w:sz w:val="22"/>
          <w:szCs w:val="22"/>
        </w:rPr>
        <w:t>Quality Control:</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a. Dissociation (Melting) Curve will be run immediately after the above cycling program, to generate a</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first derivative dissociation curve for each well in the entire plate using the instrument’s</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software and default melting curve program run or the following program:  95°C, 1 min; 65°C, 2 min (OPTICS OFF); 65°C to 95°C at 2°C / min (OPTICS ON), to ensure that more than one peak appeared in each reaction at temperatures greater than 70 °C.  </w:t>
      </w:r>
    </w:p>
    <w:p w:rsidR="00893D4E" w:rsidRPr="005759D1" w:rsidRDefault="00893D4E" w:rsidP="00893D4E">
      <w:pPr>
        <w:rPr>
          <w:rFonts w:asciiTheme="majorHAnsi" w:hAnsiTheme="majorHAnsi" w:cstheme="majorHAnsi"/>
          <w:sz w:val="22"/>
          <w:szCs w:val="22"/>
        </w:rPr>
      </w:pPr>
    </w:p>
    <w:p w:rsidR="00893D4E" w:rsidRPr="005759D1" w:rsidRDefault="00893D4E" w:rsidP="00893D4E">
      <w:pPr>
        <w:autoSpaceDE w:val="0"/>
        <w:autoSpaceDN w:val="0"/>
        <w:adjustRightInd w:val="0"/>
        <w:rPr>
          <w:rFonts w:asciiTheme="majorHAnsi" w:hAnsiTheme="majorHAnsi" w:cstheme="majorHAnsi"/>
          <w:i/>
          <w:sz w:val="22"/>
          <w:szCs w:val="22"/>
        </w:rPr>
      </w:pPr>
      <w:r w:rsidRPr="005759D1">
        <w:rPr>
          <w:rFonts w:asciiTheme="majorHAnsi" w:hAnsiTheme="majorHAnsi" w:cstheme="majorHAnsi"/>
          <w:i/>
          <w:sz w:val="22"/>
          <w:szCs w:val="22"/>
        </w:rPr>
        <w:t>8) Data Analysis: ΔΔCt Method</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SABiosystem/(Qiagen)’s free PCR Array Data Analysis Web Portal will be accessed at the following address:  </w:t>
      </w:r>
      <w:r w:rsidRPr="005759D1">
        <w:rPr>
          <w:rFonts w:asciiTheme="majorHAnsi" w:hAnsiTheme="majorHAnsi" w:cstheme="majorHAnsi"/>
          <w:b/>
          <w:bCs/>
          <w:sz w:val="22"/>
          <w:szCs w:val="22"/>
        </w:rPr>
        <w:t>http://www.sabiosciences.com/pcrarraydataanalysis.php</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The PCR Array Data Analysis Web Portal automatically performs the following calculations</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and interpretation of the control wells upon including threshold cycle data from a real-time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instrument. The PCR Array Data Analysis Web Portal will present results in a tabular</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format, a scatter plot, and a three-dimensional profile.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 xml:space="preserve">1. Ct values reported as </w:t>
      </w:r>
      <w:r w:rsidRPr="005759D1">
        <w:rPr>
          <w:rFonts w:asciiTheme="majorHAnsi" w:hAnsiTheme="majorHAnsi" w:cstheme="majorHAnsi"/>
          <w:sz w:val="22"/>
          <w:szCs w:val="22"/>
          <w:u w:val="single"/>
        </w:rPr>
        <w:t xml:space="preserve">&gt; </w:t>
      </w:r>
      <w:r w:rsidRPr="005759D1">
        <w:rPr>
          <w:rFonts w:asciiTheme="majorHAnsi" w:hAnsiTheme="majorHAnsi" w:cstheme="majorHAnsi"/>
          <w:bCs/>
          <w:i/>
          <w:iCs/>
          <w:sz w:val="22"/>
          <w:szCs w:val="22"/>
        </w:rPr>
        <w:t xml:space="preserve">35 </w:t>
      </w:r>
      <w:r w:rsidRPr="005759D1">
        <w:rPr>
          <w:rFonts w:asciiTheme="majorHAnsi" w:hAnsiTheme="majorHAnsi" w:cstheme="majorHAnsi"/>
          <w:sz w:val="22"/>
          <w:szCs w:val="22"/>
        </w:rPr>
        <w:t>will be considered a negative call.</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2. Threshold cycle values will be determined for the control wells.</w:t>
      </w:r>
    </w:p>
    <w:p w:rsidR="00893D4E" w:rsidRPr="005759D1" w:rsidRDefault="00893D4E" w:rsidP="00893D4E">
      <w:pPr>
        <w:autoSpaceDE w:val="0"/>
        <w:autoSpaceDN w:val="0"/>
        <w:adjustRightInd w:val="0"/>
        <w:ind w:firstLine="720"/>
        <w:rPr>
          <w:rFonts w:asciiTheme="majorHAnsi" w:hAnsiTheme="majorHAnsi" w:cstheme="majorHAnsi"/>
          <w:sz w:val="22"/>
          <w:szCs w:val="22"/>
        </w:rPr>
      </w:pPr>
      <w:r w:rsidRPr="005759D1">
        <w:rPr>
          <w:rFonts w:asciiTheme="majorHAnsi" w:hAnsiTheme="majorHAnsi" w:cstheme="majorHAnsi"/>
          <w:sz w:val="22"/>
          <w:szCs w:val="22"/>
        </w:rPr>
        <w:t>a. Reverse Transcription Control (RTC):</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Calculate ΔCt = AVG CtRTC – AVG CtPPC.</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If this value is less than 5, then no inhibition is apparent.</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b. Positive PCR Control (PPC):</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The average Ct PPC value should be 20 ± 2 on each PCR Array and should not vary by more than two cycles between PCR Arrays being compared. Calculate the ΔCt for each pathway-focused gene in each plate.ΔCt = CtMOI –Ct AVG HKG</w:t>
      </w:r>
    </w:p>
    <w:p w:rsidR="00893D4E" w:rsidRPr="005759D1" w:rsidRDefault="00893D4E" w:rsidP="00893D4E">
      <w:pPr>
        <w:autoSpaceDE w:val="0"/>
        <w:autoSpaceDN w:val="0"/>
        <w:adjustRightInd w:val="0"/>
        <w:rPr>
          <w:rFonts w:asciiTheme="majorHAnsi" w:hAnsiTheme="majorHAnsi" w:cstheme="majorHAnsi"/>
          <w:b/>
          <w:bCs/>
          <w:sz w:val="22"/>
          <w:szCs w:val="22"/>
        </w:rPr>
      </w:pPr>
    </w:p>
    <w:p w:rsidR="00893D4E" w:rsidRPr="005759D1" w:rsidRDefault="00893D4E" w:rsidP="00893D4E">
      <w:pPr>
        <w:autoSpaceDE w:val="0"/>
        <w:autoSpaceDN w:val="0"/>
        <w:adjustRightInd w:val="0"/>
        <w:rPr>
          <w:rFonts w:asciiTheme="majorHAnsi" w:hAnsiTheme="majorHAnsi" w:cstheme="majorHAnsi"/>
          <w:b/>
          <w:bCs/>
          <w:sz w:val="22"/>
          <w:szCs w:val="22"/>
        </w:rPr>
      </w:pPr>
      <w:r w:rsidRPr="005759D1">
        <w:rPr>
          <w:rFonts w:asciiTheme="majorHAnsi" w:hAnsiTheme="majorHAnsi" w:cstheme="majorHAnsi"/>
          <w:b/>
          <w:bCs/>
          <w:sz w:val="22"/>
          <w:szCs w:val="22"/>
        </w:rPr>
        <w:t xml:space="preserve">Detailed Mathematical Explanation of </w:t>
      </w:r>
      <w:r w:rsidRPr="005759D1">
        <w:rPr>
          <w:rFonts w:asciiTheme="majorHAnsi" w:hAnsiTheme="majorHAnsi" w:cstheme="majorHAnsi"/>
          <w:sz w:val="22"/>
          <w:szCs w:val="22"/>
        </w:rPr>
        <w:t>ΔΔ</w:t>
      </w:r>
      <w:r w:rsidRPr="005759D1">
        <w:rPr>
          <w:rFonts w:asciiTheme="majorHAnsi" w:hAnsiTheme="majorHAnsi" w:cstheme="majorHAnsi"/>
          <w:b/>
          <w:bCs/>
          <w:sz w:val="22"/>
          <w:szCs w:val="22"/>
        </w:rPr>
        <w:t>Ct Data Analysis Method</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Due to the inverse proportional relationship between the threshold cycle (Ct) and the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original gene expression level, and the doubling of the amount of product with every cycle,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the original expression level (L) for each gene of interest is expressed as:</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position w:val="-4"/>
          <w:sz w:val="22"/>
          <w:szCs w:val="22"/>
        </w:rPr>
        <w:object w:dxaOrig="8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pt" o:ole="">
            <v:imagedata r:id="rId15" o:title=""/>
          </v:shape>
          <o:OLEObject Type="Embed" ProgID="Equation.3" ShapeID="_x0000_i1025" DrawAspect="Content" ObjectID="_1634970037" r:id="rId16"/>
        </w:object>
      </w:r>
    </w:p>
    <w:p w:rsidR="00893D4E" w:rsidRPr="005759D1" w:rsidRDefault="00893D4E" w:rsidP="00893D4E">
      <w:pPr>
        <w:autoSpaceDE w:val="0"/>
        <w:autoSpaceDN w:val="0"/>
        <w:adjustRightInd w:val="0"/>
        <w:rPr>
          <w:rFonts w:asciiTheme="majorHAnsi" w:hAnsiTheme="majorHAnsi" w:cstheme="majorHAnsi"/>
          <w:sz w:val="22"/>
          <w:szCs w:val="22"/>
        </w:rPr>
      </w:pP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To normalize the expression level of a gene of interest (GOI) to a housekeeping gene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(HKG), the expression levels of the two genes are divided:</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position w:val="-24"/>
          <w:sz w:val="22"/>
          <w:szCs w:val="22"/>
        </w:rPr>
        <w:object w:dxaOrig="3320" w:dyaOrig="660">
          <v:shape id="_x0000_i1026" type="#_x0000_t75" style="width:224.25pt;height:45pt" o:ole="">
            <v:imagedata r:id="rId17" o:title=""/>
          </v:shape>
          <o:OLEObject Type="Embed" ProgID="Equation.3" ShapeID="_x0000_i1026" DrawAspect="Content" ObjectID="_1634970038" r:id="rId18"/>
        </w:objec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To determine fold change in gene expression, the normalized expression of the GOI in the experimental sample is divided by the normalized expression of the same GOI in the control sample:</w:t>
      </w: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position w:val="-24"/>
          <w:sz w:val="22"/>
          <w:szCs w:val="22"/>
        </w:rPr>
        <w:object w:dxaOrig="1880" w:dyaOrig="660">
          <v:shape id="_x0000_i1027" type="#_x0000_t75" style="width:134.25pt;height:47.25pt" o:ole="">
            <v:imagedata r:id="rId19" o:title=""/>
          </v:shape>
          <o:OLEObject Type="Embed" ProgID="Equation.3" ShapeID="_x0000_i1027" DrawAspect="Content" ObjectID="_1634970039" r:id="rId20"/>
        </w:object>
      </w:r>
      <w:r w:rsidRPr="005759D1">
        <w:rPr>
          <w:rFonts w:asciiTheme="majorHAnsi" w:hAnsiTheme="majorHAnsi" w:cstheme="majorHAnsi"/>
          <w:sz w:val="22"/>
          <w:szCs w:val="22"/>
        </w:rPr>
        <w:t xml:space="preserve"> where </w:t>
      </w:r>
      <w:r w:rsidRPr="005759D1">
        <w:rPr>
          <w:rFonts w:asciiTheme="majorHAnsi" w:hAnsiTheme="majorHAnsi" w:cstheme="majorHAnsi"/>
          <w:position w:val="-12"/>
          <w:sz w:val="22"/>
          <w:szCs w:val="22"/>
        </w:rPr>
        <w:object w:dxaOrig="580" w:dyaOrig="360">
          <v:shape id="_x0000_i1028" type="#_x0000_t75" style="width:29.25pt;height:18.75pt" o:ole="">
            <v:imagedata r:id="rId21" o:title=""/>
          </v:shape>
          <o:OLEObject Type="Embed" ProgID="Equation.3" ShapeID="_x0000_i1028" DrawAspect="Content" ObjectID="_1634970040" r:id="rId22"/>
        </w:object>
      </w:r>
      <w:r w:rsidRPr="005759D1">
        <w:rPr>
          <w:rFonts w:asciiTheme="majorHAnsi" w:hAnsiTheme="majorHAnsi" w:cstheme="majorHAnsi"/>
          <w:sz w:val="22"/>
          <w:szCs w:val="22"/>
        </w:rPr>
        <w:t xml:space="preserve"> is equal to </w:t>
      </w:r>
      <w:r w:rsidRPr="005759D1">
        <w:rPr>
          <w:rFonts w:asciiTheme="majorHAnsi" w:hAnsiTheme="majorHAnsi" w:cstheme="majorHAnsi"/>
          <w:position w:val="-12"/>
          <w:sz w:val="22"/>
          <w:szCs w:val="22"/>
        </w:rPr>
        <w:object w:dxaOrig="2620" w:dyaOrig="360">
          <v:shape id="_x0000_i1029" type="#_x0000_t75" style="width:131.25pt;height:18.75pt" o:ole="">
            <v:imagedata r:id="rId23" o:title=""/>
          </v:shape>
          <o:OLEObject Type="Embed" ProgID="Equation.3" ShapeID="_x0000_i1029" DrawAspect="Content" ObjectID="_1634970041" r:id="rId24"/>
        </w:object>
      </w:r>
    </w:p>
    <w:p w:rsidR="00893D4E" w:rsidRPr="005759D1" w:rsidRDefault="00893D4E" w:rsidP="00893D4E">
      <w:pPr>
        <w:autoSpaceDE w:val="0"/>
        <w:autoSpaceDN w:val="0"/>
        <w:adjustRightInd w:val="0"/>
        <w:rPr>
          <w:rFonts w:asciiTheme="majorHAnsi" w:hAnsiTheme="majorHAnsi" w:cstheme="majorHAnsi"/>
          <w:sz w:val="22"/>
          <w:szCs w:val="22"/>
        </w:rPr>
      </w:pPr>
    </w:p>
    <w:p w:rsidR="00893D4E" w:rsidRDefault="00893D4E" w:rsidP="00893D4E">
      <w:pPr>
        <w:autoSpaceDE w:val="0"/>
        <w:autoSpaceDN w:val="0"/>
        <w:adjustRightInd w:val="0"/>
        <w:rPr>
          <w:rFonts w:asciiTheme="majorHAnsi" w:hAnsiTheme="majorHAnsi" w:cstheme="majorHAnsi"/>
          <w:sz w:val="22"/>
          <w:szCs w:val="22"/>
        </w:rPr>
      </w:pPr>
    </w:p>
    <w:p w:rsidR="00893D4E" w:rsidRDefault="00893D4E" w:rsidP="00893D4E">
      <w:pPr>
        <w:autoSpaceDE w:val="0"/>
        <w:autoSpaceDN w:val="0"/>
        <w:adjustRightInd w:val="0"/>
        <w:rPr>
          <w:rFonts w:asciiTheme="majorHAnsi" w:hAnsiTheme="majorHAnsi" w:cstheme="majorHAnsi"/>
          <w:sz w:val="22"/>
          <w:szCs w:val="22"/>
        </w:rPr>
      </w:pPr>
    </w:p>
    <w:p w:rsidR="00893D4E" w:rsidRDefault="00893D4E" w:rsidP="00893D4E">
      <w:pPr>
        <w:autoSpaceDE w:val="0"/>
        <w:autoSpaceDN w:val="0"/>
        <w:adjustRightInd w:val="0"/>
        <w:rPr>
          <w:rFonts w:asciiTheme="majorHAnsi" w:hAnsiTheme="majorHAnsi" w:cstheme="majorHAnsi"/>
          <w:sz w:val="22"/>
          <w:szCs w:val="22"/>
        </w:rPr>
      </w:pPr>
    </w:p>
    <w:p w:rsidR="00893D4E" w:rsidRDefault="00893D4E" w:rsidP="00893D4E">
      <w:pPr>
        <w:autoSpaceDE w:val="0"/>
        <w:autoSpaceDN w:val="0"/>
        <w:adjustRightInd w:val="0"/>
        <w:rPr>
          <w:rFonts w:asciiTheme="majorHAnsi" w:hAnsiTheme="majorHAnsi" w:cstheme="majorHAnsi"/>
          <w:sz w:val="22"/>
          <w:szCs w:val="22"/>
        </w:rPr>
      </w:pPr>
    </w:p>
    <w:p w:rsidR="00893D4E" w:rsidRPr="005759D1" w:rsidRDefault="00893D4E" w:rsidP="00893D4E">
      <w:pPr>
        <w:autoSpaceDE w:val="0"/>
        <w:autoSpaceDN w:val="0"/>
        <w:adjustRightInd w:val="0"/>
        <w:rPr>
          <w:rFonts w:asciiTheme="majorHAnsi" w:hAnsiTheme="majorHAnsi" w:cstheme="majorHAnsi"/>
          <w:sz w:val="22"/>
          <w:szCs w:val="22"/>
        </w:rPr>
      </w:pPr>
      <w:r w:rsidRPr="005759D1">
        <w:rPr>
          <w:rFonts w:asciiTheme="majorHAnsi" w:hAnsiTheme="majorHAnsi" w:cstheme="majorHAnsi"/>
          <w:sz w:val="22"/>
          <w:szCs w:val="22"/>
        </w:rPr>
        <w:t>The complete equation is as follows:</w:t>
      </w:r>
    </w:p>
    <w:p w:rsidR="00893D4E" w:rsidRPr="005759D1" w:rsidRDefault="00893D4E" w:rsidP="00893D4E">
      <w:pPr>
        <w:rPr>
          <w:rFonts w:asciiTheme="majorHAnsi" w:hAnsiTheme="majorHAnsi" w:cstheme="majorHAnsi"/>
          <w:b/>
          <w:bCs/>
          <w:sz w:val="22"/>
          <w:szCs w:val="22"/>
        </w:rPr>
      </w:pPr>
      <w:r w:rsidRPr="005759D1">
        <w:rPr>
          <w:rFonts w:asciiTheme="majorHAnsi" w:hAnsiTheme="majorHAnsi" w:cstheme="majorHAnsi"/>
          <w:position w:val="-58"/>
          <w:sz w:val="22"/>
          <w:szCs w:val="22"/>
        </w:rPr>
        <w:object w:dxaOrig="6280" w:dyaOrig="1340">
          <v:shape id="_x0000_i1030" type="#_x0000_t75" style="width:362.25pt;height:77.25pt" o:ole="">
            <v:imagedata r:id="rId25" o:title=""/>
          </v:shape>
          <o:OLEObject Type="Embed" ProgID="Equation.3" ShapeID="_x0000_i1030" DrawAspect="Content" ObjectID="_1634970042" r:id="rId26"/>
        </w:object>
      </w:r>
    </w:p>
    <w:p w:rsidR="00893D4E" w:rsidRDefault="00893D4E" w:rsidP="00893D4E">
      <w:pPr>
        <w:rPr>
          <w:rFonts w:asciiTheme="majorHAnsi" w:hAnsiTheme="majorHAnsi" w:cstheme="majorHAnsi"/>
          <w:i/>
          <w:sz w:val="22"/>
          <w:szCs w:val="22"/>
        </w:rPr>
      </w:pPr>
    </w:p>
    <w:p w:rsidR="00893D4E" w:rsidRPr="005759D1" w:rsidRDefault="00893D4E" w:rsidP="00893D4E">
      <w:pPr>
        <w:rPr>
          <w:rFonts w:asciiTheme="majorHAnsi" w:hAnsiTheme="majorHAnsi" w:cstheme="majorHAnsi"/>
          <w:sz w:val="22"/>
          <w:szCs w:val="22"/>
        </w:rPr>
      </w:pPr>
      <w:r w:rsidRPr="005759D1">
        <w:rPr>
          <w:rFonts w:asciiTheme="majorHAnsi" w:hAnsiTheme="majorHAnsi" w:cstheme="majorHAnsi"/>
          <w:i/>
          <w:sz w:val="22"/>
          <w:szCs w:val="22"/>
        </w:rPr>
        <w:t>9) Analysis Plan</w:t>
      </w:r>
      <w:r w:rsidRPr="005759D1">
        <w:rPr>
          <w:rFonts w:asciiTheme="majorHAnsi" w:hAnsiTheme="majorHAnsi" w:cstheme="majorHAnsi"/>
          <w:sz w:val="22"/>
          <w:szCs w:val="22"/>
        </w:rPr>
        <w:t xml:space="preserve"> </w:t>
      </w:r>
    </w:p>
    <w:p w:rsidR="00893D4E" w:rsidRPr="005759D1" w:rsidRDefault="00893D4E" w:rsidP="00893D4E">
      <w:pPr>
        <w:rPr>
          <w:rFonts w:asciiTheme="majorHAnsi" w:hAnsiTheme="majorHAnsi" w:cstheme="majorHAnsi"/>
          <w:sz w:val="22"/>
          <w:szCs w:val="22"/>
        </w:rPr>
      </w:pPr>
      <w:r w:rsidRPr="005759D1">
        <w:rPr>
          <w:rFonts w:asciiTheme="majorHAnsi" w:hAnsiTheme="majorHAnsi" w:cstheme="majorHAnsi"/>
          <w:sz w:val="22"/>
          <w:szCs w:val="22"/>
        </w:rPr>
        <w:t xml:space="preserve">The web-based analysis tool kit from SABioscience/Qiagen will be applied to analyze the results from the PCR array experiment.  Software is found at </w:t>
      </w:r>
      <w:hyperlink r:id="rId27" w:history="1">
        <w:r w:rsidRPr="005759D1">
          <w:rPr>
            <w:rStyle w:val="Hyperlink"/>
            <w:rFonts w:asciiTheme="majorHAnsi" w:hAnsiTheme="majorHAnsi" w:cstheme="majorHAnsi"/>
            <w:sz w:val="22"/>
            <w:szCs w:val="22"/>
          </w:rPr>
          <w:t>http://pcrdataanalysis.sabiosciences.com/pcr/arrayanalysis.php</w:t>
        </w:r>
      </w:hyperlink>
      <w:r w:rsidRPr="005759D1">
        <w:rPr>
          <w:rStyle w:val="Hyperlink"/>
          <w:rFonts w:asciiTheme="majorHAnsi" w:hAnsiTheme="majorHAnsi" w:cstheme="majorHAnsi"/>
          <w:sz w:val="22"/>
          <w:szCs w:val="22"/>
          <w:u w:val="none"/>
        </w:rPr>
        <w:t>.</w:t>
      </w:r>
    </w:p>
    <w:p w:rsidR="00893D4E" w:rsidRPr="005759D1" w:rsidRDefault="00893D4E" w:rsidP="00893D4E">
      <w:pPr>
        <w:rPr>
          <w:rFonts w:asciiTheme="majorHAnsi" w:hAnsiTheme="majorHAnsi" w:cstheme="majorHAnsi"/>
          <w:sz w:val="22"/>
          <w:szCs w:val="22"/>
        </w:rPr>
      </w:pPr>
    </w:p>
    <w:p w:rsidR="00893D4E" w:rsidRPr="005759D1" w:rsidRDefault="00893D4E" w:rsidP="00893D4E">
      <w:pPr>
        <w:rPr>
          <w:rFonts w:asciiTheme="majorHAnsi" w:hAnsiTheme="majorHAnsi" w:cstheme="majorHAnsi"/>
          <w:sz w:val="22"/>
          <w:szCs w:val="22"/>
        </w:rPr>
      </w:pPr>
      <w:r w:rsidRPr="005759D1">
        <w:rPr>
          <w:rFonts w:asciiTheme="majorHAnsi" w:hAnsiTheme="majorHAnsi" w:cstheme="majorHAnsi"/>
          <w:sz w:val="22"/>
          <w:szCs w:val="22"/>
        </w:rPr>
        <w:t xml:space="preserve">For testing aim 1, we propose to: </w:t>
      </w:r>
    </w:p>
    <w:p w:rsidR="00893D4E" w:rsidRPr="005759D1" w:rsidRDefault="00893D4E" w:rsidP="00893D4E">
      <w:pPr>
        <w:pStyle w:val="ListParagraph"/>
        <w:numPr>
          <w:ilvl w:val="0"/>
          <w:numId w:val="13"/>
        </w:numPr>
        <w:rPr>
          <w:rFonts w:asciiTheme="majorHAnsi" w:hAnsiTheme="majorHAnsi" w:cstheme="majorHAnsi"/>
          <w:sz w:val="22"/>
          <w:szCs w:val="22"/>
        </w:rPr>
      </w:pPr>
      <w:r w:rsidRPr="005759D1">
        <w:rPr>
          <w:rFonts w:asciiTheme="majorHAnsi" w:hAnsiTheme="majorHAnsi" w:cstheme="majorHAnsi"/>
          <w:sz w:val="22"/>
          <w:szCs w:val="22"/>
        </w:rPr>
        <w:t xml:space="preserve">Compare miRNA levels in cases (patients develop POAF) and controls (patients who do not develop POAF) using </w:t>
      </w:r>
      <w:r w:rsidRPr="005759D1">
        <w:rPr>
          <w:rFonts w:asciiTheme="majorHAnsi" w:hAnsiTheme="majorHAnsi" w:cstheme="majorHAnsi"/>
          <w:i/>
          <w:sz w:val="22"/>
          <w:szCs w:val="22"/>
        </w:rPr>
        <w:t>T</w:t>
      </w:r>
      <w:r w:rsidRPr="005759D1">
        <w:rPr>
          <w:rFonts w:asciiTheme="majorHAnsi" w:hAnsiTheme="majorHAnsi" w:cstheme="majorHAnsi"/>
          <w:sz w:val="22"/>
          <w:szCs w:val="22"/>
        </w:rPr>
        <w:t xml:space="preserve"> statistics. The P-values from the </w:t>
      </w:r>
      <w:r w:rsidRPr="005759D1">
        <w:rPr>
          <w:rFonts w:asciiTheme="majorHAnsi" w:hAnsiTheme="majorHAnsi" w:cstheme="majorHAnsi"/>
          <w:i/>
          <w:sz w:val="22"/>
          <w:szCs w:val="22"/>
        </w:rPr>
        <w:t>T</w:t>
      </w:r>
      <w:r w:rsidRPr="005759D1">
        <w:rPr>
          <w:rFonts w:asciiTheme="majorHAnsi" w:hAnsiTheme="majorHAnsi" w:cstheme="majorHAnsi"/>
          <w:sz w:val="22"/>
          <w:szCs w:val="22"/>
        </w:rPr>
        <w:t xml:space="preserve"> statistics as well as some other visualization tools would be used to rank the miRNA in the PCR array. The graph below was generated from the test data of website of SABiosience/Qiagen and provides an example of how analyses will be conducted. </w:t>
      </w:r>
    </w:p>
    <w:p w:rsidR="00893D4E" w:rsidRPr="005759D1" w:rsidRDefault="00893D4E" w:rsidP="00893D4E">
      <w:pPr>
        <w:rPr>
          <w:rFonts w:asciiTheme="majorHAnsi" w:hAnsiTheme="majorHAnsi" w:cstheme="majorHAnsi"/>
          <w:color w:val="FF0000"/>
          <w:sz w:val="22"/>
          <w:szCs w:val="22"/>
        </w:rPr>
      </w:pPr>
    </w:p>
    <w:p w:rsidR="00893D4E" w:rsidRPr="005759D1" w:rsidRDefault="00893D4E" w:rsidP="00893D4E">
      <w:pPr>
        <w:ind w:left="720"/>
        <w:rPr>
          <w:rFonts w:asciiTheme="majorHAnsi" w:hAnsiTheme="majorHAnsi" w:cstheme="majorHAnsi"/>
          <w:color w:val="FF0000"/>
          <w:sz w:val="22"/>
          <w:szCs w:val="22"/>
        </w:rPr>
      </w:pPr>
      <w:r w:rsidRPr="005759D1">
        <w:rPr>
          <w:rFonts w:asciiTheme="majorHAnsi" w:hAnsiTheme="majorHAnsi" w:cstheme="majorHAnsi"/>
          <w:noProof/>
          <w:color w:val="FF0000"/>
          <w:sz w:val="22"/>
          <w:szCs w:val="22"/>
        </w:rPr>
        <w:drawing>
          <wp:inline distT="0" distB="0" distL="0" distR="0" wp14:anchorId="63CDB5E1" wp14:editId="65C75C2B">
            <wp:extent cx="4581525" cy="3362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extLst>
                        <a:ext uri="{28A0092B-C50C-407E-A947-70E740481C1C}">
                          <a14:useLocalDpi xmlns:a14="http://schemas.microsoft.com/office/drawing/2010/main" val="0"/>
                        </a:ext>
                      </a:extLst>
                    </a:blip>
                    <a:stretch>
                      <a:fillRect/>
                    </a:stretch>
                  </pic:blipFill>
                  <pic:spPr>
                    <a:xfrm>
                      <a:off x="0" y="0"/>
                      <a:ext cx="4581525" cy="3362325"/>
                    </a:xfrm>
                    <a:prstGeom prst="rect">
                      <a:avLst/>
                    </a:prstGeom>
                  </pic:spPr>
                </pic:pic>
              </a:graphicData>
            </a:graphic>
          </wp:inline>
        </w:drawing>
      </w:r>
    </w:p>
    <w:p w:rsidR="00893D4E" w:rsidRDefault="00893D4E" w:rsidP="00893D4E">
      <w:pPr>
        <w:ind w:left="720"/>
        <w:rPr>
          <w:rFonts w:asciiTheme="majorHAnsi" w:hAnsiTheme="majorHAnsi" w:cstheme="majorHAnsi"/>
          <w:sz w:val="22"/>
          <w:szCs w:val="22"/>
        </w:rPr>
      </w:pPr>
    </w:p>
    <w:p w:rsidR="00893D4E" w:rsidRPr="005759D1" w:rsidRDefault="00893D4E" w:rsidP="00893D4E">
      <w:pPr>
        <w:ind w:left="720"/>
        <w:rPr>
          <w:rFonts w:asciiTheme="majorHAnsi" w:hAnsiTheme="majorHAnsi" w:cstheme="majorHAnsi"/>
          <w:sz w:val="22"/>
          <w:szCs w:val="22"/>
        </w:rPr>
      </w:pPr>
      <w:r w:rsidRPr="005759D1">
        <w:rPr>
          <w:rFonts w:asciiTheme="majorHAnsi" w:hAnsiTheme="majorHAnsi" w:cstheme="majorHAnsi"/>
          <w:sz w:val="22"/>
          <w:szCs w:val="22"/>
        </w:rPr>
        <w:t>Given the change of the measures in different gene expressions between group 3 and control, the scatter plot is shown in three different colors.  The points are representatives of the measures of levels of the miRNA, with the red points representing values that are significantly up-regulated; the green points representing miRNA levels that were significantly down-regulated and the black points representing those miRNAs whose levels were not significantly impacted and fall within the range of the cutoff values that were selected.  The graph is interactive in that it shows the magnitude of change when a point is selected with the mouse.  Various statistical and visualization tools could be applied to analyze the data that we input.</w:t>
      </w:r>
    </w:p>
    <w:p w:rsidR="00216EE4" w:rsidRPr="005759D1" w:rsidRDefault="005D2D6C" w:rsidP="00893D4E">
      <w:pPr>
        <w:rPr>
          <w:rFonts w:asciiTheme="majorHAnsi" w:hAnsiTheme="majorHAnsi" w:cstheme="majorHAnsi"/>
          <w:sz w:val="22"/>
          <w:szCs w:val="22"/>
        </w:rPr>
      </w:pPr>
      <w:r w:rsidRPr="005759D1">
        <w:rPr>
          <w:rFonts w:asciiTheme="majorHAnsi" w:hAnsiTheme="majorHAnsi" w:cstheme="majorHAnsi"/>
          <w:b/>
          <w:bCs/>
          <w:sz w:val="22"/>
          <w:szCs w:val="22"/>
        </w:rPr>
        <w:br w:type="page"/>
      </w:r>
    </w:p>
    <w:p w:rsidR="00216EE4" w:rsidRPr="005759D1" w:rsidRDefault="00216EE4" w:rsidP="00216EE4">
      <w:pPr>
        <w:rPr>
          <w:rFonts w:asciiTheme="majorHAnsi" w:hAnsiTheme="majorHAnsi" w:cstheme="majorHAnsi"/>
          <w:sz w:val="22"/>
          <w:szCs w:val="22"/>
        </w:rPr>
      </w:pPr>
    </w:p>
    <w:p w:rsidR="00216EE4" w:rsidRPr="005759D1" w:rsidRDefault="00216EE4" w:rsidP="00F33F53">
      <w:pPr>
        <w:pStyle w:val="ListParagraph"/>
        <w:numPr>
          <w:ilvl w:val="0"/>
          <w:numId w:val="13"/>
        </w:numPr>
        <w:rPr>
          <w:rFonts w:asciiTheme="majorHAnsi" w:hAnsiTheme="majorHAnsi" w:cstheme="majorHAnsi"/>
          <w:sz w:val="22"/>
          <w:szCs w:val="22"/>
        </w:rPr>
      </w:pPr>
      <w:r w:rsidRPr="005759D1">
        <w:rPr>
          <w:rFonts w:asciiTheme="majorHAnsi" w:hAnsiTheme="majorHAnsi" w:cstheme="majorHAnsi"/>
          <w:sz w:val="22"/>
          <w:szCs w:val="22"/>
        </w:rPr>
        <w:t xml:space="preserve">Compare miRNA levels </w:t>
      </w:r>
      <w:r w:rsidR="0099315F" w:rsidRPr="005759D1">
        <w:rPr>
          <w:rFonts w:asciiTheme="majorHAnsi" w:hAnsiTheme="majorHAnsi" w:cstheme="majorHAnsi"/>
          <w:sz w:val="22"/>
          <w:szCs w:val="22"/>
        </w:rPr>
        <w:t>following</w:t>
      </w:r>
      <w:r w:rsidRPr="005759D1">
        <w:rPr>
          <w:rFonts w:asciiTheme="majorHAnsi" w:hAnsiTheme="majorHAnsi" w:cstheme="majorHAnsi"/>
          <w:sz w:val="22"/>
          <w:szCs w:val="22"/>
        </w:rPr>
        <w:t xml:space="preserve"> adjustment for other variables including, but not limited to, medication exposures, clinical factors surrounding surgery, comorbidities and age. </w:t>
      </w:r>
      <w:r w:rsidR="0099315F" w:rsidRPr="005759D1">
        <w:rPr>
          <w:rFonts w:asciiTheme="majorHAnsi" w:hAnsiTheme="majorHAnsi" w:cstheme="majorHAnsi"/>
          <w:sz w:val="22"/>
          <w:szCs w:val="22"/>
        </w:rPr>
        <w:t>This will be accomplished by exploring miRNA levels as an indicator of gene expression among</w:t>
      </w:r>
      <w:r w:rsidRPr="005759D1">
        <w:rPr>
          <w:rFonts w:asciiTheme="majorHAnsi" w:hAnsiTheme="majorHAnsi" w:cstheme="majorHAnsi"/>
          <w:sz w:val="22"/>
          <w:szCs w:val="22"/>
        </w:rPr>
        <w:t xml:space="preserve"> controls and cases </w:t>
      </w:r>
      <w:r w:rsidR="0099315F" w:rsidRPr="005759D1">
        <w:rPr>
          <w:rFonts w:asciiTheme="majorHAnsi" w:hAnsiTheme="majorHAnsi" w:cstheme="majorHAnsi"/>
          <w:sz w:val="22"/>
          <w:szCs w:val="22"/>
        </w:rPr>
        <w:t>that can be matched for other variables</w:t>
      </w:r>
      <w:r w:rsidR="00EF3475" w:rsidRPr="005759D1">
        <w:rPr>
          <w:rFonts w:asciiTheme="majorHAnsi" w:hAnsiTheme="majorHAnsi" w:cstheme="majorHAnsi"/>
          <w:sz w:val="22"/>
          <w:szCs w:val="22"/>
        </w:rPr>
        <w:t xml:space="preserve"> in subset analyses</w:t>
      </w:r>
      <w:r w:rsidR="0099315F" w:rsidRPr="005759D1">
        <w:rPr>
          <w:rFonts w:asciiTheme="majorHAnsi" w:hAnsiTheme="majorHAnsi" w:cstheme="majorHAnsi"/>
          <w:sz w:val="22"/>
          <w:szCs w:val="22"/>
        </w:rPr>
        <w:t>.</w:t>
      </w:r>
      <w:r w:rsidR="00F33F53" w:rsidRPr="005759D1">
        <w:rPr>
          <w:rFonts w:asciiTheme="majorHAnsi" w:hAnsiTheme="majorHAnsi" w:cstheme="majorHAnsi"/>
          <w:color w:val="FF0000"/>
          <w:sz w:val="22"/>
          <w:szCs w:val="22"/>
        </w:rPr>
        <w:t xml:space="preserve">  </w:t>
      </w:r>
      <w:r w:rsidR="00F33F53" w:rsidRPr="005759D1">
        <w:rPr>
          <w:rFonts w:asciiTheme="majorHAnsi" w:hAnsiTheme="majorHAnsi" w:cstheme="majorHAnsi"/>
          <w:sz w:val="22"/>
          <w:szCs w:val="22"/>
        </w:rPr>
        <w:t xml:space="preserve">Because of small numbers of subjects in this pilot study, achievement of statistical power is not anticipated, but these results may inform future study designs.  </w:t>
      </w:r>
    </w:p>
    <w:p w:rsidR="00F33F53" w:rsidRPr="005759D1" w:rsidRDefault="00F33F53" w:rsidP="00F33F53">
      <w:pPr>
        <w:pStyle w:val="ListParagraph"/>
        <w:rPr>
          <w:rFonts w:asciiTheme="majorHAnsi" w:hAnsiTheme="majorHAnsi" w:cstheme="majorHAnsi"/>
          <w:sz w:val="22"/>
          <w:szCs w:val="22"/>
        </w:rPr>
      </w:pPr>
    </w:p>
    <w:p w:rsidR="00AB32D5" w:rsidRPr="005759D1" w:rsidRDefault="0099538B" w:rsidP="00AB32D5">
      <w:pPr>
        <w:pStyle w:val="ListParagraph"/>
        <w:numPr>
          <w:ilvl w:val="0"/>
          <w:numId w:val="13"/>
        </w:numPr>
        <w:rPr>
          <w:rFonts w:asciiTheme="majorHAnsi" w:hAnsiTheme="majorHAnsi" w:cstheme="majorHAnsi"/>
          <w:sz w:val="22"/>
          <w:szCs w:val="22"/>
        </w:rPr>
      </w:pPr>
      <w:r w:rsidRPr="005759D1">
        <w:rPr>
          <w:rFonts w:asciiTheme="majorHAnsi" w:hAnsiTheme="majorHAnsi" w:cstheme="majorHAnsi"/>
          <w:sz w:val="22"/>
          <w:szCs w:val="22"/>
        </w:rPr>
        <w:t>Odds</w:t>
      </w:r>
      <w:r w:rsidR="005D3CD0" w:rsidRPr="005759D1">
        <w:rPr>
          <w:rFonts w:asciiTheme="majorHAnsi" w:hAnsiTheme="majorHAnsi" w:cstheme="majorHAnsi"/>
          <w:sz w:val="22"/>
          <w:szCs w:val="22"/>
        </w:rPr>
        <w:t xml:space="preserve"> ratio will be estimated independently and in the context of other risk factors</w:t>
      </w:r>
      <w:r w:rsidRPr="005759D1">
        <w:rPr>
          <w:rFonts w:asciiTheme="majorHAnsi" w:hAnsiTheme="majorHAnsi" w:cstheme="majorHAnsi"/>
          <w:sz w:val="22"/>
          <w:szCs w:val="22"/>
        </w:rPr>
        <w:t xml:space="preserve"> besides miRNA levels among subsets or groupings of patients where such comparisons are possible.  Because of small numbers of subjects in this pilot study, achievement of statistical power is not anticipated, but these results may inform future study designs.  </w:t>
      </w:r>
    </w:p>
    <w:p w:rsidR="005D3CD0" w:rsidRPr="005759D1" w:rsidRDefault="005D3CD0" w:rsidP="005D3CD0">
      <w:pPr>
        <w:pStyle w:val="ListParagraph"/>
        <w:rPr>
          <w:rFonts w:asciiTheme="majorHAnsi" w:hAnsiTheme="majorHAnsi" w:cstheme="majorHAnsi"/>
          <w:sz w:val="22"/>
          <w:szCs w:val="22"/>
        </w:rPr>
      </w:pPr>
    </w:p>
    <w:p w:rsidR="00F33F53" w:rsidRPr="005759D1" w:rsidRDefault="00F33F53" w:rsidP="00F34771">
      <w:pPr>
        <w:rPr>
          <w:rFonts w:asciiTheme="majorHAnsi" w:hAnsiTheme="majorHAnsi" w:cstheme="majorHAnsi"/>
          <w:i/>
          <w:sz w:val="22"/>
          <w:szCs w:val="22"/>
        </w:rPr>
      </w:pPr>
    </w:p>
    <w:p w:rsidR="00F34771" w:rsidRDefault="00F34771" w:rsidP="00F34771">
      <w:pPr>
        <w:rPr>
          <w:rFonts w:asciiTheme="majorHAnsi" w:hAnsiTheme="majorHAnsi" w:cstheme="majorHAnsi"/>
          <w:i/>
          <w:sz w:val="22"/>
          <w:szCs w:val="22"/>
        </w:rPr>
      </w:pPr>
      <w:r w:rsidRPr="005759D1">
        <w:rPr>
          <w:rFonts w:asciiTheme="majorHAnsi" w:hAnsiTheme="majorHAnsi" w:cstheme="majorHAnsi"/>
          <w:i/>
          <w:sz w:val="22"/>
          <w:szCs w:val="22"/>
        </w:rPr>
        <w:t>Study Strengths and Limitations</w:t>
      </w:r>
    </w:p>
    <w:p w:rsidR="00893D4E" w:rsidRPr="005759D1" w:rsidRDefault="00893D4E" w:rsidP="00F34771">
      <w:pPr>
        <w:rPr>
          <w:rFonts w:asciiTheme="majorHAnsi" w:hAnsiTheme="majorHAnsi" w:cstheme="majorHAnsi"/>
          <w:i/>
          <w:sz w:val="22"/>
          <w:szCs w:val="22"/>
        </w:rPr>
      </w:pPr>
    </w:p>
    <w:p w:rsidR="00F34771" w:rsidRPr="005759D1" w:rsidRDefault="0041765C" w:rsidP="00F34771">
      <w:pPr>
        <w:rPr>
          <w:rFonts w:asciiTheme="majorHAnsi" w:hAnsiTheme="majorHAnsi" w:cstheme="majorHAnsi"/>
          <w:sz w:val="22"/>
          <w:szCs w:val="22"/>
        </w:rPr>
      </w:pPr>
      <w:r w:rsidRPr="005759D1">
        <w:rPr>
          <w:rFonts w:asciiTheme="majorHAnsi" w:hAnsiTheme="majorHAnsi" w:cstheme="majorHAnsi"/>
          <w:b/>
          <w:sz w:val="22"/>
          <w:szCs w:val="22"/>
        </w:rPr>
        <w:t>Strengths of the study include its novelty:  no prior study has piloted expression patterns of miRNA in the context of POAF.</w:t>
      </w:r>
      <w:r w:rsidRPr="005759D1">
        <w:rPr>
          <w:rFonts w:asciiTheme="majorHAnsi" w:hAnsiTheme="majorHAnsi" w:cstheme="majorHAnsi"/>
          <w:sz w:val="22"/>
          <w:szCs w:val="22"/>
        </w:rPr>
        <w:t xml:space="preserve">  Further, since these molecules are relatively stable, they represent a potential new source of biomarker for predicting onset of POAF.  Once the assay has determined the most relevant miRNAs and these have been validated in a larger sample, a custom screening panel could be </w:t>
      </w:r>
      <w:r w:rsidR="004A7C85" w:rsidRPr="005759D1">
        <w:rPr>
          <w:rFonts w:asciiTheme="majorHAnsi" w:hAnsiTheme="majorHAnsi" w:cstheme="majorHAnsi"/>
          <w:sz w:val="22"/>
          <w:szCs w:val="22"/>
        </w:rPr>
        <w:t>designed for prospective use</w:t>
      </w:r>
      <w:r w:rsidRPr="005759D1">
        <w:rPr>
          <w:rFonts w:asciiTheme="majorHAnsi" w:hAnsiTheme="majorHAnsi" w:cstheme="majorHAnsi"/>
          <w:sz w:val="22"/>
          <w:szCs w:val="22"/>
        </w:rPr>
        <w:t xml:space="preserve"> as a relatively low cos</w:t>
      </w:r>
      <w:r w:rsidR="004A7C85" w:rsidRPr="005759D1">
        <w:rPr>
          <w:rFonts w:asciiTheme="majorHAnsi" w:hAnsiTheme="majorHAnsi" w:cstheme="majorHAnsi"/>
          <w:sz w:val="22"/>
          <w:szCs w:val="22"/>
        </w:rPr>
        <w:t>t screening tool in conjunction with the POAF risk index (1)</w:t>
      </w:r>
      <w:r w:rsidR="00795AF5" w:rsidRPr="005759D1">
        <w:rPr>
          <w:rFonts w:asciiTheme="majorHAnsi" w:hAnsiTheme="majorHAnsi" w:cstheme="majorHAnsi"/>
          <w:sz w:val="22"/>
          <w:szCs w:val="22"/>
        </w:rPr>
        <w:t>.</w:t>
      </w:r>
    </w:p>
    <w:p w:rsidR="00F34771" w:rsidRPr="005759D1" w:rsidRDefault="00F34771" w:rsidP="00F34771">
      <w:pPr>
        <w:rPr>
          <w:rFonts w:asciiTheme="majorHAnsi" w:hAnsiTheme="majorHAnsi" w:cstheme="majorHAnsi"/>
          <w:sz w:val="22"/>
          <w:szCs w:val="22"/>
        </w:rPr>
      </w:pPr>
    </w:p>
    <w:p w:rsidR="004A7C85" w:rsidRPr="005759D1" w:rsidRDefault="004A7C85" w:rsidP="00F34771">
      <w:pPr>
        <w:rPr>
          <w:rFonts w:asciiTheme="majorHAnsi" w:hAnsiTheme="majorHAnsi" w:cstheme="majorHAnsi"/>
          <w:sz w:val="22"/>
          <w:szCs w:val="22"/>
        </w:rPr>
      </w:pPr>
      <w:r w:rsidRPr="005759D1">
        <w:rPr>
          <w:rFonts w:asciiTheme="majorHAnsi" w:hAnsiTheme="majorHAnsi" w:cstheme="majorHAnsi"/>
          <w:sz w:val="22"/>
          <w:szCs w:val="22"/>
        </w:rPr>
        <w:t xml:space="preserve">Limitations:  </w:t>
      </w:r>
    </w:p>
    <w:p w:rsidR="004A7C85" w:rsidRPr="005759D1" w:rsidRDefault="004A7C85" w:rsidP="00F34771">
      <w:pPr>
        <w:rPr>
          <w:rFonts w:asciiTheme="majorHAnsi" w:hAnsiTheme="majorHAnsi" w:cstheme="majorHAnsi"/>
          <w:sz w:val="22"/>
          <w:szCs w:val="22"/>
        </w:rPr>
      </w:pPr>
      <w:r w:rsidRPr="005759D1">
        <w:rPr>
          <w:rFonts w:asciiTheme="majorHAnsi" w:hAnsiTheme="majorHAnsi" w:cstheme="majorHAnsi"/>
          <w:sz w:val="22"/>
          <w:szCs w:val="22"/>
        </w:rPr>
        <w:t>The present study is limited by budget constraints to only accomplish preliminary identification of potential candidate miRNAs.  Validation will be required in an expanded study cohort and is beyond the scope of the present pilot study.  Further, because of the complex physiology associated with emergence of POAF, it is likely that different miRNAs may be identified in different patients due to variability in comorbidities across subjects.</w:t>
      </w:r>
      <w:r w:rsidR="00FB55FE" w:rsidRPr="005759D1">
        <w:rPr>
          <w:rFonts w:asciiTheme="majorHAnsi" w:hAnsiTheme="majorHAnsi" w:cstheme="majorHAnsi"/>
          <w:sz w:val="22"/>
          <w:szCs w:val="22"/>
        </w:rPr>
        <w:t xml:space="preserve">  In a larger study, matching of cases with controls will help to examine the utility of the markers across a range of patients with various comorbidities and exposures.  Alternatively, it is possible that common pathways may underlie emergence.  </w:t>
      </w:r>
    </w:p>
    <w:p w:rsidR="00FB55FE" w:rsidRPr="005759D1" w:rsidRDefault="00FB55FE" w:rsidP="00F34771">
      <w:pPr>
        <w:rPr>
          <w:rFonts w:asciiTheme="majorHAnsi" w:hAnsiTheme="majorHAnsi" w:cstheme="majorHAnsi"/>
          <w:sz w:val="22"/>
          <w:szCs w:val="22"/>
        </w:rPr>
      </w:pPr>
    </w:p>
    <w:p w:rsidR="00AB32D5" w:rsidRPr="005759D1" w:rsidRDefault="005E2B63" w:rsidP="005E2B63">
      <w:pPr>
        <w:ind w:left="360"/>
        <w:rPr>
          <w:rFonts w:asciiTheme="majorHAnsi" w:hAnsiTheme="majorHAnsi" w:cstheme="majorHAnsi"/>
          <w:b/>
          <w:sz w:val="22"/>
          <w:szCs w:val="22"/>
        </w:rPr>
      </w:pPr>
      <w:r w:rsidRPr="005759D1">
        <w:rPr>
          <w:rFonts w:asciiTheme="majorHAnsi" w:hAnsiTheme="majorHAnsi" w:cstheme="majorHAnsi"/>
          <w:b/>
          <w:sz w:val="22"/>
          <w:szCs w:val="22"/>
        </w:rPr>
        <w:t>G.</w:t>
      </w:r>
      <w:r w:rsidR="003A3D73" w:rsidRPr="005759D1">
        <w:rPr>
          <w:rFonts w:asciiTheme="majorHAnsi" w:hAnsiTheme="majorHAnsi" w:cstheme="majorHAnsi"/>
          <w:b/>
          <w:sz w:val="22"/>
          <w:szCs w:val="22"/>
        </w:rPr>
        <w:t>Timeline</w:t>
      </w:r>
    </w:p>
    <w:p w:rsidR="007D3F4B" w:rsidRPr="005759D1" w:rsidRDefault="00CA7BBC" w:rsidP="00B72608">
      <w:pPr>
        <w:rPr>
          <w:rFonts w:asciiTheme="majorHAnsi" w:hAnsiTheme="majorHAnsi" w:cstheme="majorHAnsi"/>
          <w:b/>
          <w:i/>
          <w:sz w:val="22"/>
          <w:szCs w:val="22"/>
        </w:rPr>
      </w:pPr>
      <w:r w:rsidRPr="005759D1">
        <w:rPr>
          <w:rFonts w:asciiTheme="majorHAnsi" w:hAnsiTheme="majorHAnsi" w:cstheme="majorHAnsi"/>
          <w:b/>
          <w:i/>
          <w:sz w:val="22"/>
          <w:szCs w:val="22"/>
        </w:rPr>
        <w:t xml:space="preserve">Revised:  </w:t>
      </w:r>
    </w:p>
    <w:tbl>
      <w:tblPr>
        <w:tblStyle w:val="TableGrid"/>
        <w:tblW w:w="0" w:type="auto"/>
        <w:tblLook w:val="01E0" w:firstRow="1" w:lastRow="1" w:firstColumn="1" w:lastColumn="1" w:noHBand="0" w:noVBand="0"/>
      </w:tblPr>
      <w:tblGrid>
        <w:gridCol w:w="6768"/>
        <w:gridCol w:w="2088"/>
      </w:tblGrid>
      <w:tr w:rsidR="00A56EAD" w:rsidRPr="005759D1" w:rsidTr="00A56EAD">
        <w:tc>
          <w:tcPr>
            <w:tcW w:w="6768" w:type="dxa"/>
          </w:tcPr>
          <w:p w:rsidR="00A56EAD" w:rsidRPr="005759D1" w:rsidRDefault="00A56EAD" w:rsidP="00A56EAD">
            <w:pPr>
              <w:jc w:val="center"/>
              <w:rPr>
                <w:rFonts w:asciiTheme="majorHAnsi" w:hAnsiTheme="majorHAnsi" w:cstheme="majorHAnsi"/>
                <w:b/>
                <w:sz w:val="22"/>
                <w:szCs w:val="22"/>
              </w:rPr>
            </w:pPr>
            <w:r w:rsidRPr="005759D1">
              <w:rPr>
                <w:rFonts w:asciiTheme="majorHAnsi" w:hAnsiTheme="majorHAnsi" w:cstheme="majorHAnsi"/>
                <w:b/>
                <w:sz w:val="22"/>
                <w:szCs w:val="22"/>
              </w:rPr>
              <w:t>Task</w:t>
            </w:r>
          </w:p>
        </w:tc>
        <w:tc>
          <w:tcPr>
            <w:tcW w:w="2088" w:type="dxa"/>
          </w:tcPr>
          <w:p w:rsidR="00A56EAD" w:rsidRPr="005759D1" w:rsidRDefault="00A56EAD" w:rsidP="00A56EAD">
            <w:pPr>
              <w:jc w:val="center"/>
              <w:rPr>
                <w:rFonts w:asciiTheme="majorHAnsi" w:hAnsiTheme="majorHAnsi" w:cstheme="majorHAnsi"/>
                <w:b/>
                <w:sz w:val="22"/>
                <w:szCs w:val="22"/>
              </w:rPr>
            </w:pPr>
            <w:r w:rsidRPr="005759D1">
              <w:rPr>
                <w:rFonts w:asciiTheme="majorHAnsi" w:hAnsiTheme="majorHAnsi" w:cstheme="majorHAnsi"/>
                <w:b/>
                <w:sz w:val="22"/>
                <w:szCs w:val="22"/>
              </w:rPr>
              <w:t>Timeline</w:t>
            </w:r>
          </w:p>
        </w:tc>
      </w:tr>
      <w:tr w:rsidR="00A56EAD" w:rsidRPr="005759D1" w:rsidTr="00A56EAD">
        <w:tc>
          <w:tcPr>
            <w:tcW w:w="676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Pre enrollment planning to include testing and finalization of protocol elements, data forms and training of research staff regarding logistics of enrollment/specimen/data collection and follow up, preparation of data and specimen repositories to collect samples/data.</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 1</w:t>
            </w:r>
          </w:p>
        </w:tc>
      </w:tr>
      <w:tr w:rsidR="00A56EAD" w:rsidRPr="005759D1" w:rsidTr="00A56EAD">
        <w:tc>
          <w:tcPr>
            <w:tcW w:w="676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Screening, enrolling, collecting specimens from all participants, identify cases, matching cases to controls.</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Months 2-8</w:t>
            </w:r>
          </w:p>
        </w:tc>
      </w:tr>
      <w:tr w:rsidR="00A56EAD" w:rsidRPr="005759D1" w:rsidTr="00A56EAD">
        <w:tc>
          <w:tcPr>
            <w:tcW w:w="676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sz w:val="22"/>
                <w:szCs w:val="22"/>
              </w:rPr>
              <w:t>Run Qiagen’s Human Serum &amp; Plasma miScript miRNA Array profiling 84 miRNA’s using the 384</w:t>
            </w:r>
            <w:r w:rsidR="00795AF5" w:rsidRPr="005759D1">
              <w:rPr>
                <w:rFonts w:asciiTheme="majorHAnsi" w:hAnsiTheme="majorHAnsi" w:cstheme="majorHAnsi"/>
                <w:sz w:val="22"/>
                <w:szCs w:val="22"/>
              </w:rPr>
              <w:t>-</w:t>
            </w:r>
            <w:r w:rsidRPr="005759D1">
              <w:rPr>
                <w:rFonts w:asciiTheme="majorHAnsi" w:hAnsiTheme="majorHAnsi" w:cstheme="majorHAnsi"/>
                <w:sz w:val="22"/>
                <w:szCs w:val="22"/>
              </w:rPr>
              <w:t>well format to test 4 samples (2 cases and 2 controls) and repeat on a separate day to establish in house miRNA handling protocols and test sensitivity, specificity and reporduc</w:t>
            </w:r>
            <w:r w:rsidR="00795AF5" w:rsidRPr="005759D1">
              <w:rPr>
                <w:rFonts w:asciiTheme="majorHAnsi" w:hAnsiTheme="majorHAnsi" w:cstheme="majorHAnsi"/>
                <w:sz w:val="22"/>
                <w:szCs w:val="22"/>
              </w:rPr>
              <w:t>i</w:t>
            </w:r>
            <w:r w:rsidRPr="005759D1">
              <w:rPr>
                <w:rFonts w:asciiTheme="majorHAnsi" w:hAnsiTheme="majorHAnsi" w:cstheme="majorHAnsi"/>
                <w:sz w:val="22"/>
                <w:szCs w:val="22"/>
              </w:rPr>
              <w:t>bility of the commercial assay in our laboratory.</w:t>
            </w:r>
            <w:r w:rsidRPr="005759D1">
              <w:rPr>
                <w:rFonts w:asciiTheme="majorHAnsi" w:hAnsiTheme="majorHAnsi" w:cstheme="majorHAnsi"/>
                <w:b/>
                <w:sz w:val="22"/>
                <w:szCs w:val="22"/>
              </w:rPr>
              <w:t xml:space="preserve"> </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Months 4-6</w:t>
            </w:r>
          </w:p>
        </w:tc>
      </w:tr>
      <w:tr w:rsidR="00A56EAD" w:rsidRPr="005759D1" w:rsidTr="00A56EAD">
        <w:tc>
          <w:tcPr>
            <w:tcW w:w="6768" w:type="dxa"/>
          </w:tcPr>
          <w:p w:rsidR="00A56EAD" w:rsidRPr="005759D1" w:rsidRDefault="00A56EAD" w:rsidP="00A56EAD">
            <w:pPr>
              <w:rPr>
                <w:rFonts w:asciiTheme="majorHAnsi" w:hAnsiTheme="majorHAnsi" w:cstheme="majorHAnsi"/>
                <w:sz w:val="22"/>
                <w:szCs w:val="22"/>
              </w:rPr>
            </w:pPr>
            <w:r w:rsidRPr="005759D1">
              <w:rPr>
                <w:rFonts w:asciiTheme="majorHAnsi" w:hAnsiTheme="majorHAnsi" w:cstheme="majorHAnsi"/>
                <w:sz w:val="22"/>
                <w:szCs w:val="22"/>
              </w:rPr>
              <w:t>Run miRNome miRNA PCR arrays to test of one case and one control in duplicate to QA this array.</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Months 7-8</w:t>
            </w:r>
          </w:p>
        </w:tc>
      </w:tr>
      <w:tr w:rsidR="00A56EAD" w:rsidRPr="005759D1" w:rsidTr="00A56EAD">
        <w:tc>
          <w:tcPr>
            <w:tcW w:w="6768" w:type="dxa"/>
          </w:tcPr>
          <w:p w:rsidR="00A56EAD" w:rsidRPr="005759D1" w:rsidRDefault="00A56EAD" w:rsidP="00A56EAD">
            <w:pPr>
              <w:rPr>
                <w:rFonts w:asciiTheme="majorHAnsi" w:hAnsiTheme="majorHAnsi" w:cstheme="majorHAnsi"/>
                <w:sz w:val="22"/>
                <w:szCs w:val="22"/>
              </w:rPr>
            </w:pPr>
            <w:r w:rsidRPr="005759D1">
              <w:rPr>
                <w:rFonts w:asciiTheme="majorHAnsi" w:hAnsiTheme="majorHAnsi" w:cstheme="majorHAnsi"/>
                <w:sz w:val="22"/>
                <w:szCs w:val="22"/>
              </w:rPr>
              <w:t>Run miRNome miRNA PCR arrays to test the remaining 14 samples (7 cases and 7 controls</w:t>
            </w:r>
            <w:r w:rsidR="00795AF5" w:rsidRPr="005759D1">
              <w:rPr>
                <w:rFonts w:asciiTheme="majorHAnsi" w:hAnsiTheme="majorHAnsi" w:cstheme="majorHAnsi"/>
                <w:sz w:val="22"/>
                <w:szCs w:val="22"/>
              </w:rPr>
              <w:t>)</w:t>
            </w:r>
            <w:r w:rsidRPr="005759D1">
              <w:rPr>
                <w:rFonts w:asciiTheme="majorHAnsi" w:hAnsiTheme="majorHAnsi" w:cstheme="majorHAnsi"/>
                <w:sz w:val="22"/>
                <w:szCs w:val="22"/>
              </w:rPr>
              <w:t>.</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 9-10</w:t>
            </w:r>
          </w:p>
        </w:tc>
      </w:tr>
      <w:tr w:rsidR="00A56EAD" w:rsidRPr="005759D1" w:rsidTr="00A56EAD">
        <w:tc>
          <w:tcPr>
            <w:tcW w:w="676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Analyze data.</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 11</w:t>
            </w:r>
          </w:p>
        </w:tc>
      </w:tr>
      <w:tr w:rsidR="00A56EAD" w:rsidRPr="005759D1" w:rsidTr="00A56EAD">
        <w:tc>
          <w:tcPr>
            <w:tcW w:w="676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Draft manuscript</w:t>
            </w:r>
          </w:p>
        </w:tc>
        <w:tc>
          <w:tcPr>
            <w:tcW w:w="2088" w:type="dxa"/>
          </w:tcPr>
          <w:p w:rsidR="00A56EAD" w:rsidRPr="005759D1" w:rsidRDefault="00A56EAD" w:rsidP="00A56EAD">
            <w:pPr>
              <w:rPr>
                <w:rFonts w:asciiTheme="majorHAnsi" w:hAnsiTheme="majorHAnsi" w:cstheme="majorHAnsi"/>
                <w:b/>
                <w:sz w:val="22"/>
                <w:szCs w:val="22"/>
              </w:rPr>
            </w:pPr>
            <w:r w:rsidRPr="005759D1">
              <w:rPr>
                <w:rFonts w:asciiTheme="majorHAnsi" w:hAnsiTheme="majorHAnsi" w:cstheme="majorHAnsi"/>
                <w:b/>
                <w:sz w:val="22"/>
                <w:szCs w:val="22"/>
              </w:rPr>
              <w:t>Month 12</w:t>
            </w:r>
          </w:p>
        </w:tc>
      </w:tr>
    </w:tbl>
    <w:p w:rsidR="00A56EAD" w:rsidRPr="005759D1" w:rsidRDefault="00A56EAD" w:rsidP="00B72608">
      <w:pPr>
        <w:rPr>
          <w:rFonts w:asciiTheme="majorHAnsi" w:hAnsiTheme="majorHAnsi" w:cstheme="majorHAnsi"/>
          <w:sz w:val="22"/>
          <w:szCs w:val="22"/>
        </w:rPr>
      </w:pPr>
    </w:p>
    <w:p w:rsidR="007D3F4B" w:rsidRPr="005759D1" w:rsidRDefault="005E2B63" w:rsidP="005E2B63">
      <w:pPr>
        <w:ind w:left="360"/>
        <w:rPr>
          <w:rFonts w:asciiTheme="majorHAnsi" w:hAnsiTheme="majorHAnsi" w:cstheme="majorHAnsi"/>
          <w:b/>
          <w:sz w:val="22"/>
          <w:szCs w:val="22"/>
        </w:rPr>
      </w:pPr>
      <w:r w:rsidRPr="005759D1">
        <w:rPr>
          <w:rFonts w:asciiTheme="majorHAnsi" w:hAnsiTheme="majorHAnsi" w:cstheme="majorHAnsi"/>
          <w:b/>
          <w:sz w:val="22"/>
          <w:szCs w:val="22"/>
        </w:rPr>
        <w:t xml:space="preserve">H. Revised </w:t>
      </w:r>
      <w:r w:rsidR="006E4A3E" w:rsidRPr="005759D1">
        <w:rPr>
          <w:rFonts w:asciiTheme="majorHAnsi" w:hAnsiTheme="majorHAnsi" w:cstheme="majorHAnsi"/>
          <w:b/>
          <w:sz w:val="22"/>
          <w:szCs w:val="22"/>
        </w:rPr>
        <w:t>Budget (see attached)</w:t>
      </w:r>
    </w:p>
    <w:p w:rsidR="006E4A3E" w:rsidRPr="005759D1" w:rsidRDefault="006E4A3E" w:rsidP="006E4A3E">
      <w:pPr>
        <w:pStyle w:val="ListParagraph"/>
        <w:rPr>
          <w:rFonts w:asciiTheme="majorHAnsi" w:hAnsiTheme="majorHAnsi" w:cstheme="majorHAnsi"/>
          <w:b/>
          <w:sz w:val="22"/>
          <w:szCs w:val="22"/>
        </w:rPr>
      </w:pPr>
    </w:p>
    <w:p w:rsidR="00A56EAD" w:rsidRPr="005759D1" w:rsidRDefault="00A56EAD" w:rsidP="005E2B63">
      <w:pPr>
        <w:pStyle w:val="ListParagraph"/>
        <w:numPr>
          <w:ilvl w:val="0"/>
          <w:numId w:val="18"/>
        </w:numPr>
        <w:ind w:left="630" w:hanging="270"/>
        <w:rPr>
          <w:rFonts w:asciiTheme="majorHAnsi" w:hAnsiTheme="majorHAnsi" w:cstheme="majorHAnsi"/>
          <w:b/>
          <w:sz w:val="22"/>
          <w:szCs w:val="22"/>
        </w:rPr>
      </w:pPr>
      <w:r w:rsidRPr="005759D1">
        <w:rPr>
          <w:rFonts w:asciiTheme="majorHAnsi" w:hAnsiTheme="majorHAnsi" w:cstheme="majorHAnsi"/>
          <w:b/>
          <w:sz w:val="22"/>
          <w:szCs w:val="22"/>
        </w:rPr>
        <w:t>Literature cited</w:t>
      </w:r>
    </w:p>
    <w:p w:rsidR="00A56EAD" w:rsidRPr="005759D1" w:rsidRDefault="0046511F"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hyperlink r:id="rId29" w:history="1">
        <w:r w:rsidR="00A56EAD" w:rsidRPr="005759D1">
          <w:rPr>
            <w:rFonts w:asciiTheme="majorHAnsi" w:hAnsiTheme="majorHAnsi" w:cstheme="majorHAnsi"/>
            <w:bCs/>
            <w:kern w:val="36"/>
            <w:sz w:val="22"/>
            <w:szCs w:val="22"/>
          </w:rPr>
          <w:t>Mathew JP</w:t>
        </w:r>
      </w:hyperlink>
      <w:r w:rsidR="00A56EAD" w:rsidRPr="005759D1">
        <w:rPr>
          <w:rFonts w:asciiTheme="majorHAnsi" w:hAnsiTheme="majorHAnsi" w:cstheme="majorHAnsi"/>
          <w:bCs/>
          <w:kern w:val="36"/>
          <w:sz w:val="22"/>
          <w:szCs w:val="22"/>
        </w:rPr>
        <w:t xml:space="preserve">, </w:t>
      </w:r>
      <w:hyperlink r:id="rId30" w:history="1">
        <w:r w:rsidR="00A56EAD" w:rsidRPr="005759D1">
          <w:rPr>
            <w:rFonts w:asciiTheme="majorHAnsi" w:hAnsiTheme="majorHAnsi" w:cstheme="majorHAnsi"/>
            <w:bCs/>
            <w:kern w:val="36"/>
            <w:sz w:val="22"/>
            <w:szCs w:val="22"/>
          </w:rPr>
          <w:t>Fontes ML</w:t>
        </w:r>
      </w:hyperlink>
      <w:r w:rsidR="00A56EAD" w:rsidRPr="005759D1">
        <w:rPr>
          <w:rFonts w:asciiTheme="majorHAnsi" w:hAnsiTheme="majorHAnsi" w:cstheme="majorHAnsi"/>
          <w:bCs/>
          <w:kern w:val="36"/>
          <w:sz w:val="22"/>
          <w:szCs w:val="22"/>
        </w:rPr>
        <w:t xml:space="preserve">, </w:t>
      </w:r>
      <w:hyperlink r:id="rId31" w:history="1">
        <w:r w:rsidR="00A56EAD" w:rsidRPr="005759D1">
          <w:rPr>
            <w:rFonts w:asciiTheme="majorHAnsi" w:hAnsiTheme="majorHAnsi" w:cstheme="majorHAnsi"/>
            <w:bCs/>
            <w:kern w:val="36"/>
            <w:sz w:val="22"/>
            <w:szCs w:val="22"/>
          </w:rPr>
          <w:t>Tudor IC</w:t>
        </w:r>
      </w:hyperlink>
      <w:r w:rsidR="00A56EAD" w:rsidRPr="005759D1">
        <w:rPr>
          <w:rFonts w:asciiTheme="majorHAnsi" w:hAnsiTheme="majorHAnsi" w:cstheme="majorHAnsi"/>
          <w:bCs/>
          <w:kern w:val="36"/>
          <w:sz w:val="22"/>
          <w:szCs w:val="22"/>
        </w:rPr>
        <w:t xml:space="preserve">, </w:t>
      </w:r>
      <w:hyperlink r:id="rId32" w:history="1">
        <w:r w:rsidR="00A56EAD" w:rsidRPr="005759D1">
          <w:rPr>
            <w:rFonts w:asciiTheme="majorHAnsi" w:hAnsiTheme="majorHAnsi" w:cstheme="majorHAnsi"/>
            <w:bCs/>
            <w:kern w:val="36"/>
            <w:sz w:val="22"/>
            <w:szCs w:val="22"/>
          </w:rPr>
          <w:t>Ramsay J</w:t>
        </w:r>
      </w:hyperlink>
      <w:r w:rsidR="00A56EAD" w:rsidRPr="005759D1">
        <w:rPr>
          <w:rFonts w:asciiTheme="majorHAnsi" w:hAnsiTheme="majorHAnsi" w:cstheme="majorHAnsi"/>
          <w:bCs/>
          <w:kern w:val="36"/>
          <w:sz w:val="22"/>
          <w:szCs w:val="22"/>
        </w:rPr>
        <w:t xml:space="preserve">, </w:t>
      </w:r>
      <w:hyperlink r:id="rId33" w:history="1">
        <w:r w:rsidR="00A56EAD" w:rsidRPr="005759D1">
          <w:rPr>
            <w:rFonts w:asciiTheme="majorHAnsi" w:hAnsiTheme="majorHAnsi" w:cstheme="majorHAnsi"/>
            <w:bCs/>
            <w:kern w:val="36"/>
            <w:sz w:val="22"/>
            <w:szCs w:val="22"/>
          </w:rPr>
          <w:t>Duke P</w:t>
        </w:r>
      </w:hyperlink>
      <w:r w:rsidR="00A56EAD" w:rsidRPr="005759D1">
        <w:rPr>
          <w:rFonts w:asciiTheme="majorHAnsi" w:hAnsiTheme="majorHAnsi" w:cstheme="majorHAnsi"/>
          <w:bCs/>
          <w:kern w:val="36"/>
          <w:sz w:val="22"/>
          <w:szCs w:val="22"/>
        </w:rPr>
        <w:t xml:space="preserve">, </w:t>
      </w:r>
      <w:hyperlink r:id="rId34" w:history="1">
        <w:r w:rsidR="00A56EAD" w:rsidRPr="005759D1">
          <w:rPr>
            <w:rFonts w:asciiTheme="majorHAnsi" w:hAnsiTheme="majorHAnsi" w:cstheme="majorHAnsi"/>
            <w:bCs/>
            <w:kern w:val="36"/>
            <w:sz w:val="22"/>
            <w:szCs w:val="22"/>
          </w:rPr>
          <w:t>Mazer CD</w:t>
        </w:r>
      </w:hyperlink>
      <w:r w:rsidR="00A56EAD" w:rsidRPr="005759D1">
        <w:rPr>
          <w:rFonts w:asciiTheme="majorHAnsi" w:hAnsiTheme="majorHAnsi" w:cstheme="majorHAnsi"/>
          <w:bCs/>
          <w:kern w:val="36"/>
          <w:sz w:val="22"/>
          <w:szCs w:val="22"/>
        </w:rPr>
        <w:t xml:space="preserve">, </w:t>
      </w:r>
      <w:hyperlink r:id="rId35" w:history="1">
        <w:r w:rsidR="00A56EAD" w:rsidRPr="005759D1">
          <w:rPr>
            <w:rFonts w:asciiTheme="majorHAnsi" w:hAnsiTheme="majorHAnsi" w:cstheme="majorHAnsi"/>
            <w:bCs/>
            <w:kern w:val="36"/>
            <w:sz w:val="22"/>
            <w:szCs w:val="22"/>
          </w:rPr>
          <w:t>Barash PG</w:t>
        </w:r>
      </w:hyperlink>
      <w:r w:rsidR="00A56EAD" w:rsidRPr="005759D1">
        <w:rPr>
          <w:rFonts w:asciiTheme="majorHAnsi" w:hAnsiTheme="majorHAnsi" w:cstheme="majorHAnsi"/>
          <w:bCs/>
          <w:kern w:val="36"/>
          <w:sz w:val="22"/>
          <w:szCs w:val="22"/>
        </w:rPr>
        <w:t xml:space="preserve">, </w:t>
      </w:r>
      <w:hyperlink r:id="rId36" w:history="1">
        <w:r w:rsidR="00A56EAD" w:rsidRPr="005759D1">
          <w:rPr>
            <w:rFonts w:asciiTheme="majorHAnsi" w:hAnsiTheme="majorHAnsi" w:cstheme="majorHAnsi"/>
            <w:bCs/>
            <w:kern w:val="36"/>
            <w:sz w:val="22"/>
            <w:szCs w:val="22"/>
          </w:rPr>
          <w:t>Hsu PH</w:t>
        </w:r>
      </w:hyperlink>
      <w:r w:rsidR="00A56EAD" w:rsidRPr="005759D1">
        <w:rPr>
          <w:rFonts w:asciiTheme="majorHAnsi" w:hAnsiTheme="majorHAnsi" w:cstheme="majorHAnsi"/>
          <w:bCs/>
          <w:kern w:val="36"/>
          <w:sz w:val="22"/>
          <w:szCs w:val="22"/>
        </w:rPr>
        <w:t xml:space="preserve">, </w:t>
      </w:r>
      <w:hyperlink r:id="rId37" w:history="1">
        <w:r w:rsidR="00A56EAD" w:rsidRPr="005759D1">
          <w:rPr>
            <w:rFonts w:asciiTheme="majorHAnsi" w:hAnsiTheme="majorHAnsi" w:cstheme="majorHAnsi"/>
            <w:bCs/>
            <w:kern w:val="36"/>
            <w:sz w:val="22"/>
            <w:szCs w:val="22"/>
          </w:rPr>
          <w:t>Mangano DT</w:t>
        </w:r>
      </w:hyperlink>
      <w:r w:rsidR="00A56EAD" w:rsidRPr="005759D1">
        <w:rPr>
          <w:rFonts w:asciiTheme="majorHAnsi" w:hAnsiTheme="majorHAnsi" w:cstheme="majorHAnsi"/>
          <w:bCs/>
          <w:kern w:val="36"/>
          <w:sz w:val="22"/>
          <w:szCs w:val="22"/>
        </w:rPr>
        <w:t xml:space="preserve">; </w:t>
      </w:r>
      <w:hyperlink r:id="rId38" w:history="1">
        <w:r w:rsidR="00A56EAD" w:rsidRPr="005759D1">
          <w:rPr>
            <w:rFonts w:asciiTheme="majorHAnsi" w:hAnsiTheme="majorHAnsi" w:cstheme="majorHAnsi"/>
            <w:bCs/>
            <w:kern w:val="36"/>
            <w:sz w:val="22"/>
            <w:szCs w:val="22"/>
          </w:rPr>
          <w:t>Investigators of the Ischemia Research and Education Foundation</w:t>
        </w:r>
      </w:hyperlink>
      <w:r w:rsidR="00A56EAD" w:rsidRPr="005759D1">
        <w:rPr>
          <w:rFonts w:asciiTheme="majorHAnsi" w:hAnsiTheme="majorHAnsi" w:cstheme="majorHAnsi"/>
          <w:bCs/>
          <w:kern w:val="36"/>
          <w:sz w:val="22"/>
          <w:szCs w:val="22"/>
        </w:rPr>
        <w:t xml:space="preserve">; </w:t>
      </w:r>
      <w:hyperlink r:id="rId39" w:history="1">
        <w:r w:rsidR="00A56EAD" w:rsidRPr="005759D1">
          <w:rPr>
            <w:rFonts w:asciiTheme="majorHAnsi" w:hAnsiTheme="majorHAnsi" w:cstheme="majorHAnsi"/>
            <w:bCs/>
            <w:kern w:val="36"/>
            <w:sz w:val="22"/>
            <w:szCs w:val="22"/>
          </w:rPr>
          <w:t>Multicenter Study of Perioperative Ischemia Research Group</w:t>
        </w:r>
      </w:hyperlink>
      <w:r w:rsidR="00A56EAD" w:rsidRPr="005759D1">
        <w:rPr>
          <w:rFonts w:asciiTheme="majorHAnsi" w:hAnsiTheme="majorHAnsi" w:cstheme="majorHAnsi"/>
          <w:bCs/>
          <w:kern w:val="36"/>
          <w:sz w:val="22"/>
          <w:szCs w:val="22"/>
        </w:rPr>
        <w:t xml:space="preserve">.  A multicenter risk index for atrial fibrillation after cardiac surgery. </w:t>
      </w:r>
      <w:hyperlink r:id="rId40" w:anchor="#" w:tooltip="JAMA : the journal of the American Medical Association." w:history="1">
        <w:r w:rsidR="00A56EAD" w:rsidRPr="005759D1">
          <w:rPr>
            <w:rFonts w:asciiTheme="majorHAnsi" w:hAnsiTheme="majorHAnsi" w:cstheme="majorHAnsi"/>
            <w:bCs/>
            <w:kern w:val="36"/>
            <w:sz w:val="22"/>
            <w:szCs w:val="22"/>
            <w:u w:val="single"/>
          </w:rPr>
          <w:t>JAMA.</w:t>
        </w:r>
      </w:hyperlink>
      <w:r w:rsidR="00A56EAD" w:rsidRPr="005759D1">
        <w:rPr>
          <w:rFonts w:asciiTheme="majorHAnsi" w:hAnsiTheme="majorHAnsi" w:cstheme="majorHAnsi"/>
          <w:bCs/>
          <w:kern w:val="36"/>
          <w:sz w:val="22"/>
          <w:szCs w:val="22"/>
        </w:rPr>
        <w:t xml:space="preserve"> 2004 291:1720-9.</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Fuster V, Ryden LE, Cannom DS, Crijns HJ, Curtis AB, Ellenbogen KA, Halperin JL, Kay N, Le Huezey J-Y, Lowe JE, Olsson SB, Prystowsky EN, Tamargo JL, Wann LS, Estes III NA, Ezekowitz KA, Jckman WM, January CT, Page RL, Slotwiner DJ, Stevenson WG, Tracy CM. 2011 ACCF/AHA/HRS focused updates incorporated into the ACC/AHA/ESC 2006 Guidelines for the management of patients with atrial fibrillation.  J Am Coll Cardiol 2011 57:e101-198.</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Baker WL and White CM.  Post cardiothoracic surgery atrial fibrillation: a review of preventive strategies.  Annals of Pharmacotherapy 2007 41”  587-98.</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Gilad S, Meiri E, Yogev Y, Benjamin S, Lebanony D, Yerushalmi N Benjamin H, Kushnir M, Cholakh H, Melamed N, Bentwich Z, Hod M, Goren Y, Chajut A.  Serum microRNAs are promising novel biomarkers.  PLOS ONE 2008 3:  e3148. doi:10.137/journal.pone.0003148.</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color w:val="0A0905"/>
          <w:sz w:val="22"/>
          <w:szCs w:val="22"/>
        </w:rPr>
        <w:t>Barth AS, Merk S,Arnoldi E, Zwermann L, Kloos P, Gebauer, M Steinmeyer  K, Bleich M, Kääb S, Hinterseer M, Kartmann H, Kreuzer E,  Dugas M, Steinbeck G, Nabauer M. Reprogramming of the Human Atrial Transcriptome in Permanent Atrial Fibrillation: Expression of a Ventricular-Like Genomic Signature.  Circulation Research 2005 96:1022-1029</w:t>
      </w:r>
      <w:r w:rsidRPr="005759D1">
        <w:rPr>
          <w:rFonts w:asciiTheme="majorHAnsi" w:hAnsiTheme="majorHAnsi" w:cstheme="majorHAnsi"/>
          <w:color w:val="0A0905"/>
          <w:sz w:val="22"/>
          <w:szCs w:val="22"/>
        </w:rPr>
        <w:t>.</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Everett TH, Olgin JE.  Atrial fibrosis and the mechanisms of atrial fibrillation.  Heart Rhythm 2007 4: S24-S27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Auer J, Weber T, Berent R, NgCK, Lamm G, Eber B.  Risk factors of postoperative atrial fibrillation after cardiac surgery.  J Card Surg 2005 20:425-431.  </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Sun Y, Qiang J, Mei Y, Wang X,Feng J, Cai J, Chi L.  Role of preoperative atorvastatin administration in protection against post operative atrial fibrillation following conventional coronary artery bypass grafting.  Int Heart J  2011 52: 7-11.</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Attaran S, Shaw M, Bond L, Pullan MD, Fabri BM.  Atrial fibrillation postcardiac surgery: a common but a morbid complication.  Interactive Cardiovascular Thoracic Surg 2011 12:772-777.  </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Elahi MM, Flatman S and Matata BM.  Tracing the origins of postoperative atrial fitrillation: the concept of oxidative –stress mediated myocardial injury phenomenon.  Eur J Cardiovasc Prev Rehabil 2008 15:735-741. </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Chung MK, Martin DO, Sprecher D, Wazni O, Kanderian A, Carnes CA,  Bauer JA, Tchou PJ, Niebauer MJ, Natale A, Van Wagoner DR. C reactive protein elevations in patients with atrial arrhythmias-inflammatory mechanisms and persistence of atrial fibrillation.  Circulation 2001 104:2886-2891.   </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Baba A, Fu M.  Autoantibodies in atrial fibrillation:  actor, biomarker or bystander? Autoimmunity 2008 41:470-472.</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Andrew P, Matenero AS.  Is there a link between atrial fibriallation and certain bacterial infections?  J Cardiovasc Med 20007 8: 990-996.</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Winchester DE, Wen X, Xie L, Bavry AA.  Evidence of pre-procedural statin therapy: a meta-analysis of randomized trials J Amer Coll of Cardiol 2010 56:1099-1109.</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Mitchell LB, CCS Atrial Fibrillation Guideline Committee. Canadian Cardiovascular Society Atrial Fibrillation Guidelines 2010:  prevention and treatment of atrial fibrillation following cardiac surgery. Can J Cardiol 2011 27:91-97.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Ucar HI, Tok M, Atalar E, Dogan OF, Oc M, Farsak B, Guvener M, Yilmaz M, Dogan R, Demircin M, Pasaoglu I.  Predictive significance of plasma levels of interleukin 6 and high sensitivity C-Reactive protein in atrial fibrillation after coronary artery bypass surgery. Heart Surg Forum 2007 (Epub Feb 2007) doi: 10.1532/HSF98.20061175</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Kaireviciute D, Blann AD, Balakrishnan B, Lane DA, Patel JV, Uzdavinys G, Norkunas G, Kalinauskas G, Sirvydis V, Aidietis A, Lip GY. Characterisation and validity of inflammatory biomarkers in the </w:t>
      </w:r>
      <w:r w:rsidRPr="005759D1">
        <w:rPr>
          <w:rFonts w:asciiTheme="majorHAnsi" w:hAnsiTheme="majorHAnsi" w:cstheme="majorHAnsi"/>
          <w:b w:val="0"/>
          <w:sz w:val="22"/>
          <w:szCs w:val="22"/>
        </w:rPr>
        <w:lastRenderedPageBreak/>
        <w:t>prediction of post-operative atrial fibrillation in coronary artery disease patients.</w:t>
      </w:r>
      <w:r w:rsidRPr="005759D1">
        <w:rPr>
          <w:rStyle w:val="jrnl"/>
          <w:rFonts w:asciiTheme="majorHAnsi" w:hAnsiTheme="majorHAnsi" w:cstheme="majorHAnsi"/>
          <w:b w:val="0"/>
          <w:sz w:val="22"/>
          <w:szCs w:val="22"/>
        </w:rPr>
        <w:t xml:space="preserve"> Thromb Haemost</w:t>
      </w:r>
      <w:r w:rsidRPr="005759D1">
        <w:rPr>
          <w:rFonts w:asciiTheme="majorHAnsi" w:hAnsiTheme="majorHAnsi" w:cstheme="majorHAnsi"/>
          <w:b w:val="0"/>
          <w:sz w:val="22"/>
          <w:szCs w:val="22"/>
        </w:rPr>
        <w:t>. 2010 104(1):122-7.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Neuman RB, Bloom HL, Shukrullah I, Darrow LA, Kleinbaus D, Jones DP, Dudley SC&gt;  Oxidative stress markers are associated with persistent atrial fibrillation. 2007 Clin Chem 53:1652-1657.</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Wazni OM, Martin DO, Marrouche NF, Latif AA, Ziada K, Shaaraoui M, Almahameed S, Schweikert RA&lt;Saliba WI, Gillinov M, Tang WHS, Mills RM, Francis GS, Young JB,  Natale A.  Plasma B-type natriuretic peptide levels predict postoperative atrial fibrillation in patients undergoing cardiac surgery.  Circ 2004 110:124-127.</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Oc M, Ucar HI, Pinar A, Akbulut B Oc B, Akyon Y, Kanbak M, Dogan R. Heat shock protein70: a new marker for subsequent atrial fibrillation development?  Artificial Organs 2008 32: 846-850.</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 xml:space="preserve">Mandel K, Torsney E, Polonieke J, Camm JA, Xu X, Jahangiri M.  Association of high intracellular, but not serum heat shock protein 70 with postoperative atrial fibrillation.  Ann Thorac Surg 2005 79:865-871. </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Oc M, Ucar HI, Pinar A, Akbulut B Oc B, Akinci SB, Akyon Y, Kanbak M, Boke E, Dogan R.  Heat Shock protein 60 antibody-a new marker for subsequent atrial fibrillation development.  Saudi Med J 2007 28:844-847.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bCs w:val="0"/>
          <w:sz w:val="22"/>
          <w:szCs w:val="22"/>
        </w:rPr>
        <w:t>Mandel K, Jahangiri M, Mukhin M, Polonieki J Camm AJ, Xu Q.  Association of anti -heat shock protein 65 antibodies with development of  postoperative atrial fibrillation. Circ 2004 110:2588-2590</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Ramlawi B, Otu H, Mieno S, Boodhwani M, Sodha NR, Clements RT, Bianchi C, Sellke FW.  Oxidative stress and atrial fibrillation after cardiac surgery: a case control study. </w:t>
      </w:r>
      <w:r w:rsidRPr="005759D1">
        <w:rPr>
          <w:rStyle w:val="jrnl"/>
          <w:rFonts w:asciiTheme="majorHAnsi" w:hAnsiTheme="majorHAnsi" w:cstheme="majorHAnsi"/>
          <w:b w:val="0"/>
          <w:sz w:val="22"/>
          <w:szCs w:val="22"/>
        </w:rPr>
        <w:t>Ann Thorac Surg</w:t>
      </w:r>
      <w:r w:rsidRPr="005759D1">
        <w:rPr>
          <w:rFonts w:asciiTheme="majorHAnsi" w:hAnsiTheme="majorHAnsi" w:cstheme="majorHAnsi"/>
          <w:b w:val="0"/>
          <w:sz w:val="22"/>
          <w:szCs w:val="22"/>
        </w:rPr>
        <w:t>. 2007 84:1166-1172.</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 xml:space="preserve">Tsai, C-T, Lai, L-P, Hwang J-J, Lin J-L, Chiang F-T.  Molecular genetics of atrial fibrillation.  J Amer Coll of Cardiol 2008 52: 241-250. </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Lubitz SA, Yi BA, Ellinor PT.  Genetics of atrial fibrillation.  Heart Fail Clin 2010 6:239-247.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Andalib A, Brugada R, Nattel S.  Atrial fibrillation:  evidence for genetically determined disease.  Curr Opin Cardiol 2008 23: 176-183.</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Purtell K, Roepke TK, Abbott GW.  Cardiac arrhymia and thyroid dysfunction: a novel genetic link.  Int J Biochem Cell Biol 2010 42:1767-1770.</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Cs w:val="0"/>
          <w:sz w:val="22"/>
          <w:szCs w:val="22"/>
        </w:rPr>
        <w:t xml:space="preserve">  </w:t>
      </w:r>
      <w:r w:rsidRPr="005759D1">
        <w:rPr>
          <w:rFonts w:asciiTheme="majorHAnsi" w:hAnsiTheme="majorHAnsi" w:cstheme="majorHAnsi"/>
          <w:b w:val="0"/>
          <w:sz w:val="22"/>
          <w:szCs w:val="22"/>
        </w:rPr>
        <w:t>Sinner MF, Pfeufer, Kaab S.  Genetik von vorhofflimmern, seltene mutationen, haurige genvarianten und klinische relevanz?  Herzsch Elektrophys 2006 17:95-105.</w:t>
      </w:r>
    </w:p>
    <w:p w:rsidR="00A56EAD" w:rsidRPr="005759D1" w:rsidRDefault="00A56EAD" w:rsidP="00A56EAD">
      <w:pPr>
        <w:numPr>
          <w:ilvl w:val="0"/>
          <w:numId w:val="15"/>
        </w:numPr>
        <w:shd w:val="clear" w:color="auto" w:fill="FFFFFF"/>
        <w:spacing w:before="100" w:beforeAutospacing="1" w:after="100" w:afterAutospacing="1" w:line="264" w:lineRule="atLeast"/>
        <w:outlineLvl w:val="0"/>
        <w:rPr>
          <w:rFonts w:asciiTheme="majorHAnsi" w:hAnsiTheme="majorHAnsi" w:cstheme="majorHAnsi"/>
          <w:bCs/>
          <w:kern w:val="36"/>
          <w:sz w:val="22"/>
          <w:szCs w:val="22"/>
        </w:rPr>
      </w:pPr>
      <w:r w:rsidRPr="005759D1">
        <w:rPr>
          <w:rFonts w:asciiTheme="majorHAnsi" w:hAnsiTheme="majorHAnsi" w:cstheme="majorHAnsi"/>
          <w:bCs/>
          <w:kern w:val="36"/>
          <w:sz w:val="22"/>
          <w:szCs w:val="22"/>
        </w:rPr>
        <w:t xml:space="preserve">Wang Y, Hou X, Li Y.  Association between transforming growth factor β1 polymorphisms and atrial fibrillation in essential hypertensive subjects.  J Biomed Sci 2010 17:23 </w:t>
      </w:r>
      <w:hyperlink r:id="rId41" w:history="1">
        <w:r w:rsidRPr="005759D1">
          <w:rPr>
            <w:rStyle w:val="Hyperlink"/>
            <w:rFonts w:asciiTheme="majorHAnsi" w:hAnsiTheme="majorHAnsi" w:cstheme="majorHAnsi"/>
            <w:bCs/>
            <w:kern w:val="36"/>
            <w:sz w:val="22"/>
            <w:szCs w:val="22"/>
          </w:rPr>
          <w:t>http://www.jbiomedsci.com/content/17/1/23</w:t>
        </w:r>
      </w:hyperlink>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Afzal AR, Mandal K, Nyamweya S, Foteinos G, Poloniecki J, Camm AJ, Jahangiri M, Xu Q.  Association of Met439Thr substitution in heat shock protein 70 gene with postoperative atrial fibrillation and serum hsp70 protein level.  Cardiol 2008 110:45-52.</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Watanabe Y, Kanai A.  Systems biology reveals microRNA-mediated gene regulation.  Frontiers Genet  2011 2 doi 10:3389/fgene.2011.00029.</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Lu Y, Zhang Y, Wang N, Pan Z, Gao X, Zhang F, Zhang Y, Shan H, Luo X, Bai Y, Sun L, Song W, Xu C, Wang Z, Yang B.  MicroRNA-328 contributes to adverse electrical remodeling in atrial fibrillation.  Circulation 2010 122:2378-2387.</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Wang G-K, Zhu J-Q, Zhang J-T, Li Q, LI Y, He J, Qin Y-W, Jing Q.  Circulating microRNA: a novel potential biomarker for early diagnosis of acute myocardial infarction in humans Eur Heart J 2010 31:659-666.</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Adachi T, Nakanishi M, Otsuka Y, Nishimura K, Hirokawa G, Goto Y, Nonogi H, Iwai N.  Plasma MicroRNA 499 as a biomarker of acute myocardial infarction.  Clin Chem 2010 56:1183-1185.</w:t>
      </w:r>
    </w:p>
    <w:p w:rsidR="00A56EAD" w:rsidRPr="005759D1" w:rsidRDefault="00A56EAD" w:rsidP="00A56EAD">
      <w:pPr>
        <w:pStyle w:val="Heading1"/>
        <w:numPr>
          <w:ilvl w:val="0"/>
          <w:numId w:val="15"/>
        </w:numPr>
        <w:shd w:val="clear" w:color="auto" w:fill="FFFFFF"/>
        <w:rPr>
          <w:rFonts w:asciiTheme="majorHAnsi" w:hAnsiTheme="majorHAnsi" w:cstheme="majorHAnsi"/>
          <w:b w:val="0"/>
          <w:sz w:val="22"/>
          <w:szCs w:val="22"/>
        </w:rPr>
      </w:pPr>
      <w:r w:rsidRPr="005759D1">
        <w:rPr>
          <w:rFonts w:asciiTheme="majorHAnsi" w:hAnsiTheme="majorHAnsi" w:cstheme="majorHAnsi"/>
          <w:b w:val="0"/>
          <w:sz w:val="22"/>
          <w:szCs w:val="22"/>
        </w:rPr>
        <w:t>Fichtlscherer,S De Rosa S, Fox H, Schwietz T, Fischer A, Liebetrau C, Weber M, Hamm CW, Roxe T, Muller-Ardogan M, Bonauer A, Zeiher AM, Dimmeler S.  Circulating microRNAs in patients with coronary artery disease.  Circ Res 2010 107:677-684.</w:t>
      </w:r>
    </w:p>
    <w:p w:rsidR="006E4A3E" w:rsidRPr="005759D1" w:rsidRDefault="006E4A3E" w:rsidP="00841B60">
      <w:pPr>
        <w:pStyle w:val="Heading1"/>
        <w:shd w:val="clear" w:color="auto" w:fill="FFFFFF"/>
        <w:ind w:left="720"/>
        <w:rPr>
          <w:rFonts w:asciiTheme="majorHAnsi" w:hAnsiTheme="majorHAnsi" w:cstheme="majorHAnsi"/>
          <w:sz w:val="22"/>
          <w:szCs w:val="22"/>
        </w:rPr>
      </w:pPr>
      <w:r w:rsidRPr="005759D1">
        <w:rPr>
          <w:rFonts w:asciiTheme="majorHAnsi" w:hAnsiTheme="majorHAnsi" w:cstheme="majorHAnsi"/>
          <w:sz w:val="22"/>
          <w:szCs w:val="22"/>
        </w:rPr>
        <w:t>New References</w:t>
      </w: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lastRenderedPageBreak/>
        <w:t>Cai B, Pan Z, Lu Y.  The Roles of MicroRNAs in Heart Diseases: A Novel Important Regulator.  Curr Med Chem. 2010;17(5):407-11.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Callis TE, Pandya K, Seok HY, Tang RH, Tatsuguchi M, Huang ZP, Chen JF, Seng Z, Gunn B, Shumate J, Willis MS, Zelzman, CH, Wang DZ.  </w:t>
      </w:r>
      <w:r w:rsidRPr="005759D1">
        <w:rPr>
          <w:rStyle w:val="highlight"/>
          <w:rFonts w:asciiTheme="majorHAnsi" w:hAnsiTheme="majorHAnsi" w:cstheme="majorHAnsi"/>
          <w:sz w:val="22"/>
          <w:szCs w:val="22"/>
        </w:rPr>
        <w:t>MicroRNA-208a</w:t>
      </w:r>
      <w:r w:rsidRPr="005759D1">
        <w:rPr>
          <w:rFonts w:asciiTheme="majorHAnsi" w:hAnsiTheme="majorHAnsi" w:cstheme="majorHAnsi"/>
          <w:sz w:val="22"/>
          <w:szCs w:val="22"/>
        </w:rPr>
        <w:t xml:space="preserve"> is a </w:t>
      </w:r>
      <w:r w:rsidRPr="005759D1">
        <w:rPr>
          <w:rStyle w:val="highlight"/>
          <w:rFonts w:asciiTheme="majorHAnsi" w:hAnsiTheme="majorHAnsi" w:cstheme="majorHAnsi"/>
          <w:sz w:val="22"/>
          <w:szCs w:val="22"/>
        </w:rPr>
        <w:t>regulator</w:t>
      </w:r>
      <w:r w:rsidRPr="005759D1">
        <w:rPr>
          <w:rFonts w:asciiTheme="majorHAnsi" w:hAnsiTheme="majorHAnsi" w:cstheme="majorHAnsi"/>
          <w:sz w:val="22"/>
          <w:szCs w:val="22"/>
        </w:rPr>
        <w:t xml:space="preserve"> of cardiac hypertrophy and conduction in mice.  J Clin Invest. 2009 Sep;119(9):2772-86. doi: 10.1172/JCI36154. Epub 2009 Aug 10.</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Condorelli G, Latronico MV, Dorn GW 2nd.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xml:space="preserve"> in </w:t>
      </w:r>
      <w:r w:rsidRPr="005759D1">
        <w:rPr>
          <w:rStyle w:val="highlight"/>
          <w:rFonts w:asciiTheme="majorHAnsi" w:hAnsiTheme="majorHAnsi" w:cstheme="majorHAnsi"/>
          <w:sz w:val="22"/>
          <w:szCs w:val="22"/>
        </w:rPr>
        <w:t>heart disease</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putative</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novel</w:t>
      </w:r>
      <w:r w:rsidRPr="005759D1">
        <w:rPr>
          <w:rFonts w:asciiTheme="majorHAnsi" w:hAnsiTheme="majorHAnsi" w:cstheme="majorHAnsi"/>
          <w:sz w:val="22"/>
          <w:szCs w:val="22"/>
        </w:rPr>
        <w:t xml:space="preserve"> therapeutic targets?  Eur Heart J. 2010 Mar;31(6):649-58. Epub 2010 Jan 29.</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Divakaran V, Mann DL.  The </w:t>
      </w:r>
      <w:r w:rsidRPr="005759D1">
        <w:rPr>
          <w:rStyle w:val="highlight"/>
          <w:rFonts w:asciiTheme="majorHAnsi" w:hAnsiTheme="majorHAnsi" w:cstheme="majorHAnsi"/>
          <w:sz w:val="22"/>
          <w:szCs w:val="22"/>
        </w:rPr>
        <w:t>emerging</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role</w:t>
      </w:r>
      <w:r w:rsidRPr="005759D1">
        <w:rPr>
          <w:rFonts w:asciiTheme="majorHAnsi" w:hAnsiTheme="majorHAnsi" w:cstheme="majorHAnsi"/>
          <w:sz w:val="22"/>
          <w:szCs w:val="22"/>
        </w:rPr>
        <w:t xml:space="preserve"> of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xml:space="preserve"> in </w:t>
      </w:r>
      <w:r w:rsidRPr="005759D1">
        <w:rPr>
          <w:rStyle w:val="highlight"/>
          <w:rFonts w:asciiTheme="majorHAnsi" w:hAnsiTheme="majorHAnsi" w:cstheme="majorHAnsi"/>
          <w:sz w:val="22"/>
          <w:szCs w:val="22"/>
        </w:rPr>
        <w:t>cardiac</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remodeling</w:t>
      </w:r>
      <w:r w:rsidRPr="005759D1">
        <w:rPr>
          <w:rFonts w:asciiTheme="majorHAnsi" w:hAnsiTheme="majorHAnsi" w:cstheme="majorHAnsi"/>
          <w:sz w:val="22"/>
          <w:szCs w:val="22"/>
        </w:rPr>
        <w:t xml:space="preserve"> and </w:t>
      </w:r>
      <w:r w:rsidRPr="005759D1">
        <w:rPr>
          <w:rStyle w:val="highlight"/>
          <w:rFonts w:asciiTheme="majorHAnsi" w:hAnsiTheme="majorHAnsi" w:cstheme="majorHAnsi"/>
          <w:sz w:val="22"/>
          <w:szCs w:val="22"/>
        </w:rPr>
        <w:t>heart failure</w:t>
      </w:r>
      <w:r w:rsidRPr="005759D1">
        <w:rPr>
          <w:rFonts w:asciiTheme="majorHAnsi" w:hAnsiTheme="majorHAnsi" w:cstheme="majorHAnsi"/>
          <w:sz w:val="22"/>
          <w:szCs w:val="22"/>
        </w:rPr>
        <w:t>.  Circ Res. 2008 Nov 7;103(10):1072-83.</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Duffy HS.  The ever-shrinking world of cardiac ion channel remodeling: The role of microRNAs in heart disease.  Heart Rhythm. 2009 Dec;6(12):1810-1.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Duisters RF, Tijsen AJ, Schroen B, Leenders JJ, Lentink V, van der Made I, Herias V, van Leeuwen RE, Schellings MW, Barenbrug P, Maessen JG, Heymans S, Pinto YM, Creemers EE.  miR-133 and miR-30 Regulate Connective Tissue Growth Factor: Implications for a Role of MicroRNAs in Myocardial Matrix Remodeling.  Circ Res. 2009;104:170-178.</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Elton TS, Martin MM, Sansom SE, Belevych AE, Györke S, Terentyev D.  miRNAs got rhythm.  Life Sci. 2011 Feb 28;88(9-10):373-83.</w:t>
      </w:r>
    </w:p>
    <w:p w:rsidR="00A85A18" w:rsidRPr="005759D1" w:rsidRDefault="00A85A18" w:rsidP="00A85A18">
      <w:pPr>
        <w:pStyle w:val="Heading1"/>
        <w:shd w:val="clear" w:color="auto" w:fill="FFFFFF"/>
        <w:rPr>
          <w:rFonts w:asciiTheme="majorHAnsi" w:hAnsiTheme="majorHAnsi" w:cstheme="majorHAnsi"/>
          <w:sz w:val="22"/>
          <w:szCs w:val="22"/>
        </w:rPr>
      </w:pPr>
      <w:r w:rsidRPr="005759D1">
        <w:rPr>
          <w:rFonts w:asciiTheme="majorHAnsi" w:hAnsiTheme="majorHAnsi" w:cstheme="majorHAnsi"/>
          <w:sz w:val="22"/>
          <w:szCs w:val="22"/>
        </w:rPr>
        <w:t xml:space="preserve">Friedman RC, Farh KK, Burge CB, Bartel DP.  Most mammalian mRNAs are conserved targets of microRNAs.  Genome Research  2009  19:92-105. </w:t>
      </w: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Girmatsion Z, Biliczki P, Bonauer A, Wimmer-Greinecker G, Scherer M, Moritz A, Bukowska A, Goette A, Nattel S, Hohnloser SH, Ehrlich JR.  Changes in microRNA-1 expression and I</w:t>
      </w:r>
      <w:r w:rsidRPr="005759D1">
        <w:rPr>
          <w:rFonts w:asciiTheme="majorHAnsi" w:hAnsiTheme="majorHAnsi" w:cstheme="majorHAnsi"/>
          <w:sz w:val="22"/>
          <w:szCs w:val="22"/>
          <w:vertAlign w:val="subscript"/>
        </w:rPr>
        <w:t>K1</w:t>
      </w:r>
      <w:r w:rsidRPr="005759D1">
        <w:rPr>
          <w:rFonts w:asciiTheme="majorHAnsi" w:hAnsiTheme="majorHAnsi" w:cstheme="majorHAnsi"/>
          <w:sz w:val="22"/>
          <w:szCs w:val="22"/>
        </w:rPr>
        <w:t xml:space="preserve"> up-regulation in human atrial fibrillation.  Heart Rhythm. 2009 Dec;6(12):1802-9.</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Huang ZP, Neppl RL, Wang DZ  MicroRNAs in Cardiac Remodeling and Disease.  J Cardiovasc Transl Res. 2010 Jun;3(3):212-8.</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Ikeda S, Kong SW, Lu J, Bisping E, Zhang H, Allen PD, Golub TR, Pieske B, Pu WT.  </w:t>
      </w:r>
      <w:r w:rsidRPr="005759D1">
        <w:rPr>
          <w:rStyle w:val="highlight"/>
          <w:rFonts w:asciiTheme="majorHAnsi" w:hAnsiTheme="majorHAnsi" w:cstheme="majorHAnsi"/>
          <w:sz w:val="22"/>
          <w:szCs w:val="22"/>
        </w:rPr>
        <w:t>Altered</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microRNA</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expression</w:t>
      </w:r>
      <w:r w:rsidRPr="005759D1">
        <w:rPr>
          <w:rFonts w:asciiTheme="majorHAnsi" w:hAnsiTheme="majorHAnsi" w:cstheme="majorHAnsi"/>
          <w:sz w:val="22"/>
          <w:szCs w:val="22"/>
        </w:rPr>
        <w:t xml:space="preserve"> in </w:t>
      </w:r>
      <w:r w:rsidRPr="005759D1">
        <w:rPr>
          <w:rStyle w:val="highlight"/>
          <w:rFonts w:asciiTheme="majorHAnsi" w:hAnsiTheme="majorHAnsi" w:cstheme="majorHAnsi"/>
          <w:sz w:val="22"/>
          <w:szCs w:val="22"/>
        </w:rPr>
        <w:t>human</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heart disease</w:t>
      </w:r>
      <w:r w:rsidRPr="005759D1">
        <w:rPr>
          <w:rFonts w:asciiTheme="majorHAnsi" w:hAnsiTheme="majorHAnsi" w:cstheme="majorHAnsi"/>
          <w:sz w:val="22"/>
          <w:szCs w:val="22"/>
        </w:rPr>
        <w:t>.  Physiol Genomics. 2007 Nov 14;31(3):367-73. Epub 2007 Aug 21.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Kartha RV, Subramanian S.  MicroRNAs in Cardiovascular Diseases: Biology and Potential Clinical Applications.  J Cardiovasc Transl Res. 2010 Jun;3(3):256-70.</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Latronico MV, Catalucci D, Condorelli G. Emerging role of microRNAs in cardiovascular biology.  Circ Res. 2007 Dec 7;101(12):1225-36.</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Latronico MV, Condorelli G.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xml:space="preserve"> and </w:t>
      </w:r>
      <w:r w:rsidRPr="005759D1">
        <w:rPr>
          <w:rStyle w:val="highlight"/>
          <w:rFonts w:asciiTheme="majorHAnsi" w:hAnsiTheme="majorHAnsi" w:cstheme="majorHAnsi"/>
          <w:sz w:val="22"/>
          <w:szCs w:val="22"/>
        </w:rPr>
        <w:t>cardiac</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conduction</w:t>
      </w:r>
      <w:r w:rsidRPr="005759D1">
        <w:rPr>
          <w:rFonts w:asciiTheme="majorHAnsi" w:hAnsiTheme="majorHAnsi" w:cstheme="majorHAnsi"/>
          <w:sz w:val="22"/>
          <w:szCs w:val="22"/>
        </w:rPr>
        <w:t>.  Curr Drug Targets. 2010 Aug;11(8):907-12.</w:t>
      </w: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Latronico MV, Condorelli G.  MicroRNAs and cardiac pathology.  Nat Rev Cardiol. 2009 Jun;6(6):419-29.</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Lu Y, Xiao J, Lin H, Bai Y, Luo X, Wang Z, Yang B  A single anti-microRNA antisense oligodeoxyribonucleotide (AMO) targeting multiple microRNAs offers an improved approach for microRNA interference.  Nucleic Acids Res. 2009 Feb;37(3):e24.</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Lu Y, Zhang Y, Wang N, Pan Z, Gao X, Zhang F, Zhang Y, Shan H, Luo X, Bai Y, Sun L, Song W, Xu C, Wang Z, Yang B.  MicroRNA-328 contributes to adverse electrical remodeling in atrial fibrillation.  Circulation. 2010 Dec 7;122(23):2378-87. Epub 2010 Nov 22.</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lastRenderedPageBreak/>
        <w:t>Luo X, Lin H, Pan Z, Xiao J, Zhang Y, Lu Y, Yang B, Wang Z.  Down-regulation of miR-1/miR-133 contributes to re-expression of pacemaker channel genes HCN2 and HCN4 in hypertrophic heart.  J Biol Chem. 2008 Jul 18;283(29):20045-52. Epub 2008 May 5.</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Matkovich SJ, Wang W, Tu Y, Eschenbacher WH, Dorn LE, Condorelli G, Diwan A, Nerbonne JM, Dorn GW 2nd.  MicroRNA-133a protects against myocardial fibrosis and modulates electrical repolarization without affecting hypertrophy in pressure-overloaded adult hearts.  Circ Res. 2010 Jan 8;106(1):166-75.</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Pan ZW, Lu YJ, Yang BF  MicroRNAs: a novel class of potential therapeutic targets for cardiovascular diseases.  Acta Pharmacol Sin. 2010 Jan;31(1):1-9.</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Roy S, Khanna S, Hussain SR, Biswas S, Azad A, Rink C, Gnyawali S, Shilo S, Nuovo GJ, Sen CK.  MicroRNA expression in response to murine myocardial infarction: miR-21 regulates fibroblast metalloprotease-2 via phosphatase and tensin homologue.  Cardiovasc Res. 2009 Apr 1;82(1):21-9.</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Shan H, Zhang Y, Lu Y, Zhang Y, Pan Z, Cai B, Wang N, Li X, Feng T, Hong Y, Yang B.  Downregulation of miR-133 and miR-590 contributes to nicotine-induced atrial remodelling in canines.  Cardiovasc Res. 2009 Aug 1;83(3):465-72.</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Tatsuguchi M, Seok HY, Callis TE, Thomson, JM, Chen JF, Newman M, Rajas M, Hammond SM, Wang DZ.  </w:t>
      </w:r>
      <w:r w:rsidRPr="005759D1">
        <w:rPr>
          <w:rStyle w:val="highlight"/>
          <w:rFonts w:asciiTheme="majorHAnsi" w:hAnsiTheme="majorHAnsi" w:cstheme="majorHAnsi"/>
          <w:sz w:val="22"/>
          <w:szCs w:val="22"/>
        </w:rPr>
        <w:t>Expression</w:t>
      </w:r>
      <w:r w:rsidRPr="005759D1">
        <w:rPr>
          <w:rFonts w:asciiTheme="majorHAnsi" w:hAnsiTheme="majorHAnsi" w:cstheme="majorHAnsi"/>
          <w:sz w:val="22"/>
          <w:szCs w:val="22"/>
        </w:rPr>
        <w:t xml:space="preserve"> of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xml:space="preserve"> is </w:t>
      </w:r>
      <w:r w:rsidRPr="005759D1">
        <w:rPr>
          <w:rStyle w:val="highlight"/>
          <w:rFonts w:asciiTheme="majorHAnsi" w:hAnsiTheme="majorHAnsi" w:cstheme="majorHAnsi"/>
          <w:sz w:val="22"/>
          <w:szCs w:val="22"/>
        </w:rPr>
        <w:t>dynamically</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regulated</w:t>
      </w:r>
      <w:r w:rsidRPr="005759D1">
        <w:rPr>
          <w:rFonts w:asciiTheme="majorHAnsi" w:hAnsiTheme="majorHAnsi" w:cstheme="majorHAnsi"/>
          <w:sz w:val="22"/>
          <w:szCs w:val="22"/>
        </w:rPr>
        <w:t xml:space="preserve"> during cardiomyocyte hypertrophy.  J Mol Cell Cardiol. 2007 Jun;42(6):1137-41. Epub 2007 Apr 14.</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Terentyev D, Belevych AE, Terentyeva R, Martin NM, Malana GE, Kuhn DE, Abdellatif M, Feldman DS, Elton TS, Györke S.  </w:t>
      </w:r>
      <w:r w:rsidRPr="005759D1">
        <w:rPr>
          <w:rStyle w:val="highlight"/>
          <w:rFonts w:asciiTheme="majorHAnsi" w:hAnsiTheme="majorHAnsi" w:cstheme="majorHAnsi"/>
          <w:sz w:val="22"/>
          <w:szCs w:val="22"/>
        </w:rPr>
        <w:t>miR-1</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overexpression</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enhances</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Ca</w:t>
      </w:r>
      <w:r w:rsidRPr="005759D1">
        <w:rPr>
          <w:rFonts w:asciiTheme="majorHAnsi" w:hAnsiTheme="majorHAnsi" w:cstheme="majorHAnsi"/>
          <w:sz w:val="22"/>
          <w:szCs w:val="22"/>
        </w:rPr>
        <w:t>(2+) release and promotes cardiac arrhythmogenesis by targeting PP2A regulatory subunit B56alpha and causing CaMKII-dependent hyperphosphorylation of RyR2.  Circ Res. 2009 Feb 27;104(4):514-21. Epub 2009 Jan 8.</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color w:val="000000"/>
          <w:sz w:val="22"/>
          <w:szCs w:val="22"/>
        </w:rPr>
        <w:t>Thum T, Galuppo P, Wolf C, Fiedler, J, Kneitz S, van Laake LW, Doevendans PA, Mummery CL, Borlak J, Haverich A, Gross C, Engelhardt S, Ertl G, Bauersachs J.</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xml:space="preserve"> in the </w:t>
      </w:r>
      <w:r w:rsidRPr="005759D1">
        <w:rPr>
          <w:rStyle w:val="highlight"/>
          <w:rFonts w:asciiTheme="majorHAnsi" w:hAnsiTheme="majorHAnsi" w:cstheme="majorHAnsi"/>
          <w:sz w:val="22"/>
          <w:szCs w:val="22"/>
        </w:rPr>
        <w:t>human</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heart</w:t>
      </w:r>
      <w:r w:rsidRPr="005759D1">
        <w:rPr>
          <w:rFonts w:asciiTheme="majorHAnsi" w:hAnsiTheme="majorHAnsi" w:cstheme="majorHAnsi"/>
          <w:sz w:val="22"/>
          <w:szCs w:val="22"/>
        </w:rPr>
        <w:t xml:space="preserve">: a </w:t>
      </w:r>
      <w:r w:rsidRPr="005759D1">
        <w:rPr>
          <w:rStyle w:val="highlight"/>
          <w:rFonts w:asciiTheme="majorHAnsi" w:hAnsiTheme="majorHAnsi" w:cstheme="majorHAnsi"/>
          <w:sz w:val="22"/>
          <w:szCs w:val="22"/>
        </w:rPr>
        <w:t>clue</w:t>
      </w:r>
      <w:r w:rsidRPr="005759D1">
        <w:rPr>
          <w:rFonts w:asciiTheme="majorHAnsi" w:hAnsiTheme="majorHAnsi" w:cstheme="majorHAnsi"/>
          <w:sz w:val="22"/>
          <w:szCs w:val="22"/>
        </w:rPr>
        <w:t xml:space="preserve"> to </w:t>
      </w:r>
      <w:r w:rsidRPr="005759D1">
        <w:rPr>
          <w:rStyle w:val="highlight"/>
          <w:rFonts w:asciiTheme="majorHAnsi" w:hAnsiTheme="majorHAnsi" w:cstheme="majorHAnsi"/>
          <w:sz w:val="22"/>
          <w:szCs w:val="22"/>
        </w:rPr>
        <w:t>fetal</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gene</w:t>
      </w:r>
      <w:r w:rsidRPr="005759D1">
        <w:rPr>
          <w:rFonts w:asciiTheme="majorHAnsi" w:hAnsiTheme="majorHAnsi" w:cstheme="majorHAnsi"/>
          <w:sz w:val="22"/>
          <w:szCs w:val="22"/>
        </w:rPr>
        <w:t xml:space="preserve"> reprogramming in </w:t>
      </w:r>
      <w:r w:rsidRPr="005759D1">
        <w:rPr>
          <w:rStyle w:val="highlight"/>
          <w:rFonts w:asciiTheme="majorHAnsi" w:hAnsiTheme="majorHAnsi" w:cstheme="majorHAnsi"/>
          <w:sz w:val="22"/>
          <w:szCs w:val="22"/>
        </w:rPr>
        <w:t>heart</w:t>
      </w:r>
      <w:r w:rsidRPr="005759D1">
        <w:rPr>
          <w:rFonts w:asciiTheme="majorHAnsi" w:hAnsiTheme="majorHAnsi" w:cstheme="majorHAnsi"/>
          <w:sz w:val="22"/>
          <w:szCs w:val="22"/>
        </w:rPr>
        <w:t xml:space="preserve"> failure.  Circulation. 2007 Jul 17;116(3):258-67. Epub 2007 Jul 2.</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Thum T, Gross C, Fiedler J, Fischer T, Kissler S, Bussen M, Galuppo P, Just S, Rottbauer W, Frantz S, Castoldi M, Soutschek J, Koteliansky V, Rosenwald A, Basson MA, Licht JD, Pena JT, Rouhanifard SH, Muckenthaler MU, Tuschl T, Martin GR, Bauersachs J, Engelhardt S.  MicroRNA-21 contributes to myocardial disease by stimulating MAP kinase signalling in fibroblasts.  Nature. 2008 Dec 18;456(7224):980-4.</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van Rooij E, Sutherland LB, Tatcher JE, DiMaio JM, Naseem RH, Marshall WS, Hill JA, Olson EN.  Dysregulation of microRNAs after myocardial infarction reveals a role of miR-29 in cardiac fibrosis.  Proc Natl Acad Sci U S A. 2008 Sep 2;105(35):13027-32. Epub 2008 Aug 22.</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Wang H, Garzon R, Sun H, Ladner KJ, Singh R, Dahlman J, Cheng A, Hall BM, Qualman SJ, Chandler DS, Croce CM, Guttridge DC.  </w:t>
      </w:r>
      <w:r w:rsidRPr="005759D1">
        <w:rPr>
          <w:rStyle w:val="highlight"/>
          <w:rFonts w:asciiTheme="majorHAnsi" w:hAnsiTheme="majorHAnsi" w:cstheme="majorHAnsi"/>
          <w:sz w:val="22"/>
          <w:szCs w:val="22"/>
        </w:rPr>
        <w:t>NF-kappaB-YY1</w:t>
      </w:r>
      <w:r w:rsidRPr="005759D1">
        <w:rPr>
          <w:rFonts w:asciiTheme="majorHAnsi" w:hAnsiTheme="majorHAnsi" w:cstheme="majorHAnsi"/>
          <w:sz w:val="22"/>
          <w:szCs w:val="22"/>
        </w:rPr>
        <w:t>-miR-29 regulatory circuitry in skeletal myogenesis and rhabdomyosarcoma.  Cancer Cell. 2008 Nov 4;14(5):369-81.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Wang Z, Lu Y, Yang B.  MicroRNAs and atrial fibrillation: new fundamentals.  Cardiovasc Res. 2011 Mar 1;89(4):710-21.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Xiao J, Luo X, Lin H, Zhang Y, Lu Y, Wang N, Zhang Y, Yang B, Wang Z.  </w:t>
      </w:r>
      <w:r w:rsidRPr="005759D1">
        <w:rPr>
          <w:rStyle w:val="highlight"/>
          <w:rFonts w:asciiTheme="majorHAnsi" w:hAnsiTheme="majorHAnsi" w:cstheme="majorHAnsi"/>
          <w:sz w:val="22"/>
          <w:szCs w:val="22"/>
        </w:rPr>
        <w:t>MicroRNA</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miR-133</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represses</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HERG</w:t>
      </w:r>
      <w:r w:rsidRPr="005759D1">
        <w:rPr>
          <w:rFonts w:asciiTheme="majorHAnsi" w:hAnsiTheme="majorHAnsi" w:cstheme="majorHAnsi"/>
          <w:sz w:val="22"/>
          <w:szCs w:val="22"/>
        </w:rPr>
        <w:t xml:space="preserve"> K+ channel expression contributing to QT prolongation in diabetic hearts.  J Biol Chem. 2007 Apr 27;282(17):12363-7. Epub 2007 Mar 7.</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lastRenderedPageBreak/>
        <w:t>Yang B, Lin H, Xiao J, Lu Y, Luo X, Li B, Zhang Y, Xu C, Bai Y, Wang H, Chen G, Wang Z.  The muscle-specific microRNA miR-1 regulates cardiac arrhythmogenic potential by targeting GJA1 and KCNJ2.  Nat Med. 2007 Apr;13(4):486-91. Epub 2007 Apr 1.</w:t>
      </w:r>
    </w:p>
    <w:p w:rsidR="00A85A18" w:rsidRPr="005759D1" w:rsidRDefault="00A85A18" w:rsidP="00A85A18">
      <w:pPr>
        <w:rPr>
          <w:rFonts w:asciiTheme="majorHAnsi" w:hAnsiTheme="majorHAnsi" w:cstheme="majorHAnsi"/>
          <w:sz w:val="22"/>
          <w:szCs w:val="22"/>
        </w:rPr>
      </w:pPr>
    </w:p>
    <w:p w:rsidR="00A85A18" w:rsidRPr="005759D1" w:rsidRDefault="00A85A18" w:rsidP="00A85A18">
      <w:pPr>
        <w:rPr>
          <w:rFonts w:asciiTheme="majorHAnsi" w:hAnsiTheme="majorHAnsi" w:cstheme="majorHAnsi"/>
          <w:sz w:val="22"/>
          <w:szCs w:val="22"/>
        </w:rPr>
      </w:pPr>
      <w:r w:rsidRPr="005759D1">
        <w:rPr>
          <w:rFonts w:asciiTheme="majorHAnsi" w:hAnsiTheme="majorHAnsi" w:cstheme="majorHAnsi"/>
          <w:sz w:val="22"/>
          <w:szCs w:val="22"/>
        </w:rPr>
        <w:t xml:space="preserve">Yang B, Lu Y, Wang Z.  </w:t>
      </w:r>
      <w:r w:rsidRPr="005759D1">
        <w:rPr>
          <w:rStyle w:val="highlight"/>
          <w:rFonts w:asciiTheme="majorHAnsi" w:hAnsiTheme="majorHAnsi" w:cstheme="majorHAnsi"/>
          <w:sz w:val="22"/>
          <w:szCs w:val="22"/>
        </w:rPr>
        <w:t>Control</w:t>
      </w:r>
      <w:r w:rsidRPr="005759D1">
        <w:rPr>
          <w:rFonts w:asciiTheme="majorHAnsi" w:hAnsiTheme="majorHAnsi" w:cstheme="majorHAnsi"/>
          <w:sz w:val="22"/>
          <w:szCs w:val="22"/>
        </w:rPr>
        <w:t xml:space="preserve"> of </w:t>
      </w:r>
      <w:r w:rsidRPr="005759D1">
        <w:rPr>
          <w:rStyle w:val="highlight"/>
          <w:rFonts w:asciiTheme="majorHAnsi" w:hAnsiTheme="majorHAnsi" w:cstheme="majorHAnsi"/>
          <w:sz w:val="22"/>
          <w:szCs w:val="22"/>
        </w:rPr>
        <w:t>cardiac</w:t>
      </w:r>
      <w:r w:rsidRPr="005759D1">
        <w:rPr>
          <w:rFonts w:asciiTheme="majorHAnsi" w:hAnsiTheme="majorHAnsi" w:cstheme="majorHAnsi"/>
          <w:sz w:val="22"/>
          <w:szCs w:val="22"/>
        </w:rPr>
        <w:t xml:space="preserve"> </w:t>
      </w:r>
      <w:r w:rsidRPr="005759D1">
        <w:rPr>
          <w:rStyle w:val="highlight"/>
          <w:rFonts w:asciiTheme="majorHAnsi" w:hAnsiTheme="majorHAnsi" w:cstheme="majorHAnsi"/>
          <w:sz w:val="22"/>
          <w:szCs w:val="22"/>
        </w:rPr>
        <w:t>excitability</w:t>
      </w:r>
      <w:r w:rsidRPr="005759D1">
        <w:rPr>
          <w:rFonts w:asciiTheme="majorHAnsi" w:hAnsiTheme="majorHAnsi" w:cstheme="majorHAnsi"/>
          <w:sz w:val="22"/>
          <w:szCs w:val="22"/>
        </w:rPr>
        <w:t xml:space="preserve"> by </w:t>
      </w:r>
      <w:r w:rsidRPr="005759D1">
        <w:rPr>
          <w:rStyle w:val="highlight"/>
          <w:rFonts w:asciiTheme="majorHAnsi" w:hAnsiTheme="majorHAnsi" w:cstheme="majorHAnsi"/>
          <w:sz w:val="22"/>
          <w:szCs w:val="22"/>
        </w:rPr>
        <w:t>microRNAs</w:t>
      </w:r>
      <w:r w:rsidRPr="005759D1">
        <w:rPr>
          <w:rFonts w:asciiTheme="majorHAnsi" w:hAnsiTheme="majorHAnsi" w:cstheme="majorHAnsi"/>
          <w:sz w:val="22"/>
          <w:szCs w:val="22"/>
        </w:rPr>
        <w:t>.  Cardiovasc Res. 2008 Sep 1;79(4):571-80. Epub 2008 Jul 9.</w:t>
      </w:r>
    </w:p>
    <w:p w:rsidR="00A85A18" w:rsidRPr="005759D1" w:rsidRDefault="00A85A18" w:rsidP="00841B60">
      <w:pPr>
        <w:pStyle w:val="Heading1"/>
        <w:shd w:val="clear" w:color="auto" w:fill="FFFFFF"/>
        <w:ind w:left="720"/>
        <w:rPr>
          <w:rFonts w:asciiTheme="majorHAnsi" w:hAnsiTheme="majorHAnsi" w:cstheme="majorHAnsi"/>
          <w:sz w:val="22"/>
          <w:szCs w:val="22"/>
        </w:rPr>
      </w:pPr>
    </w:p>
    <w:p w:rsidR="00864AD8" w:rsidRPr="005759D1" w:rsidRDefault="00864AD8" w:rsidP="00864AD8">
      <w:pPr>
        <w:pStyle w:val="Heading1"/>
        <w:numPr>
          <w:ilvl w:val="0"/>
          <w:numId w:val="17"/>
        </w:numPr>
        <w:shd w:val="clear" w:color="auto" w:fill="FFFFFF"/>
        <w:rPr>
          <w:rFonts w:asciiTheme="majorHAnsi" w:hAnsiTheme="majorHAnsi" w:cstheme="majorHAnsi"/>
          <w:sz w:val="22"/>
          <w:szCs w:val="22"/>
        </w:rPr>
      </w:pPr>
      <w:r w:rsidRPr="005759D1">
        <w:rPr>
          <w:rFonts w:asciiTheme="majorHAnsi" w:hAnsiTheme="majorHAnsi" w:cstheme="majorHAnsi"/>
          <w:sz w:val="22"/>
          <w:szCs w:val="22"/>
        </w:rPr>
        <w:t>Biographical sketches/CVs:  (see attached)</w:t>
      </w:r>
    </w:p>
    <w:p w:rsidR="00A56EAD" w:rsidRPr="005759D1" w:rsidRDefault="00A56EAD" w:rsidP="00A56EAD">
      <w:pPr>
        <w:rPr>
          <w:rFonts w:asciiTheme="majorHAnsi" w:hAnsiTheme="majorHAnsi" w:cstheme="majorHAnsi"/>
          <w:bCs/>
          <w:kern w:val="36"/>
          <w:sz w:val="22"/>
          <w:szCs w:val="22"/>
        </w:rPr>
      </w:pPr>
      <w:r w:rsidRPr="005759D1">
        <w:rPr>
          <w:rFonts w:asciiTheme="majorHAnsi" w:hAnsiTheme="majorHAnsi" w:cstheme="majorHAnsi"/>
          <w:b/>
          <w:sz w:val="22"/>
          <w:szCs w:val="22"/>
        </w:rPr>
        <w:br w:type="page"/>
      </w:r>
    </w:p>
    <w:p w:rsidR="002A39EA" w:rsidRPr="005759D1" w:rsidRDefault="002A39EA" w:rsidP="002A39EA">
      <w:pPr>
        <w:pStyle w:val="ListParagraph"/>
        <w:rPr>
          <w:rFonts w:asciiTheme="majorHAnsi" w:hAnsiTheme="majorHAnsi" w:cstheme="majorHAnsi"/>
          <w:b/>
          <w:sz w:val="22"/>
          <w:szCs w:val="22"/>
        </w:rPr>
      </w:pPr>
    </w:p>
    <w:p w:rsidR="002A39EA" w:rsidRPr="005759D1" w:rsidRDefault="002A39EA" w:rsidP="002A39EA">
      <w:pPr>
        <w:rPr>
          <w:rFonts w:asciiTheme="majorHAnsi" w:hAnsiTheme="majorHAnsi" w:cstheme="majorHAnsi"/>
          <w:b/>
          <w:sz w:val="22"/>
          <w:szCs w:val="22"/>
        </w:rPr>
      </w:pPr>
    </w:p>
    <w:p w:rsidR="002A39EA" w:rsidRPr="005759D1" w:rsidRDefault="002A39EA" w:rsidP="002A39EA">
      <w:pPr>
        <w:rPr>
          <w:rFonts w:asciiTheme="majorHAnsi" w:hAnsiTheme="majorHAnsi" w:cstheme="majorHAnsi"/>
          <w:b/>
          <w:sz w:val="22"/>
          <w:szCs w:val="22"/>
        </w:rPr>
      </w:pPr>
    </w:p>
    <w:p w:rsidR="005E2B63" w:rsidRPr="005759D1" w:rsidRDefault="005E2B63" w:rsidP="005E2B63">
      <w:pPr>
        <w:rPr>
          <w:rStyle w:val="infopagetitle1"/>
          <w:rFonts w:asciiTheme="majorHAnsi" w:hAnsiTheme="majorHAnsi" w:cstheme="majorHAnsi"/>
          <w:sz w:val="22"/>
          <w:szCs w:val="22"/>
        </w:rPr>
      </w:pPr>
      <w:r w:rsidRPr="005759D1">
        <w:rPr>
          <w:rFonts w:asciiTheme="majorHAnsi" w:hAnsiTheme="majorHAnsi" w:cstheme="majorHAnsi"/>
          <w:sz w:val="22"/>
          <w:szCs w:val="22"/>
        </w:rPr>
        <w:t xml:space="preserve">New Appendix A:  Manufacturer information on </w:t>
      </w:r>
      <w:r w:rsidRPr="005759D1">
        <w:rPr>
          <w:rStyle w:val="infopagetitle1"/>
          <w:rFonts w:asciiTheme="majorHAnsi" w:hAnsiTheme="majorHAnsi" w:cstheme="majorHAnsi"/>
          <w:sz w:val="22"/>
          <w:szCs w:val="22"/>
        </w:rPr>
        <w:t xml:space="preserve">sensitivity and reproducibility of the miRNA arrays provided by Qiagen at their website </w:t>
      </w:r>
    </w:p>
    <w:p w:rsidR="005E2B63" w:rsidRPr="005759D1" w:rsidRDefault="005E2B63" w:rsidP="005E2B63">
      <w:pPr>
        <w:ind w:left="720"/>
        <w:rPr>
          <w:rStyle w:val="infopagetitle1"/>
          <w:rFonts w:asciiTheme="majorHAnsi" w:hAnsiTheme="majorHAnsi" w:cstheme="majorHAnsi"/>
          <w:sz w:val="22"/>
          <w:szCs w:val="22"/>
        </w:rPr>
      </w:pPr>
    </w:p>
    <w:p w:rsidR="005E2B63" w:rsidRPr="005759D1" w:rsidRDefault="005E2B63" w:rsidP="00893D4E">
      <w:pPr>
        <w:rPr>
          <w:rFonts w:asciiTheme="majorHAnsi" w:hAnsiTheme="majorHAnsi" w:cstheme="majorHAnsi"/>
          <w:b/>
          <w:bCs/>
          <w:color w:val="333333"/>
          <w:sz w:val="22"/>
          <w:szCs w:val="22"/>
        </w:rPr>
      </w:pPr>
      <w:r w:rsidRPr="005759D1">
        <w:rPr>
          <w:rStyle w:val="infopagetitle1"/>
          <w:rFonts w:asciiTheme="majorHAnsi" w:hAnsiTheme="majorHAnsi" w:cstheme="majorHAnsi"/>
          <w:sz w:val="22"/>
          <w:szCs w:val="22"/>
        </w:rPr>
        <w:t>Information regarding plate set up and built in controls, including normalization of miRNA</w:t>
      </w:r>
      <w:r w:rsidR="001F6C7D" w:rsidRPr="005759D1">
        <w:rPr>
          <w:rStyle w:val="infopagetitle1"/>
          <w:rFonts w:asciiTheme="majorHAnsi" w:hAnsiTheme="majorHAnsi" w:cstheme="majorHAnsi"/>
          <w:sz w:val="22"/>
          <w:szCs w:val="22"/>
        </w:rPr>
        <w:t xml:space="preserve"> </w:t>
      </w:r>
      <w:r w:rsidRPr="005759D1">
        <w:rPr>
          <w:rStyle w:val="infopagetitle1"/>
          <w:rFonts w:asciiTheme="majorHAnsi" w:hAnsiTheme="majorHAnsi" w:cstheme="majorHAnsi"/>
          <w:sz w:val="22"/>
          <w:szCs w:val="22"/>
        </w:rPr>
        <w:t>markers using reference standards and manufacturer’s data on sensitivity and specificity and discriminatory capacity of their arrays with respect to the miRNAs included in the arrays is provided below.</w:t>
      </w:r>
    </w:p>
    <w:p w:rsidR="005E2B63" w:rsidRPr="005759D1" w:rsidRDefault="005E2B63" w:rsidP="001F6C7D">
      <w:pPr>
        <w:pStyle w:val="NormalWeb"/>
        <w:rPr>
          <w:rFonts w:asciiTheme="majorHAnsi" w:hAnsiTheme="majorHAnsi" w:cstheme="majorHAnsi"/>
          <w:color w:val="4F4F4F"/>
          <w:sz w:val="22"/>
          <w:szCs w:val="22"/>
        </w:rPr>
      </w:pPr>
    </w:p>
    <w:p w:rsidR="005E2B63" w:rsidRPr="005759D1" w:rsidRDefault="005E2B63" w:rsidP="005E2B63">
      <w:pPr>
        <w:pStyle w:val="NormalWeb"/>
        <w:ind w:left="720"/>
        <w:rPr>
          <w:rFonts w:asciiTheme="majorHAnsi" w:hAnsiTheme="majorHAnsi" w:cstheme="majorHAnsi"/>
          <w:color w:val="4F4F4F"/>
          <w:sz w:val="22"/>
          <w:szCs w:val="22"/>
        </w:rPr>
      </w:pPr>
      <w:r w:rsidRPr="005759D1">
        <w:rPr>
          <w:rFonts w:asciiTheme="majorHAnsi" w:hAnsiTheme="majorHAnsi" w:cstheme="majorHAnsi"/>
          <w:noProof/>
          <w:color w:val="4F4F4F"/>
          <w:sz w:val="22"/>
          <w:szCs w:val="22"/>
        </w:rPr>
        <w:drawing>
          <wp:inline distT="0" distB="0" distL="0" distR="0" wp14:anchorId="76BF7FC5" wp14:editId="2B95B00A">
            <wp:extent cx="4762500" cy="3724275"/>
            <wp:effectExtent l="0" t="0" r="0" b="9525"/>
            <wp:docPr id="3" name="Picture 3" descr="Description: http://www.sabiosciences.com/images/miScript_384HT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abiosciences.com/images/miScript_384HTLayou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724275"/>
                    </a:xfrm>
                    <a:prstGeom prst="rect">
                      <a:avLst/>
                    </a:prstGeom>
                    <a:noFill/>
                    <a:ln>
                      <a:noFill/>
                    </a:ln>
                  </pic:spPr>
                </pic:pic>
              </a:graphicData>
            </a:graphic>
          </wp:inline>
        </w:drawing>
      </w:r>
    </w:p>
    <w:p w:rsidR="005E2B63" w:rsidRPr="005759D1" w:rsidRDefault="005E2B63" w:rsidP="005E2B63">
      <w:pPr>
        <w:pStyle w:val="NormalWeb"/>
        <w:ind w:left="36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Layout of the 384-Well High Throughput (HT) miRNA PCR Arrays</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Wells A1 through P12 each contain one universal primer for the 372 most abundantly expressed and best characterized miRNA sequences in the human genome.</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Wells P13 and P14 contain the primer for C. elegans miR-39 for use with the miScript sample isolation spike control (Ce).</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Wells P15 through P20 contain a small RNA housekeeping assay panel to normalize qPCR Array data including SNORD 61, 68, 72, 95, 96A, and RNU6B/RNU6-2.</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The product specification sheet included with each cataloged qPCR Array contains a list of the pathway-focused and housekeeping miRNAs specific to that array.</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Wells P21 and P22 contain duplicate miRNA Reverse Transcription Controls (miRTC) to test the efficiency of the miScript II Reverse Transcription Kit (218160 or 218161) reaction with a primer set detecting the template synthesized from the kit's built-in miRNA External RNA Control.</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lastRenderedPageBreak/>
        <w:t>Wells P23 and P24 contain duplicate Positive PCR Controls (PPC) to test the efficiency of the polymerase chain reaction chemistry and instrument using a pre-dispensed artificial DNA sequence and the primer set that detects it.</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The two sets of duplicate control wells (RTC and PPC) also test for inter-well, intra-plate consistency.</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RT² miRNA PCR Array System Controls</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The miScript miRNA PCR Arrays include built-in positive control elements for the proper normalization of the data, for the quality of your RNA samples, and for general PCR performance of the arrays in your hands.</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Housekeeping Genes:</w:t>
      </w:r>
      <w:r w:rsidRPr="005759D1">
        <w:rPr>
          <w:rFonts w:asciiTheme="majorHAnsi" w:hAnsiTheme="majorHAnsi" w:cstheme="majorHAnsi"/>
          <w:color w:val="4F4F4F"/>
          <w:sz w:val="22"/>
          <w:szCs w:val="22"/>
        </w:rPr>
        <w:br/>
        <w:t>Five wells contain a panel of assays for housekeeping small nuclear RNA listed in the product specification sheet included with each cataloged or custom PCR Array. Use the raw threshold cycle data from these assays to choose an appropriate factor to normalize your PCR Array data, either the Ct value of one housekeeping assay or the average value of up to all four of them. The normalization factor should ideally not differ by more than one (1) cycle across the compared samples.</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Reverse Transcription Controls:</w:t>
      </w:r>
      <w:r w:rsidRPr="005759D1">
        <w:rPr>
          <w:rFonts w:asciiTheme="majorHAnsi" w:hAnsiTheme="majorHAnsi" w:cstheme="majorHAnsi"/>
          <w:b/>
          <w:bCs/>
          <w:color w:val="4F4F4F"/>
          <w:sz w:val="22"/>
          <w:szCs w:val="22"/>
        </w:rPr>
        <w:br/>
      </w:r>
      <w:r w:rsidRPr="005759D1">
        <w:rPr>
          <w:rFonts w:asciiTheme="majorHAnsi" w:hAnsiTheme="majorHAnsi" w:cstheme="majorHAnsi"/>
          <w:color w:val="4F4F4F"/>
          <w:sz w:val="22"/>
          <w:szCs w:val="22"/>
        </w:rPr>
        <w:t>Two wells contain replicate miRNA Reverse Transcription Controls (miRTC) to test the efficiency of the miScript II Reverse Transcription Kits (218160 or 218161) reaction. The assay detects cDNA template synthesized from the kit's built-in miRNA External RNA Control (ERC). Any impurities that affect the reverse transcription of the ERC also affect the reverse transcription of your experimental miRNA sample.</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A value of (Ct miRTC - Ct PPC) less than seven (7) indicates no apparent inhibition.</w:t>
      </w:r>
      <w:r w:rsidRPr="005759D1">
        <w:rPr>
          <w:rFonts w:asciiTheme="majorHAnsi" w:hAnsiTheme="majorHAnsi" w:cstheme="majorHAnsi"/>
          <w:color w:val="4F4F4F"/>
          <w:sz w:val="22"/>
          <w:szCs w:val="22"/>
        </w:rPr>
        <w:br/>
        <w:t>A value greater than seven (7) provides evidence of impurities that inhibited the reverse transcription phase of the procedure. Double check the quality, purity, and integrity of the miRNA samples.</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Positive PCR Controls:</w:t>
      </w:r>
      <w:r w:rsidRPr="005759D1">
        <w:rPr>
          <w:rFonts w:asciiTheme="majorHAnsi" w:hAnsiTheme="majorHAnsi" w:cstheme="majorHAnsi"/>
          <w:color w:val="4F4F4F"/>
          <w:sz w:val="22"/>
          <w:szCs w:val="22"/>
        </w:rPr>
        <w:br/>
        <w:t>Two wells contain replicate Positive PCR Controls (PPC) to test the efficiency of the polymerase chain reaction chemistry and instrument. The assay includes a pre-dispensed artificial DNA sequence and the primer set that detects it. Any impurities that affect the positive control PCR amplification also affect amplification of the miRNA-specific products of interest.</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Values of Ct PPC = 19 +2 indicate a lack of PCR inhibitors.</w:t>
      </w:r>
      <w:r w:rsidRPr="005759D1">
        <w:rPr>
          <w:rFonts w:asciiTheme="majorHAnsi" w:hAnsiTheme="majorHAnsi" w:cstheme="majorHAnsi"/>
          <w:color w:val="4F4F4F"/>
          <w:sz w:val="22"/>
          <w:szCs w:val="22"/>
        </w:rPr>
        <w:br/>
        <w:t>Higher values and more widely variable values across arrays indicate the presence of inhibitors with different concentrations in the samples. Double check the quality, purity, and integrity of the RNA samples. Also, double check that the correct cycling conditions recommended in the Handbook were used.</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The two sets of replicate control wells (miRTC and PPC) on each miScript miRNA PCR Array also test for inter-well, intra-plate consistenc.</w:t>
      </w:r>
    </w:p>
    <w:p w:rsidR="005E2B63" w:rsidRPr="00893D4E" w:rsidRDefault="005E2B63" w:rsidP="005E2B63">
      <w:pPr>
        <w:pStyle w:val="NormalWeb"/>
        <w:ind w:left="360" w:hanging="360"/>
        <w:rPr>
          <w:rFonts w:asciiTheme="majorHAnsi" w:hAnsiTheme="majorHAnsi" w:cstheme="majorHAnsi"/>
          <w:b/>
          <w:color w:val="auto"/>
          <w:sz w:val="22"/>
          <w:szCs w:val="22"/>
        </w:rPr>
      </w:pPr>
      <w:r w:rsidRPr="00893D4E">
        <w:rPr>
          <w:rFonts w:asciiTheme="majorHAnsi" w:hAnsiTheme="majorHAnsi" w:cstheme="majorHAnsi"/>
          <w:b/>
          <w:color w:val="auto"/>
          <w:sz w:val="22"/>
          <w:szCs w:val="22"/>
        </w:rPr>
        <w:t>RT² miRNA qPCR Array and Assay System Performance</w:t>
      </w:r>
    </w:p>
    <w:p w:rsidR="005E2B63" w:rsidRPr="005759D1" w:rsidRDefault="005E2B63" w:rsidP="005E2B63">
      <w:pPr>
        <w:pStyle w:val="NormalWeb"/>
        <w:ind w:left="360" w:hanging="360"/>
        <w:rPr>
          <w:rFonts w:asciiTheme="majorHAnsi" w:hAnsiTheme="majorHAnsi" w:cstheme="majorHAnsi"/>
          <w:color w:val="4F4F4F"/>
          <w:sz w:val="22"/>
          <w:szCs w:val="22"/>
        </w:rPr>
      </w:pPr>
      <w:r w:rsidRPr="005759D1">
        <w:rPr>
          <w:rFonts w:asciiTheme="majorHAnsi" w:hAnsiTheme="majorHAnsi" w:cstheme="majorHAnsi"/>
          <w:color w:val="4F4F4F"/>
          <w:sz w:val="22"/>
          <w:szCs w:val="22"/>
        </w:rPr>
        <w:t>Real-time RT-PCR is the most sensitive and reliable method for analyzing the expression of nucleic acids like miRNA. Its wide dynamic range makes it the preferred choice for simultaneously quantifying both rare and abundant sequences in the same sample. However, the small size and high degree of similarity among miRNA sequences makes quantitative analyses of their abundance very challenging. Any assay for miRNA must not only demonstrate the sensitivity and reproducibility expected of real-time PCR, but also be specific enough to discriminate between sequences that differ by as little as one mismatch. The experimental results below will show that the RT² miRNA PCR Array and Assay System meets these performance criteria.</w:t>
      </w:r>
    </w:p>
    <w:p w:rsidR="005E2B63" w:rsidRPr="005759D1" w:rsidRDefault="005E2B63" w:rsidP="00893D4E">
      <w:pPr>
        <w:pStyle w:val="NormalWeb"/>
        <w:ind w:left="360" w:hanging="360"/>
        <w:rPr>
          <w:rFonts w:asciiTheme="majorHAnsi" w:hAnsiTheme="majorHAnsi" w:cstheme="majorHAnsi"/>
          <w:b/>
          <w:color w:val="D92027"/>
          <w:sz w:val="22"/>
          <w:szCs w:val="22"/>
        </w:rPr>
      </w:pPr>
      <w:r w:rsidRPr="005759D1">
        <w:rPr>
          <w:rFonts w:asciiTheme="majorHAnsi" w:hAnsiTheme="majorHAnsi" w:cstheme="majorHAnsi"/>
          <w:b/>
          <w:bCs/>
          <w:color w:val="4F4F4F"/>
          <w:sz w:val="22"/>
          <w:szCs w:val="22"/>
        </w:rPr>
        <w:lastRenderedPageBreak/>
        <w:t>RT² miRNA Assay Design Improves Discrimination &amp; Specificity</w:t>
      </w:r>
      <w:r w:rsidRPr="005759D1">
        <w:rPr>
          <w:rFonts w:asciiTheme="majorHAnsi" w:hAnsiTheme="majorHAnsi" w:cstheme="majorHAnsi"/>
          <w:color w:val="4F4F4F"/>
          <w:sz w:val="22"/>
          <w:szCs w:val="22"/>
        </w:rPr>
        <w:br/>
        <w:t>The proprietary primer design of the RT² miRNA PCR Array and Assays distinguishes miRNA family members with single nucleotide mismatches providing greater discrimination and specificity than other commercial providers.</w:t>
      </w:r>
    </w:p>
    <w:p w:rsidR="005E2B63" w:rsidRPr="005759D1" w:rsidRDefault="005E2B63" w:rsidP="005E2B63">
      <w:pPr>
        <w:pStyle w:val="ListParagraph"/>
        <w:rPr>
          <w:rFonts w:asciiTheme="majorHAnsi" w:hAnsiTheme="majorHAnsi" w:cstheme="majorHAnsi"/>
          <w:color w:val="4F4F4F"/>
          <w:sz w:val="22"/>
          <w:szCs w:val="22"/>
        </w:rPr>
      </w:pPr>
    </w:p>
    <w:tbl>
      <w:tblPr>
        <w:tblW w:w="7950" w:type="dxa"/>
        <w:tblBorders>
          <w:top w:val="outset" w:sz="6" w:space="0" w:color="ECECEC"/>
          <w:left w:val="outset" w:sz="6" w:space="0" w:color="ECECEC"/>
          <w:bottom w:val="outset" w:sz="6" w:space="0" w:color="ECECEC"/>
          <w:right w:val="outset" w:sz="6" w:space="0" w:color="ECECEC"/>
        </w:tblBorders>
        <w:tblCellMar>
          <w:top w:w="45" w:type="dxa"/>
          <w:left w:w="45" w:type="dxa"/>
          <w:bottom w:w="45" w:type="dxa"/>
          <w:right w:w="45" w:type="dxa"/>
        </w:tblCellMar>
        <w:tblLook w:val="04A0" w:firstRow="1" w:lastRow="0" w:firstColumn="1" w:lastColumn="0" w:noHBand="0" w:noVBand="1"/>
      </w:tblPr>
      <w:tblGrid>
        <w:gridCol w:w="1566"/>
        <w:gridCol w:w="910"/>
        <w:gridCol w:w="1729"/>
        <w:gridCol w:w="3745"/>
      </w:tblGrid>
      <w:tr w:rsidR="005E2B63" w:rsidRPr="005759D1" w:rsidTr="005E2B63">
        <w:tc>
          <w:tcPr>
            <w:tcW w:w="172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Synthetic</w:t>
            </w:r>
            <w:r w:rsidRPr="005759D1">
              <w:rPr>
                <w:rFonts w:asciiTheme="majorHAnsi" w:hAnsiTheme="majorHAnsi" w:cstheme="majorHAnsi"/>
                <w:b/>
                <w:bCs/>
                <w:color w:val="4F4F4F"/>
                <w:sz w:val="22"/>
                <w:szCs w:val="22"/>
              </w:rPr>
              <w:br/>
              <w:t>miRNA Template</w:t>
            </w:r>
            <w:r w:rsidRPr="005759D1">
              <w:rPr>
                <w:rFonts w:asciiTheme="majorHAnsi" w:hAnsiTheme="majorHAnsi" w:cstheme="majorHAnsi"/>
                <w:color w:val="4F4F4F"/>
                <w:sz w:val="22"/>
                <w:szCs w:val="22"/>
              </w:rPr>
              <w:t xml:space="preserve">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Assay Primers</w:t>
            </w:r>
            <w:r w:rsidRPr="005759D1">
              <w:rPr>
                <w:rFonts w:asciiTheme="majorHAnsi" w:hAnsiTheme="majorHAnsi" w:cstheme="majorHAnsi"/>
                <w:color w:val="4F4F4F"/>
                <w:sz w:val="22"/>
                <w:szCs w:val="22"/>
              </w:rPr>
              <w:t xml:space="preserve">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Relative Detection</w:t>
            </w:r>
            <w:r w:rsidRPr="005759D1">
              <w:rPr>
                <w:rFonts w:asciiTheme="majorHAnsi" w:hAnsiTheme="majorHAnsi" w:cstheme="majorHAnsi"/>
                <w:b/>
                <w:bCs/>
                <w:color w:val="4F4F4F"/>
                <w:sz w:val="22"/>
                <w:szCs w:val="22"/>
              </w:rPr>
              <w:br/>
              <w:t>(%Perfect Match)</w:t>
            </w:r>
            <w:r w:rsidRPr="005759D1">
              <w:rPr>
                <w:rFonts w:asciiTheme="majorHAnsi" w:hAnsiTheme="majorHAnsi" w:cstheme="majorHAnsi"/>
                <w:color w:val="4F4F4F"/>
                <w:sz w:val="22"/>
                <w:szCs w:val="22"/>
              </w:rPr>
              <w:t xml:space="preserve"> </w:t>
            </w:r>
          </w:p>
        </w:tc>
        <w:tc>
          <w:tcPr>
            <w:tcW w:w="29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 miRNA Template Sequence</w:t>
            </w: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miR-10a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UACCCUGUAGA</w:t>
            </w:r>
            <w:r w:rsidRPr="005759D1">
              <w:rPr>
                <w:rFonts w:asciiTheme="majorHAnsi" w:hAnsiTheme="majorHAnsi" w:cstheme="majorHAnsi"/>
                <w:b/>
                <w:bCs/>
                <w:color w:val="4F4F4F"/>
                <w:sz w:val="22"/>
                <w:szCs w:val="22"/>
              </w:rPr>
              <w:t>U</w:t>
            </w:r>
            <w:r w:rsidRPr="005759D1">
              <w:rPr>
                <w:rFonts w:asciiTheme="majorHAnsi" w:hAnsiTheme="majorHAnsi" w:cstheme="majorHAnsi"/>
                <w:color w:val="4F4F4F"/>
                <w:sz w:val="22"/>
                <w:szCs w:val="22"/>
              </w:rPr>
              <w:t>CCGAAUUUGUG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miR-10b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0.98</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miR-10b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miR-10b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UACCCUGUAGA</w:t>
            </w:r>
            <w:r w:rsidRPr="005759D1">
              <w:rPr>
                <w:rFonts w:asciiTheme="majorHAnsi" w:hAnsiTheme="majorHAnsi" w:cstheme="majorHAnsi"/>
                <w:b/>
                <w:bCs/>
                <w:color w:val="4F4F4F"/>
                <w:sz w:val="22"/>
                <w:szCs w:val="22"/>
              </w:rPr>
              <w:t>A</w:t>
            </w:r>
            <w:r w:rsidRPr="005759D1">
              <w:rPr>
                <w:rFonts w:asciiTheme="majorHAnsi" w:hAnsiTheme="majorHAnsi" w:cstheme="majorHAnsi"/>
                <w:color w:val="4F4F4F"/>
                <w:sz w:val="22"/>
                <w:szCs w:val="22"/>
              </w:rPr>
              <w:t>CCGAAUUUGUG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0.01</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miR-99a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mir-99a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AACCCGUAGAUCCGA</w:t>
            </w:r>
            <w:r w:rsidRPr="005759D1">
              <w:rPr>
                <w:rFonts w:asciiTheme="majorHAnsi" w:hAnsiTheme="majorHAnsi" w:cstheme="majorHAnsi"/>
                <w:b/>
                <w:bCs/>
                <w:color w:val="4F4F4F"/>
                <w:sz w:val="22"/>
                <w:szCs w:val="22"/>
              </w:rPr>
              <w:t>U</w:t>
            </w:r>
            <w:r w:rsidRPr="005759D1">
              <w:rPr>
                <w:rFonts w:asciiTheme="majorHAnsi" w:hAnsiTheme="majorHAnsi" w:cstheme="majorHAnsi"/>
                <w:color w:val="4F4F4F"/>
                <w:sz w:val="22"/>
                <w:szCs w:val="22"/>
              </w:rPr>
              <w:t>CUUGUG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miR-100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0.54</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miR-100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miR-100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AACCCGUAGAUCCGA</w:t>
            </w:r>
            <w:r w:rsidRPr="005759D1">
              <w:rPr>
                <w:rFonts w:asciiTheme="majorHAnsi" w:hAnsiTheme="majorHAnsi" w:cstheme="majorHAnsi"/>
                <w:b/>
                <w:bCs/>
                <w:color w:val="4F4F4F"/>
                <w:sz w:val="22"/>
                <w:szCs w:val="22"/>
              </w:rPr>
              <w:t>A</w:t>
            </w:r>
            <w:r w:rsidRPr="005759D1">
              <w:rPr>
                <w:rFonts w:asciiTheme="majorHAnsi" w:hAnsiTheme="majorHAnsi" w:cstheme="majorHAnsi"/>
                <w:color w:val="4F4F4F"/>
                <w:sz w:val="22"/>
                <w:szCs w:val="22"/>
              </w:rPr>
              <w:t>CUUGUG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mir-99a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0.07</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miR-196a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UAGGUAGUUUC</w:t>
            </w:r>
            <w:r w:rsidRPr="005759D1">
              <w:rPr>
                <w:rFonts w:asciiTheme="majorHAnsi" w:hAnsiTheme="majorHAnsi" w:cstheme="majorHAnsi"/>
                <w:b/>
                <w:bCs/>
                <w:color w:val="4F4F4F"/>
                <w:sz w:val="22"/>
                <w:szCs w:val="22"/>
              </w:rPr>
              <w:t>A</w:t>
            </w:r>
            <w:r w:rsidRPr="005759D1">
              <w:rPr>
                <w:rFonts w:asciiTheme="majorHAnsi" w:hAnsiTheme="majorHAnsi" w:cstheme="majorHAnsi"/>
                <w:color w:val="4F4F4F"/>
                <w:sz w:val="22"/>
                <w:szCs w:val="22"/>
              </w:rPr>
              <w:t>UGUUGUUGGG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miR-196b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0.20</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1725"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miR-196b </w:t>
            </w: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miR-196b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100.00 </w:t>
            </w:r>
          </w:p>
        </w:tc>
        <w:tc>
          <w:tcPr>
            <w:tcW w:w="2940" w:type="dxa"/>
            <w:vMerge w:val="restart"/>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UAGGUAGUUUC</w:t>
            </w:r>
            <w:r w:rsidRPr="005759D1">
              <w:rPr>
                <w:rFonts w:asciiTheme="majorHAnsi" w:hAnsiTheme="majorHAnsi" w:cstheme="majorHAnsi"/>
                <w:b/>
                <w:bCs/>
                <w:color w:val="4F4F4F"/>
                <w:sz w:val="22"/>
                <w:szCs w:val="22"/>
              </w:rPr>
              <w:t>C</w:t>
            </w:r>
            <w:r w:rsidRPr="005759D1">
              <w:rPr>
                <w:rFonts w:asciiTheme="majorHAnsi" w:hAnsiTheme="majorHAnsi" w:cstheme="majorHAnsi"/>
                <w:color w:val="4F4F4F"/>
                <w:sz w:val="22"/>
                <w:szCs w:val="22"/>
              </w:rPr>
              <w:t>UGUUGUUGGG</w:t>
            </w:r>
          </w:p>
        </w:tc>
      </w:tr>
      <w:tr w:rsidR="005E2B63" w:rsidRPr="005759D1" w:rsidTr="005E2B63">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c>
          <w:tcPr>
            <w:tcW w:w="840"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center"/>
              <w:rPr>
                <w:rFonts w:asciiTheme="majorHAnsi" w:hAnsiTheme="majorHAnsi" w:cstheme="majorHAnsi"/>
                <w:color w:val="4F4F4F"/>
                <w:sz w:val="22"/>
                <w:szCs w:val="22"/>
              </w:rPr>
            </w:pPr>
            <w:r w:rsidRPr="005759D1">
              <w:rPr>
                <w:rFonts w:asciiTheme="majorHAnsi" w:hAnsiTheme="majorHAnsi" w:cstheme="majorHAnsi"/>
                <w:color w:val="4F4F4F"/>
                <w:sz w:val="22"/>
                <w:szCs w:val="22"/>
              </w:rPr>
              <w:t xml:space="preserve">miR-196a </w:t>
            </w:r>
          </w:p>
        </w:tc>
        <w:tc>
          <w:tcPr>
            <w:tcW w:w="1935" w:type="dxa"/>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jc w:val="right"/>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1.64</w:t>
            </w:r>
            <w:r w:rsidRPr="005759D1">
              <w:rPr>
                <w:rFonts w:asciiTheme="majorHAnsi" w:hAnsiTheme="majorHAnsi" w:cstheme="majorHAnsi"/>
                <w:color w:val="4F4F4F"/>
                <w:sz w:val="22"/>
                <w:szCs w:val="22"/>
              </w:rPr>
              <w:t xml:space="preserve"> </w:t>
            </w:r>
          </w:p>
        </w:tc>
        <w:tc>
          <w:tcPr>
            <w:tcW w:w="0" w:type="auto"/>
            <w:vMerge/>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rPr>
                <w:rFonts w:asciiTheme="majorHAnsi" w:hAnsiTheme="majorHAnsi" w:cstheme="majorHAnsi"/>
                <w:color w:val="4F4F4F"/>
                <w:sz w:val="22"/>
                <w:szCs w:val="22"/>
              </w:rPr>
            </w:pPr>
          </w:p>
        </w:tc>
      </w:tr>
      <w:tr w:rsidR="005E2B63" w:rsidRPr="005759D1" w:rsidTr="005E2B63">
        <w:tc>
          <w:tcPr>
            <w:tcW w:w="7440" w:type="dxa"/>
            <w:gridSpan w:val="4"/>
            <w:tcBorders>
              <w:top w:val="outset" w:sz="6" w:space="0" w:color="ECECEC"/>
              <w:left w:val="outset" w:sz="6" w:space="0" w:color="ECECEC"/>
              <w:bottom w:val="outset" w:sz="6" w:space="0" w:color="ECECEC"/>
              <w:right w:val="outset" w:sz="6" w:space="0" w:color="ECECEC"/>
            </w:tcBorders>
            <w:vAlign w:val="center"/>
            <w:hideMark/>
          </w:tcPr>
          <w:p w:rsidR="005E2B63" w:rsidRPr="005759D1" w:rsidRDefault="005E2B63" w:rsidP="005E2B63">
            <w:pPr>
              <w:spacing w:before="100" w:beforeAutospacing="1" w:after="100" w:afterAutospacing="1"/>
              <w:rPr>
                <w:rFonts w:asciiTheme="majorHAnsi" w:hAnsiTheme="majorHAnsi" w:cstheme="majorHAnsi"/>
                <w:color w:val="4F4F4F"/>
                <w:sz w:val="22"/>
                <w:szCs w:val="22"/>
              </w:rPr>
            </w:pPr>
            <w:r w:rsidRPr="005759D1">
              <w:rPr>
                <w:rFonts w:asciiTheme="majorHAnsi" w:hAnsiTheme="majorHAnsi" w:cstheme="majorHAnsi"/>
                <w:color w:val="4F4F4F"/>
                <w:sz w:val="22"/>
                <w:szCs w:val="22"/>
              </w:rPr>
              <w:t>Relative detection as a percent of the perfect match (100 x 2</w:t>
            </w:r>
            <w:r w:rsidRPr="005759D1">
              <w:rPr>
                <w:rFonts w:asciiTheme="majorHAnsi" w:hAnsiTheme="majorHAnsi" w:cstheme="majorHAnsi"/>
                <w:color w:val="4F4F4F"/>
                <w:sz w:val="22"/>
                <w:szCs w:val="22"/>
                <w:vertAlign w:val="superscript"/>
              </w:rPr>
              <w:t>- ΔΔCt</w:t>
            </w:r>
            <w:r w:rsidRPr="005759D1">
              <w:rPr>
                <w:rFonts w:asciiTheme="majorHAnsi" w:hAnsiTheme="majorHAnsi" w:cstheme="majorHAnsi"/>
                <w:color w:val="4F4F4F"/>
                <w:sz w:val="22"/>
                <w:szCs w:val="22"/>
              </w:rPr>
              <w:t>) is calculated from the C</w:t>
            </w:r>
            <w:r w:rsidRPr="005759D1">
              <w:rPr>
                <w:rFonts w:asciiTheme="majorHAnsi" w:hAnsiTheme="majorHAnsi" w:cstheme="majorHAnsi"/>
                <w:color w:val="4F4F4F"/>
                <w:sz w:val="22"/>
                <w:szCs w:val="22"/>
                <w:vertAlign w:val="subscript"/>
              </w:rPr>
              <w:t>t</w:t>
            </w:r>
            <w:r w:rsidRPr="005759D1">
              <w:rPr>
                <w:rFonts w:asciiTheme="majorHAnsi" w:hAnsiTheme="majorHAnsi" w:cstheme="majorHAnsi"/>
                <w:color w:val="4F4F4F"/>
                <w:sz w:val="22"/>
                <w:szCs w:val="22"/>
              </w:rPr>
              <w:t xml:space="preserve"> values of target and off-target assays used to detect 10</w:t>
            </w:r>
            <w:r w:rsidRPr="005759D1">
              <w:rPr>
                <w:rFonts w:asciiTheme="majorHAnsi" w:hAnsiTheme="majorHAnsi" w:cstheme="majorHAnsi"/>
                <w:color w:val="4F4F4F"/>
                <w:sz w:val="22"/>
                <w:szCs w:val="22"/>
                <w:vertAlign w:val="superscript"/>
              </w:rPr>
              <w:t>5</w:t>
            </w:r>
            <w:r w:rsidRPr="005759D1">
              <w:rPr>
                <w:rFonts w:asciiTheme="majorHAnsi" w:hAnsiTheme="majorHAnsi" w:cstheme="majorHAnsi"/>
                <w:color w:val="4F4F4F"/>
                <w:sz w:val="22"/>
                <w:szCs w:val="22"/>
              </w:rPr>
              <w:t xml:space="preserve"> copies of synthetic miRNA template. The observed cross-reactivity seen between RT² miRNA qPCR Assays for different miRNA species are compared. </w:t>
            </w:r>
          </w:p>
        </w:tc>
      </w:tr>
    </w:tbl>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893D4E" w:rsidRDefault="00893D4E" w:rsidP="005E2B63">
      <w:pPr>
        <w:spacing w:before="100" w:beforeAutospacing="1" w:after="100" w:afterAutospacing="1"/>
        <w:rPr>
          <w:rFonts w:asciiTheme="majorHAnsi" w:hAnsiTheme="majorHAnsi" w:cstheme="majorHAnsi"/>
          <w:b/>
          <w:bCs/>
          <w:color w:val="4F4F4F"/>
          <w:sz w:val="22"/>
          <w:szCs w:val="22"/>
        </w:rPr>
      </w:pPr>
    </w:p>
    <w:p w:rsidR="005E2B63" w:rsidRPr="005759D1" w:rsidRDefault="005E2B63" w:rsidP="005E2B63">
      <w:pPr>
        <w:spacing w:before="100" w:beforeAutospacing="1" w:after="100" w:afterAutospacing="1"/>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lastRenderedPageBreak/>
        <w:t>Specifically Detecting Mature miRNA Improves Sensitivity</w:t>
      </w:r>
      <w:r w:rsidRPr="005759D1">
        <w:rPr>
          <w:rFonts w:asciiTheme="majorHAnsi" w:hAnsiTheme="majorHAnsi" w:cstheme="majorHAnsi"/>
          <w:b/>
          <w:bCs/>
          <w:color w:val="4F4F4F"/>
          <w:sz w:val="22"/>
          <w:szCs w:val="22"/>
        </w:rPr>
        <w:br/>
      </w:r>
      <w:r w:rsidRPr="005759D1">
        <w:rPr>
          <w:rFonts w:asciiTheme="majorHAnsi" w:hAnsiTheme="majorHAnsi" w:cstheme="majorHAnsi"/>
          <w:color w:val="4F4F4F"/>
          <w:sz w:val="22"/>
          <w:szCs w:val="22"/>
        </w:rPr>
        <w:t>The patent-pending chemistry of the RT² miRNA First Strand Kit preferentially reverse transcribes mature miRNA, thereby decreasing non-specific background and increasing sensitivity. The RT² miRNA PCR Assays provide three orders of magnitude greater sensitivity than competing assays. Other assays can amplify non-specific products that tend to be more evident at lower amounts of input material.</w:t>
      </w:r>
    </w:p>
    <w:p w:rsidR="005E2B63" w:rsidRPr="005759D1" w:rsidRDefault="005E2B63" w:rsidP="005E2B63">
      <w:pPr>
        <w:pStyle w:val="ListParagraph"/>
        <w:numPr>
          <w:ilvl w:val="0"/>
          <w:numId w:val="17"/>
        </w:numPr>
        <w:spacing w:before="100" w:beforeAutospacing="1" w:after="100" w:afterAutospacing="1"/>
        <w:jc w:val="center"/>
        <w:rPr>
          <w:rFonts w:asciiTheme="majorHAnsi" w:hAnsiTheme="majorHAnsi" w:cstheme="majorHAnsi"/>
          <w:color w:val="4F4F4F"/>
          <w:sz w:val="22"/>
          <w:szCs w:val="22"/>
        </w:rPr>
      </w:pPr>
      <w:r w:rsidRPr="005759D1">
        <w:rPr>
          <w:rFonts w:asciiTheme="majorHAnsi" w:hAnsiTheme="majorHAnsi" w:cstheme="majorHAnsi"/>
          <w:noProof/>
          <w:sz w:val="22"/>
          <w:szCs w:val="22"/>
        </w:rPr>
        <w:drawing>
          <wp:inline distT="0" distB="0" distL="0" distR="0" wp14:anchorId="43859B0E" wp14:editId="779A504F">
            <wp:extent cx="3571875" cy="2390775"/>
            <wp:effectExtent l="0" t="0" r="9525" b="9525"/>
            <wp:docPr id="7" name="Picture 7" descr="Description: http://www.sabiosciences.com/images/Sensitiv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sabiosciences.com/images/Sensitivity.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71875" cy="2390775"/>
                    </a:xfrm>
                    <a:prstGeom prst="rect">
                      <a:avLst/>
                    </a:prstGeom>
                    <a:noFill/>
                    <a:ln>
                      <a:noFill/>
                    </a:ln>
                  </pic:spPr>
                </pic:pic>
              </a:graphicData>
            </a:graphic>
          </wp:inline>
        </w:drawing>
      </w:r>
    </w:p>
    <w:p w:rsidR="005E2B63" w:rsidRPr="005759D1" w:rsidRDefault="005E2B63" w:rsidP="00893D4E">
      <w:pPr>
        <w:spacing w:before="100" w:beforeAutospacing="1" w:after="100" w:afterAutospacing="1"/>
        <w:ind w:hanging="180"/>
        <w:rPr>
          <w:rFonts w:asciiTheme="majorHAnsi" w:hAnsiTheme="majorHAnsi" w:cstheme="majorHAnsi"/>
          <w:b/>
          <w:bCs/>
          <w:color w:val="4F4F4F"/>
          <w:sz w:val="22"/>
          <w:szCs w:val="22"/>
        </w:rPr>
      </w:pPr>
      <w:r w:rsidRPr="005759D1">
        <w:rPr>
          <w:rFonts w:asciiTheme="majorHAnsi" w:hAnsiTheme="majorHAnsi" w:cstheme="majorHAnsi"/>
          <w:color w:val="4F4F4F"/>
          <w:sz w:val="22"/>
          <w:szCs w:val="22"/>
        </w:rPr>
        <w:t>Synthetic mir-658 was serially diluted into a constant amount (100 ng) of small RNA enriched from 293H cells lacking that sequence. Samples were analyzed with mir-658-specific RT² miRNA qPCR Assays and other commercial assays. The resulting threshold cycles of the assays are plotted versus the log</w:t>
      </w:r>
      <w:r w:rsidRPr="005759D1">
        <w:rPr>
          <w:rFonts w:asciiTheme="majorHAnsi" w:hAnsiTheme="majorHAnsi" w:cstheme="majorHAnsi"/>
          <w:color w:val="4F4F4F"/>
          <w:sz w:val="22"/>
          <w:szCs w:val="22"/>
          <w:vertAlign w:val="subscript"/>
        </w:rPr>
        <w:t>10</w:t>
      </w:r>
      <w:r w:rsidRPr="005759D1">
        <w:rPr>
          <w:rFonts w:asciiTheme="majorHAnsi" w:hAnsiTheme="majorHAnsi" w:cstheme="majorHAnsi"/>
          <w:color w:val="4F4F4F"/>
          <w:sz w:val="22"/>
          <w:szCs w:val="22"/>
        </w:rPr>
        <w:t xml:space="preserve"> of the number of mir-658 template copies</w:t>
      </w:r>
      <w:r w:rsidR="00893D4E">
        <w:rPr>
          <w:rFonts w:asciiTheme="majorHAnsi" w:hAnsiTheme="majorHAnsi" w:cstheme="majorHAnsi"/>
          <w:b/>
          <w:bCs/>
          <w:color w:val="4F4F4F"/>
          <w:sz w:val="22"/>
          <w:szCs w:val="22"/>
        </w:rPr>
        <w:t>.</w:t>
      </w:r>
    </w:p>
    <w:p w:rsidR="005E2B63" w:rsidRPr="005759D1" w:rsidRDefault="005E2B63" w:rsidP="005E2B63">
      <w:pPr>
        <w:spacing w:before="100" w:beforeAutospacing="1" w:after="100" w:afterAutospacing="1"/>
        <w:ind w:hanging="18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RT² miRNA Arrays and Assays Have Wide Linear Dynamic Ranges</w:t>
      </w:r>
      <w:r w:rsidRPr="005759D1">
        <w:rPr>
          <w:rFonts w:asciiTheme="majorHAnsi" w:hAnsiTheme="majorHAnsi" w:cstheme="majorHAnsi"/>
          <w:color w:val="4F4F4F"/>
          <w:sz w:val="22"/>
          <w:szCs w:val="22"/>
        </w:rPr>
        <w:br/>
        <w:t>Assays demonstrate linearity from 400 ng to as low as 10 pg input small RNA or from 100 to 10</w:t>
      </w:r>
      <w:r w:rsidRPr="005759D1">
        <w:rPr>
          <w:rFonts w:asciiTheme="majorHAnsi" w:hAnsiTheme="majorHAnsi" w:cstheme="majorHAnsi"/>
          <w:color w:val="4F4F4F"/>
          <w:sz w:val="22"/>
          <w:szCs w:val="22"/>
          <w:vertAlign w:val="superscript"/>
        </w:rPr>
        <w:t>10</w:t>
      </w:r>
      <w:r w:rsidRPr="005759D1">
        <w:rPr>
          <w:rFonts w:asciiTheme="majorHAnsi" w:hAnsiTheme="majorHAnsi" w:cstheme="majorHAnsi"/>
          <w:color w:val="4F4F4F"/>
          <w:sz w:val="22"/>
          <w:szCs w:val="22"/>
        </w:rPr>
        <w:t xml:space="preserve"> copies of miRNA cDNA template. The wide dynamic range means that miRNA sequences expressed at a wide variety of expression levels can be detected simultaneously.</w:t>
      </w:r>
    </w:p>
    <w:p w:rsidR="005E2B63" w:rsidRPr="005759D1" w:rsidRDefault="005E2B63" w:rsidP="005E2B63">
      <w:pPr>
        <w:spacing w:before="100" w:beforeAutospacing="1" w:after="100" w:afterAutospacing="1"/>
        <w:ind w:firstLine="720"/>
        <w:rPr>
          <w:rFonts w:asciiTheme="majorHAnsi" w:hAnsiTheme="majorHAnsi" w:cstheme="majorHAnsi"/>
          <w:color w:val="4F4F4F"/>
          <w:sz w:val="22"/>
          <w:szCs w:val="22"/>
        </w:rPr>
      </w:pPr>
      <w:r w:rsidRPr="005759D1">
        <w:rPr>
          <w:rFonts w:asciiTheme="majorHAnsi" w:hAnsiTheme="majorHAnsi" w:cstheme="majorHAnsi"/>
          <w:noProof/>
          <w:sz w:val="22"/>
          <w:szCs w:val="22"/>
        </w:rPr>
        <w:drawing>
          <wp:inline distT="0" distB="0" distL="0" distR="0" wp14:anchorId="704F4EDF" wp14:editId="2D91B2AE">
            <wp:extent cx="3571875" cy="2390775"/>
            <wp:effectExtent l="0" t="0" r="9525" b="9525"/>
            <wp:docPr id="9" name="Picture 9" descr="Description: http://www.sabiosciences.com/images/Dynamic_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www.sabiosciences.com/images/Dynamic_Range.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71875" cy="2390775"/>
                    </a:xfrm>
                    <a:prstGeom prst="rect">
                      <a:avLst/>
                    </a:prstGeom>
                    <a:noFill/>
                    <a:ln>
                      <a:noFill/>
                    </a:ln>
                  </pic:spPr>
                </pic:pic>
              </a:graphicData>
            </a:graphic>
          </wp:inline>
        </w:drawing>
      </w:r>
    </w:p>
    <w:p w:rsidR="005E2B63" w:rsidRPr="005759D1" w:rsidRDefault="005E2B63" w:rsidP="005E2B63">
      <w:pPr>
        <w:pStyle w:val="ListParagraph"/>
        <w:spacing w:before="100" w:beforeAutospacing="1" w:after="100" w:afterAutospacing="1"/>
        <w:rPr>
          <w:rFonts w:asciiTheme="majorHAnsi" w:hAnsiTheme="majorHAnsi" w:cstheme="majorHAnsi"/>
          <w:color w:val="4F4F4F"/>
          <w:sz w:val="22"/>
          <w:szCs w:val="22"/>
        </w:rPr>
      </w:pPr>
    </w:p>
    <w:p w:rsidR="005E2B63" w:rsidRPr="005759D1" w:rsidRDefault="005E2B63" w:rsidP="005E2B63">
      <w:pPr>
        <w:pStyle w:val="ListParagraph"/>
        <w:spacing w:before="100" w:beforeAutospacing="1" w:after="100" w:afterAutospacing="1"/>
        <w:ind w:hanging="720"/>
        <w:rPr>
          <w:rFonts w:asciiTheme="majorHAnsi" w:hAnsiTheme="majorHAnsi" w:cstheme="majorHAnsi"/>
          <w:color w:val="4F4F4F"/>
          <w:sz w:val="22"/>
          <w:szCs w:val="22"/>
        </w:rPr>
      </w:pPr>
      <w:r w:rsidRPr="005759D1">
        <w:rPr>
          <w:rFonts w:asciiTheme="majorHAnsi" w:hAnsiTheme="majorHAnsi" w:cstheme="majorHAnsi"/>
          <w:color w:val="4F4F4F"/>
          <w:sz w:val="22"/>
          <w:szCs w:val="22"/>
        </w:rPr>
        <w:t>Eight four-fold serial dilutions from 400 ng of 293-H small RNA, enriched from total RNA, were used with the RT² miRNA First Strand Kit and RT² miRNA qPCR Assays specific for mir-16 and mir-21. The resulting cycles of the assays are plotted versus the log</w:t>
      </w:r>
      <w:r w:rsidRPr="005759D1">
        <w:rPr>
          <w:rFonts w:asciiTheme="majorHAnsi" w:hAnsiTheme="majorHAnsi" w:cstheme="majorHAnsi"/>
          <w:color w:val="4F4F4F"/>
          <w:sz w:val="22"/>
          <w:szCs w:val="22"/>
          <w:vertAlign w:val="subscript"/>
        </w:rPr>
        <w:t>10</w:t>
      </w:r>
      <w:r w:rsidRPr="005759D1">
        <w:rPr>
          <w:rFonts w:asciiTheme="majorHAnsi" w:hAnsiTheme="majorHAnsi" w:cstheme="majorHAnsi"/>
          <w:color w:val="4F4F4F"/>
          <w:sz w:val="22"/>
          <w:szCs w:val="22"/>
        </w:rPr>
        <w:t xml:space="preserve"> of the amount of input small RNA.</w:t>
      </w:r>
    </w:p>
    <w:p w:rsidR="00893D4E" w:rsidRDefault="00893D4E" w:rsidP="005E2B63">
      <w:pPr>
        <w:spacing w:before="100" w:beforeAutospacing="1" w:after="100" w:afterAutospacing="1"/>
        <w:ind w:left="720" w:hanging="720"/>
        <w:rPr>
          <w:rFonts w:asciiTheme="majorHAnsi" w:hAnsiTheme="majorHAnsi" w:cstheme="majorHAnsi"/>
          <w:b/>
          <w:bCs/>
          <w:color w:val="4F4F4F"/>
          <w:sz w:val="22"/>
          <w:szCs w:val="22"/>
        </w:rPr>
      </w:pPr>
    </w:p>
    <w:p w:rsidR="00893D4E" w:rsidRDefault="00893D4E" w:rsidP="005E2B63">
      <w:pPr>
        <w:spacing w:before="100" w:beforeAutospacing="1" w:after="100" w:afterAutospacing="1"/>
        <w:ind w:left="720" w:hanging="720"/>
        <w:rPr>
          <w:rFonts w:asciiTheme="majorHAnsi" w:hAnsiTheme="majorHAnsi" w:cstheme="majorHAnsi"/>
          <w:b/>
          <w:bCs/>
          <w:color w:val="4F4F4F"/>
          <w:sz w:val="22"/>
          <w:szCs w:val="22"/>
        </w:rPr>
      </w:pPr>
    </w:p>
    <w:p w:rsidR="005E2B63" w:rsidRPr="005759D1" w:rsidRDefault="005E2B63" w:rsidP="005E2B63">
      <w:pPr>
        <w:spacing w:before="100" w:beforeAutospacing="1" w:after="100" w:afterAutospacing="1"/>
        <w:ind w:left="720" w:hanging="720"/>
        <w:rPr>
          <w:rFonts w:asciiTheme="majorHAnsi" w:hAnsiTheme="majorHAnsi" w:cstheme="majorHAnsi"/>
          <w:color w:val="4F4F4F"/>
          <w:sz w:val="22"/>
          <w:szCs w:val="22"/>
        </w:rPr>
      </w:pPr>
      <w:r w:rsidRPr="005759D1">
        <w:rPr>
          <w:rFonts w:asciiTheme="majorHAnsi" w:hAnsiTheme="majorHAnsi" w:cstheme="majorHAnsi"/>
          <w:b/>
          <w:bCs/>
          <w:color w:val="4F4F4F"/>
          <w:sz w:val="22"/>
          <w:szCs w:val="22"/>
        </w:rPr>
        <w:t>RT² miRNA Arrays and Assays Demonstrate High Reproducibility</w:t>
      </w:r>
      <w:r w:rsidRPr="005759D1">
        <w:rPr>
          <w:rFonts w:asciiTheme="majorHAnsi" w:hAnsiTheme="majorHAnsi" w:cstheme="majorHAnsi"/>
          <w:b/>
          <w:bCs/>
          <w:color w:val="4F4F4F"/>
          <w:sz w:val="22"/>
          <w:szCs w:val="22"/>
        </w:rPr>
        <w:br/>
      </w:r>
      <w:r w:rsidRPr="005759D1">
        <w:rPr>
          <w:rFonts w:asciiTheme="majorHAnsi" w:hAnsiTheme="majorHAnsi" w:cstheme="majorHAnsi"/>
          <w:color w:val="4F4F4F"/>
          <w:sz w:val="22"/>
          <w:szCs w:val="22"/>
        </w:rPr>
        <w:t>The miRNA PCR Arrays demonstrate high degrees of technical reproducibility with strong correlation factors (R</w:t>
      </w:r>
      <w:r w:rsidRPr="005759D1">
        <w:rPr>
          <w:rFonts w:asciiTheme="majorHAnsi" w:hAnsiTheme="majorHAnsi" w:cstheme="majorHAnsi"/>
          <w:color w:val="4F4F4F"/>
          <w:sz w:val="22"/>
          <w:szCs w:val="22"/>
          <w:vertAlign w:val="superscript"/>
        </w:rPr>
        <w:t>2</w:t>
      </w:r>
      <w:r w:rsidRPr="005759D1">
        <w:rPr>
          <w:rFonts w:asciiTheme="majorHAnsi" w:hAnsiTheme="majorHAnsi" w:cstheme="majorHAnsi"/>
          <w:color w:val="4F4F4F"/>
          <w:sz w:val="22"/>
          <w:szCs w:val="22"/>
        </w:rPr>
        <w:t xml:space="preserve"> &gt; 0.99). This level of reproducibility means that results can be reliably compared across cycling runs, arrays, plates, and samples.</w:t>
      </w:r>
    </w:p>
    <w:p w:rsidR="005E2B63" w:rsidRPr="005759D1" w:rsidRDefault="005E2B63" w:rsidP="005E2B63">
      <w:pPr>
        <w:pStyle w:val="ListParagraph"/>
        <w:spacing w:before="100" w:beforeAutospacing="1" w:after="100" w:afterAutospacing="1"/>
        <w:rPr>
          <w:rFonts w:asciiTheme="majorHAnsi" w:hAnsiTheme="majorHAnsi" w:cstheme="majorHAnsi"/>
          <w:color w:val="4F4F4F"/>
          <w:sz w:val="22"/>
          <w:szCs w:val="22"/>
        </w:rPr>
      </w:pPr>
      <w:r w:rsidRPr="005759D1">
        <w:rPr>
          <w:rFonts w:asciiTheme="majorHAnsi" w:hAnsiTheme="majorHAnsi" w:cstheme="majorHAnsi"/>
          <w:noProof/>
          <w:sz w:val="22"/>
          <w:szCs w:val="22"/>
        </w:rPr>
        <w:drawing>
          <wp:inline distT="0" distB="0" distL="0" distR="0" wp14:anchorId="782221D1" wp14:editId="50784995">
            <wp:extent cx="3571875" cy="2333625"/>
            <wp:effectExtent l="0" t="0" r="9525" b="9525"/>
            <wp:docPr id="11" name="Picture 11" descr="Description: http://www.sabiosciences.com/images/Reproducibil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http://www.sabiosciences.com/images/Reproducibility.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71875" cy="2333625"/>
                    </a:xfrm>
                    <a:prstGeom prst="rect">
                      <a:avLst/>
                    </a:prstGeom>
                    <a:noFill/>
                    <a:ln>
                      <a:noFill/>
                    </a:ln>
                  </pic:spPr>
                </pic:pic>
              </a:graphicData>
            </a:graphic>
          </wp:inline>
        </w:drawing>
      </w:r>
    </w:p>
    <w:p w:rsidR="005E2B63" w:rsidRPr="005759D1" w:rsidRDefault="005E2B63" w:rsidP="005E2B63">
      <w:pPr>
        <w:spacing w:before="100" w:beforeAutospacing="1" w:after="100" w:afterAutospacing="1"/>
        <w:ind w:left="720" w:hanging="720"/>
        <w:rPr>
          <w:rFonts w:asciiTheme="majorHAnsi" w:hAnsiTheme="majorHAnsi" w:cstheme="majorHAnsi"/>
          <w:color w:val="4F4F4F"/>
          <w:sz w:val="22"/>
          <w:szCs w:val="22"/>
        </w:rPr>
      </w:pPr>
      <w:r w:rsidRPr="005759D1">
        <w:rPr>
          <w:rFonts w:asciiTheme="majorHAnsi" w:hAnsiTheme="majorHAnsi" w:cstheme="majorHAnsi"/>
          <w:color w:val="4F4F4F"/>
          <w:sz w:val="22"/>
          <w:szCs w:val="22"/>
        </w:rPr>
        <w:t>Duplicate samples of small RNA enriched from human brain tissue (Ambion, 200 ng) were characterized using the RT² Human Genome miRNA PCR array on an ABI 7900HT. Raw C</w:t>
      </w:r>
      <w:r w:rsidRPr="005759D1">
        <w:rPr>
          <w:rFonts w:asciiTheme="majorHAnsi" w:hAnsiTheme="majorHAnsi" w:cstheme="majorHAnsi"/>
          <w:color w:val="4F4F4F"/>
          <w:sz w:val="22"/>
          <w:szCs w:val="22"/>
          <w:vertAlign w:val="subscript"/>
        </w:rPr>
        <w:t>t</w:t>
      </w:r>
      <w:r w:rsidRPr="005759D1">
        <w:rPr>
          <w:rFonts w:asciiTheme="majorHAnsi" w:hAnsiTheme="majorHAnsi" w:cstheme="majorHAnsi"/>
          <w:color w:val="4F4F4F"/>
          <w:sz w:val="22"/>
          <w:szCs w:val="22"/>
        </w:rPr>
        <w:t xml:space="preserve"> values greater than 35 were first changed to 35. The values from the replicate arrays were plotted against each other, and then the data was fit to a straight line.</w:t>
      </w:r>
    </w:p>
    <w:p w:rsidR="005E2B63" w:rsidRPr="005759D1" w:rsidRDefault="0046511F" w:rsidP="005E2B63">
      <w:pPr>
        <w:pStyle w:val="ListParagraph"/>
        <w:spacing w:before="100" w:beforeAutospacing="1" w:after="100" w:afterAutospacing="1"/>
        <w:rPr>
          <w:rStyle w:val="Hyperlink"/>
          <w:rFonts w:asciiTheme="majorHAnsi" w:hAnsiTheme="majorHAnsi" w:cstheme="majorHAnsi"/>
          <w:sz w:val="22"/>
          <w:szCs w:val="22"/>
        </w:rPr>
      </w:pPr>
      <w:hyperlink r:id="rId46" w:history="1">
        <w:r w:rsidR="005E2B63" w:rsidRPr="005759D1">
          <w:rPr>
            <w:rStyle w:val="Hyperlink"/>
            <w:rFonts w:asciiTheme="majorHAnsi" w:hAnsiTheme="majorHAnsi" w:cstheme="majorHAnsi"/>
            <w:sz w:val="22"/>
            <w:szCs w:val="22"/>
          </w:rPr>
          <w:t>http://www.sabiosciences.com/mirna_pcr_product/HTML/MIHS-3216Z.html</w:t>
        </w:r>
      </w:hyperlink>
    </w:p>
    <w:p w:rsidR="005E2B63" w:rsidRPr="005759D1" w:rsidRDefault="005E2B63" w:rsidP="005E2B63">
      <w:pPr>
        <w:pStyle w:val="ListParagraph"/>
        <w:spacing w:before="100" w:beforeAutospacing="1" w:after="100" w:afterAutospacing="1"/>
        <w:rPr>
          <w:rStyle w:val="Hyperlink"/>
          <w:rFonts w:asciiTheme="majorHAnsi" w:hAnsiTheme="majorHAnsi" w:cstheme="majorHAnsi"/>
          <w:sz w:val="22"/>
          <w:szCs w:val="22"/>
        </w:rPr>
      </w:pPr>
    </w:p>
    <w:p w:rsidR="005E2B63" w:rsidRPr="005759D1" w:rsidRDefault="005E2B63" w:rsidP="005E2B63">
      <w:pPr>
        <w:rPr>
          <w:rStyle w:val="Hyperlink"/>
          <w:rFonts w:asciiTheme="majorHAnsi" w:hAnsiTheme="majorHAnsi" w:cstheme="majorHAnsi"/>
          <w:sz w:val="22"/>
          <w:szCs w:val="22"/>
        </w:rPr>
      </w:pPr>
      <w:r w:rsidRPr="005759D1">
        <w:rPr>
          <w:rStyle w:val="Hyperlink"/>
          <w:rFonts w:asciiTheme="majorHAnsi" w:hAnsiTheme="majorHAnsi" w:cstheme="majorHAnsi"/>
          <w:sz w:val="22"/>
          <w:szCs w:val="22"/>
        </w:rPr>
        <w:br w:type="page"/>
      </w:r>
    </w:p>
    <w:p w:rsidR="005E2B63" w:rsidRPr="005759D1" w:rsidRDefault="005E2B63" w:rsidP="005E2B63">
      <w:pPr>
        <w:pStyle w:val="ListParagraph"/>
        <w:spacing w:before="100" w:beforeAutospacing="1" w:after="100" w:afterAutospacing="1"/>
        <w:rPr>
          <w:rFonts w:asciiTheme="majorHAnsi" w:hAnsiTheme="majorHAnsi" w:cstheme="majorHAnsi"/>
          <w:color w:val="4F4F4F"/>
          <w:sz w:val="22"/>
          <w:szCs w:val="22"/>
        </w:rPr>
      </w:pPr>
    </w:p>
    <w:p w:rsidR="005E2B63" w:rsidRPr="005759D1" w:rsidRDefault="005E2B63" w:rsidP="005E2B63">
      <w:pPr>
        <w:pStyle w:val="ListParagraph"/>
        <w:spacing w:before="100" w:beforeAutospacing="1" w:after="100" w:afterAutospacing="1"/>
        <w:rPr>
          <w:rFonts w:asciiTheme="majorHAnsi" w:hAnsiTheme="majorHAnsi" w:cstheme="majorHAnsi"/>
          <w:color w:val="4F4F4F"/>
          <w:sz w:val="22"/>
          <w:szCs w:val="22"/>
        </w:rPr>
      </w:pPr>
    </w:p>
    <w:p w:rsidR="002A39EA" w:rsidRPr="005759D1" w:rsidRDefault="005E2B63" w:rsidP="002A39EA">
      <w:pPr>
        <w:rPr>
          <w:rFonts w:asciiTheme="majorHAnsi" w:hAnsiTheme="majorHAnsi" w:cstheme="majorHAnsi"/>
          <w:b/>
          <w:sz w:val="22"/>
          <w:szCs w:val="22"/>
        </w:rPr>
      </w:pPr>
      <w:r w:rsidRPr="005759D1">
        <w:rPr>
          <w:rFonts w:asciiTheme="majorHAnsi" w:hAnsiTheme="majorHAnsi" w:cstheme="majorHAnsi"/>
          <w:b/>
          <w:sz w:val="22"/>
          <w:szCs w:val="22"/>
        </w:rPr>
        <w:t>Array descriptions</w:t>
      </w:r>
    </w:p>
    <w:p w:rsidR="005E2B63" w:rsidRPr="005759D1" w:rsidRDefault="005E2B63" w:rsidP="002A39EA">
      <w:pPr>
        <w:rPr>
          <w:rFonts w:asciiTheme="majorHAnsi" w:hAnsiTheme="majorHAnsi" w:cstheme="majorHAnsi"/>
          <w:b/>
          <w:sz w:val="22"/>
          <w:szCs w:val="22"/>
        </w:rPr>
      </w:pPr>
    </w:p>
    <w:p w:rsidR="005E2B63" w:rsidRPr="005759D1" w:rsidRDefault="005E2B63" w:rsidP="005E2B63">
      <w:pPr>
        <w:pStyle w:val="ListParagraph"/>
        <w:numPr>
          <w:ilvl w:val="0"/>
          <w:numId w:val="20"/>
        </w:numPr>
        <w:rPr>
          <w:rFonts w:asciiTheme="majorHAnsi" w:hAnsiTheme="majorHAnsi" w:cstheme="majorHAnsi"/>
          <w:sz w:val="22"/>
          <w:szCs w:val="22"/>
        </w:rPr>
      </w:pPr>
      <w:r w:rsidRPr="005759D1">
        <w:rPr>
          <w:rFonts w:asciiTheme="majorHAnsi" w:hAnsiTheme="majorHAnsi" w:cstheme="majorHAnsi"/>
          <w:sz w:val="22"/>
          <w:szCs w:val="22"/>
        </w:rPr>
        <w:t xml:space="preserve"> Human Serum and Plasma miScript miRNA PCR array</w:t>
      </w:r>
    </w:p>
    <w:tbl>
      <w:tblPr>
        <w:tblW w:w="5000" w:type="pct"/>
        <w:jc w:val="center"/>
        <w:tblCellSpacing w:w="0" w:type="dxa"/>
        <w:tblCellMar>
          <w:top w:w="60" w:type="dxa"/>
          <w:left w:w="60" w:type="dxa"/>
          <w:bottom w:w="60" w:type="dxa"/>
          <w:right w:w="60" w:type="dxa"/>
        </w:tblCellMar>
        <w:tblLook w:val="04A0" w:firstRow="1" w:lastRow="0" w:firstColumn="1" w:lastColumn="0" w:noHBand="0" w:noVBand="1"/>
      </w:tblPr>
      <w:tblGrid>
        <w:gridCol w:w="9093"/>
        <w:gridCol w:w="1827"/>
      </w:tblGrid>
      <w:tr w:rsidR="005E2B63" w:rsidRPr="005759D1" w:rsidTr="005E2B63">
        <w:trPr>
          <w:tblCellSpacing w:w="0" w:type="dxa"/>
          <w:jc w:val="center"/>
        </w:trPr>
        <w:tc>
          <w:tcPr>
            <w:tcW w:w="9179" w:type="dxa"/>
            <w:vAlign w:val="center"/>
          </w:tcPr>
          <w:p w:rsidR="005E2B63" w:rsidRPr="005759D1" w:rsidRDefault="005E2B63" w:rsidP="005E2B63">
            <w:pPr>
              <w:spacing w:line="240" w:lineRule="atLeast"/>
              <w:rPr>
                <w:rFonts w:asciiTheme="majorHAnsi" w:hAnsiTheme="majorHAnsi" w:cstheme="majorHAnsi"/>
                <w:color w:val="333333"/>
                <w:sz w:val="22"/>
                <w:szCs w:val="22"/>
              </w:rPr>
            </w:pPr>
          </w:p>
        </w:tc>
        <w:tc>
          <w:tcPr>
            <w:tcW w:w="1879" w:type="dxa"/>
            <w:vAlign w:val="center"/>
          </w:tcPr>
          <w:p w:rsidR="005E2B63" w:rsidRPr="005759D1" w:rsidRDefault="005E2B63" w:rsidP="005E2B63">
            <w:pPr>
              <w:spacing w:line="240" w:lineRule="atLeast"/>
              <w:jc w:val="right"/>
              <w:rPr>
                <w:rFonts w:asciiTheme="majorHAnsi" w:hAnsiTheme="majorHAnsi" w:cstheme="majorHAnsi"/>
                <w:color w:val="333333"/>
                <w:sz w:val="22"/>
                <w:szCs w:val="22"/>
              </w:rPr>
            </w:pPr>
          </w:p>
        </w:tc>
      </w:tr>
      <w:tr w:rsidR="005E2B63" w:rsidRPr="005759D1" w:rsidTr="005E2B63">
        <w:trPr>
          <w:tblCellSpacing w:w="0" w:type="dxa"/>
          <w:jc w:val="center"/>
        </w:trPr>
        <w:tc>
          <w:tcPr>
            <w:tcW w:w="9179" w:type="dxa"/>
          </w:tcPr>
          <w:p w:rsidR="005E2B63" w:rsidRPr="005759D1" w:rsidRDefault="005E2B63" w:rsidP="005E2B63">
            <w:pPr>
              <w:spacing w:line="240" w:lineRule="atLeast"/>
              <w:rPr>
                <w:rFonts w:asciiTheme="majorHAnsi" w:hAnsiTheme="majorHAnsi" w:cstheme="majorHAnsi"/>
                <w:b/>
                <w:i/>
                <w:color w:val="333333"/>
                <w:sz w:val="22"/>
                <w:szCs w:val="22"/>
              </w:rPr>
            </w:pPr>
            <w:r w:rsidRPr="005759D1">
              <w:rPr>
                <w:rFonts w:asciiTheme="majorHAnsi" w:hAnsiTheme="majorHAnsi" w:cstheme="majorHAnsi"/>
                <w:b/>
                <w:color w:val="333333"/>
                <w:sz w:val="22"/>
                <w:szCs w:val="22"/>
              </w:rPr>
              <w:t>The</w:t>
            </w:r>
            <w:r w:rsidRPr="005759D1">
              <w:rPr>
                <w:rFonts w:asciiTheme="majorHAnsi" w:hAnsiTheme="majorHAnsi" w:cstheme="majorHAnsi"/>
                <w:b/>
                <w:i/>
                <w:color w:val="333333"/>
                <w:sz w:val="22"/>
                <w:szCs w:val="22"/>
              </w:rPr>
              <w:t xml:space="preserve"> Human Serum &amp; Plasma miScript miRNA PCR Array profiles the expression of 84 miRNAs detectable and differentially expressed in serum, plasma, and other bodily fluids. This array provides disease and toxicology researchers with a convenient way to quickly analyze the miRNAs most relevant to pathophysiological conditions. These miRNAs have been carefully selected based on results published in peer-reviewed journals that suggest a correlation with serum expression levels and specific diseases. The discovery of these master regulatory molecules in serum and biological fluids, and their apparently regulated levels there, suggest a mechanistic role for miRNA in both normal and pathophysiological processes. Their presence in noninvasive, easily accessible samples provides readily available source material for research purposes. The profiling results from this array can potentially serve as a useful molecular marker for heart and liver injury or disease, atherosclerosis, diabetes, and a number of organ-specific cancers. Other miRNAs routinely present in serum are included to serve as positive controls for the successful detection of serum miRNA expression. This array can also be used with a separately purchased Syn-cel-miR-39 miScript miRNA Mimic (catalog number MSY0000010). When spiked into the sample before nucleic acid isolation and detected with the control assay, it provides a more useful normalization method for this application than the typical reference short noncoding RNAs not normally detected in serum. A set of controls present on this array enables data analysis using the ΔΔCT method of relative quantification, assessment of reverse transcription performance, and assessment of PCR performance. Using SYBR Green-based real-time PCR, the expression of a focused panel of miRNAs found in serum, plasma, and other bodily fluid can be easily and reliably analyzed with this miScript miRNA PCR Array.  </w:t>
            </w:r>
          </w:p>
          <w:p w:rsidR="005E2B63" w:rsidRPr="005759D1" w:rsidRDefault="005E2B63" w:rsidP="005E2B63">
            <w:pPr>
              <w:spacing w:line="240" w:lineRule="atLeast"/>
              <w:rPr>
                <w:rFonts w:asciiTheme="majorHAnsi" w:hAnsiTheme="majorHAnsi" w:cstheme="majorHAnsi"/>
                <w:b/>
                <w:i/>
                <w:color w:val="333333"/>
                <w:sz w:val="22"/>
                <w:szCs w:val="22"/>
              </w:rPr>
            </w:pPr>
            <w:r w:rsidRPr="005759D1">
              <w:rPr>
                <w:rFonts w:asciiTheme="majorHAnsi" w:hAnsiTheme="majorHAnsi" w:cstheme="majorHAnsi"/>
                <w:b/>
                <w:bCs/>
                <w:i/>
                <w:color w:val="333333"/>
                <w:sz w:val="22"/>
                <w:szCs w:val="22"/>
                <w:u w:val="single"/>
              </w:rPr>
              <w:t xml:space="preserve">( </w:t>
            </w:r>
            <w:hyperlink r:id="rId47" w:history="1">
              <w:r w:rsidRPr="005759D1">
                <w:rPr>
                  <w:rFonts w:asciiTheme="majorHAnsi" w:hAnsiTheme="majorHAnsi" w:cstheme="majorHAnsi"/>
                  <w:i/>
                  <w:color w:val="0000FF"/>
                  <w:sz w:val="22"/>
                  <w:szCs w:val="22"/>
                  <w:u w:val="single"/>
                </w:rPr>
                <w:t>http://www.sabiosciences.com/mirna_pcr_product/HTML/MIHS-106Z.html</w:t>
              </w:r>
            </w:hyperlink>
            <w:r w:rsidRPr="005759D1">
              <w:rPr>
                <w:rFonts w:asciiTheme="majorHAnsi" w:hAnsiTheme="majorHAnsi" w:cstheme="majorHAnsi"/>
                <w:b/>
                <w:bCs/>
                <w:i/>
                <w:color w:val="333333"/>
                <w:sz w:val="22"/>
                <w:szCs w:val="22"/>
                <w:u w:val="single"/>
              </w:rPr>
              <w:t xml:space="preserve">)  </w:t>
            </w:r>
          </w:p>
          <w:p w:rsidR="005E2B63" w:rsidRPr="005759D1" w:rsidRDefault="005E2B63" w:rsidP="005E2B63">
            <w:pPr>
              <w:spacing w:line="240" w:lineRule="atLeast"/>
              <w:rPr>
                <w:rFonts w:asciiTheme="majorHAnsi" w:hAnsiTheme="majorHAnsi" w:cstheme="majorHAnsi"/>
                <w:b/>
                <w:color w:val="333333"/>
                <w:sz w:val="22"/>
                <w:szCs w:val="22"/>
              </w:rPr>
            </w:pPr>
          </w:p>
          <w:p w:rsidR="005E2B63" w:rsidRPr="005759D1" w:rsidRDefault="005E2B63" w:rsidP="005E2B63">
            <w:pPr>
              <w:rPr>
                <w:rFonts w:asciiTheme="majorHAnsi" w:hAnsiTheme="majorHAnsi" w:cstheme="majorHAnsi"/>
                <w:sz w:val="22"/>
                <w:szCs w:val="22"/>
              </w:rPr>
            </w:pPr>
            <w:r w:rsidRPr="005759D1">
              <w:rPr>
                <w:rFonts w:asciiTheme="majorHAnsi" w:hAnsiTheme="majorHAnsi" w:cstheme="majorHAnsi"/>
                <w:b/>
                <w:sz w:val="22"/>
                <w:szCs w:val="22"/>
              </w:rPr>
              <w:t xml:space="preserve">This array contains the following cardiac specific miRNAs: </w:t>
            </w:r>
            <w:r w:rsidRPr="005759D1">
              <w:rPr>
                <w:rFonts w:asciiTheme="majorHAnsi" w:hAnsiTheme="majorHAnsi" w:cstheme="majorHAnsi"/>
                <w:b/>
                <w:i/>
                <w:color w:val="333333"/>
                <w:sz w:val="22"/>
                <w:szCs w:val="22"/>
                <w:u w:val="single"/>
              </w:rPr>
              <w:t>miR-1, miR-133a, miR-192, miR-208a, miR-423-5p, miR-499-5p.</w:t>
            </w:r>
            <w:r w:rsidRPr="005759D1">
              <w:rPr>
                <w:rFonts w:asciiTheme="majorHAnsi" w:hAnsiTheme="majorHAnsi" w:cstheme="majorHAnsi"/>
                <w:b/>
                <w:sz w:val="22"/>
                <w:szCs w:val="22"/>
              </w:rPr>
              <w:t xml:space="preserve"> </w:t>
            </w:r>
          </w:p>
          <w:p w:rsidR="005E2B63" w:rsidRPr="005759D1" w:rsidRDefault="005E2B63" w:rsidP="005E2B63">
            <w:pPr>
              <w:spacing w:line="240" w:lineRule="atLeast"/>
              <w:rPr>
                <w:rFonts w:asciiTheme="majorHAnsi" w:hAnsiTheme="majorHAnsi" w:cstheme="majorHAnsi"/>
                <w:b/>
                <w:color w:val="333333"/>
                <w:sz w:val="22"/>
                <w:szCs w:val="22"/>
              </w:rPr>
            </w:pPr>
          </w:p>
        </w:tc>
        <w:tc>
          <w:tcPr>
            <w:tcW w:w="1879" w:type="dxa"/>
            <w:vAlign w:val="center"/>
            <w:hideMark/>
          </w:tcPr>
          <w:p w:rsidR="005E2B63" w:rsidRPr="005759D1" w:rsidRDefault="005E2B63" w:rsidP="005E2B63">
            <w:pPr>
              <w:rPr>
                <w:rFonts w:asciiTheme="majorHAnsi" w:hAnsiTheme="majorHAnsi" w:cstheme="majorHAnsi"/>
                <w:sz w:val="22"/>
                <w:szCs w:val="22"/>
              </w:rPr>
            </w:pPr>
          </w:p>
        </w:tc>
      </w:tr>
    </w:tbl>
    <w:p w:rsidR="005E2B63" w:rsidRPr="005759D1" w:rsidRDefault="005E2B63" w:rsidP="002A39EA">
      <w:pPr>
        <w:rPr>
          <w:rFonts w:asciiTheme="majorHAnsi" w:hAnsiTheme="majorHAnsi" w:cstheme="majorHAnsi"/>
          <w:b/>
          <w:sz w:val="22"/>
          <w:szCs w:val="22"/>
        </w:rPr>
      </w:pPr>
    </w:p>
    <w:p w:rsidR="005E2B63" w:rsidRPr="005759D1" w:rsidRDefault="005E2B63" w:rsidP="005E2B63">
      <w:pPr>
        <w:pStyle w:val="ListParagraph"/>
        <w:numPr>
          <w:ilvl w:val="0"/>
          <w:numId w:val="20"/>
        </w:numPr>
        <w:rPr>
          <w:rFonts w:asciiTheme="majorHAnsi" w:hAnsiTheme="majorHAnsi" w:cstheme="majorHAnsi"/>
          <w:b/>
          <w:sz w:val="22"/>
          <w:szCs w:val="22"/>
        </w:rPr>
      </w:pPr>
      <w:r w:rsidRPr="005759D1">
        <w:rPr>
          <w:rFonts w:asciiTheme="majorHAnsi" w:hAnsiTheme="majorHAnsi" w:cstheme="majorHAnsi"/>
          <w:b/>
          <w:sz w:val="22"/>
          <w:szCs w:val="22"/>
        </w:rPr>
        <w:t xml:space="preserve"> </w:t>
      </w:r>
      <w:r w:rsidRPr="005759D1">
        <w:rPr>
          <w:rFonts w:asciiTheme="majorHAnsi" w:hAnsiTheme="majorHAnsi" w:cstheme="majorHAnsi"/>
          <w:b/>
          <w:bCs/>
          <w:color w:val="333333"/>
          <w:sz w:val="22"/>
          <w:szCs w:val="22"/>
        </w:rPr>
        <w:t>Human miRNome miRNA PCR Array: MIHS-216Z</w:t>
      </w:r>
    </w:p>
    <w:tbl>
      <w:tblPr>
        <w:tblpPr w:leftFromText="180" w:rightFromText="180" w:vertAnchor="text" w:horzAnchor="margin" w:tblpY="21"/>
        <w:tblW w:w="5000" w:type="pct"/>
        <w:tblCellSpacing w:w="0" w:type="dxa"/>
        <w:tblCellMar>
          <w:top w:w="60" w:type="dxa"/>
          <w:left w:w="60" w:type="dxa"/>
          <w:bottom w:w="60" w:type="dxa"/>
          <w:right w:w="60" w:type="dxa"/>
        </w:tblCellMar>
        <w:tblLook w:val="04A0" w:firstRow="1" w:lastRow="0" w:firstColumn="1" w:lastColumn="0" w:noHBand="0" w:noVBand="1"/>
      </w:tblPr>
      <w:tblGrid>
        <w:gridCol w:w="10794"/>
        <w:gridCol w:w="126"/>
      </w:tblGrid>
      <w:tr w:rsidR="00A62078" w:rsidRPr="005759D1" w:rsidTr="00A62078">
        <w:trPr>
          <w:tblCellSpacing w:w="0" w:type="dxa"/>
        </w:trPr>
        <w:tc>
          <w:tcPr>
            <w:tcW w:w="8943" w:type="dxa"/>
            <w:vAlign w:val="center"/>
            <w:hideMark/>
          </w:tcPr>
          <w:p w:rsidR="00A62078" w:rsidRPr="005759D1" w:rsidRDefault="0046511F" w:rsidP="00A62078">
            <w:pPr>
              <w:spacing w:line="240" w:lineRule="atLeast"/>
              <w:rPr>
                <w:rFonts w:asciiTheme="majorHAnsi" w:hAnsiTheme="majorHAnsi" w:cstheme="majorHAnsi"/>
                <w:color w:val="333333"/>
                <w:sz w:val="22"/>
                <w:szCs w:val="22"/>
              </w:rPr>
            </w:pPr>
            <w:hyperlink r:id="rId48" w:history="1">
              <w:r w:rsidR="00A62078" w:rsidRPr="005759D1">
                <w:rPr>
                  <w:rStyle w:val="Hyperlink"/>
                  <w:rFonts w:asciiTheme="majorHAnsi" w:hAnsiTheme="majorHAnsi" w:cstheme="majorHAnsi"/>
                  <w:sz w:val="22"/>
                  <w:szCs w:val="22"/>
                </w:rPr>
                <w:t>http://www.sabiosciences.com/mirna_pcr_product/HTML/MIHS216Z.html?adwords&amp;gclid=CKeIjPTayqwCFcLAKgod-TAgqw</w:t>
              </w:r>
            </w:hyperlink>
            <w:r w:rsidR="00A62078" w:rsidRPr="005759D1">
              <w:rPr>
                <w:rFonts w:asciiTheme="majorHAnsi" w:hAnsiTheme="majorHAnsi" w:cstheme="majorHAnsi"/>
                <w:color w:val="333333"/>
                <w:sz w:val="22"/>
                <w:szCs w:val="22"/>
              </w:rPr>
              <w:t xml:space="preserve"> </w:t>
            </w:r>
          </w:p>
        </w:tc>
        <w:tc>
          <w:tcPr>
            <w:tcW w:w="1977" w:type="dxa"/>
            <w:vAlign w:val="center"/>
            <w:hideMark/>
          </w:tcPr>
          <w:p w:rsidR="00A62078" w:rsidRPr="005759D1" w:rsidRDefault="00A62078" w:rsidP="00A62078">
            <w:pPr>
              <w:spacing w:line="240" w:lineRule="atLeast"/>
              <w:jc w:val="right"/>
              <w:rPr>
                <w:rFonts w:asciiTheme="majorHAnsi" w:hAnsiTheme="majorHAnsi" w:cstheme="majorHAnsi"/>
                <w:color w:val="333333"/>
                <w:sz w:val="22"/>
                <w:szCs w:val="22"/>
              </w:rPr>
            </w:pPr>
          </w:p>
        </w:tc>
      </w:tr>
      <w:tr w:rsidR="00A62078" w:rsidRPr="005759D1" w:rsidTr="00A62078">
        <w:trPr>
          <w:tblCellSpacing w:w="0" w:type="dxa"/>
        </w:trPr>
        <w:tc>
          <w:tcPr>
            <w:tcW w:w="8943" w:type="dxa"/>
            <w:vMerge w:val="restart"/>
            <w:hideMark/>
          </w:tcPr>
          <w:p w:rsidR="00A62078" w:rsidRPr="005759D1" w:rsidRDefault="00A62078" w:rsidP="00A62078">
            <w:pPr>
              <w:spacing w:line="240" w:lineRule="atLeast"/>
              <w:rPr>
                <w:rFonts w:asciiTheme="majorHAnsi" w:hAnsiTheme="majorHAnsi" w:cstheme="majorHAnsi"/>
                <w:color w:val="333333"/>
                <w:sz w:val="22"/>
                <w:szCs w:val="22"/>
              </w:rPr>
            </w:pPr>
            <w:r w:rsidRPr="005759D1">
              <w:rPr>
                <w:rFonts w:asciiTheme="majorHAnsi" w:hAnsiTheme="majorHAnsi" w:cstheme="majorHAnsi"/>
                <w:color w:val="333333"/>
                <w:sz w:val="22"/>
                <w:szCs w:val="22"/>
              </w:rPr>
              <w:t xml:space="preserve">The Human miRNome miScript miRNA PCR Array (V16.0, 96-well/Rotor-Disc 100) profiles the expression of the 1008 most abundantly expressed and best characterized miRNA sequences in the human miRNA genome (miRNome) as annotated in miRBase Release 16 (www.mirbase.org). Although they are well characterized, each of these miRNA sequences can regulate one to several messenger RNA transcripts, and conversely one mRNA can be regulated by one to several miRNA sequences. Therefore, the complex role that any given known miRNA sequence plays has yet to be completely defined. Use of the Human miRNome miScript miRNA PCR Array maximizes the likelihood of discovering miRNA sequences whose expression patterns correlate with the biological phenotypes under study. A set of controls included on each plate enables data analysis using the ΔΔCT method of relative quantification, assessment of reverse transcription performance, and assessment of PCR performance. The Human miRNome miScript miRNA PCR Array enables easy and reliable, SYBR Green-based real-time PCR analysis of the expression of 1008 miRNA sequences and discovery of those most important to the research area of interest. </w:t>
            </w:r>
          </w:p>
          <w:p w:rsidR="00A62078" w:rsidRPr="005759D1" w:rsidRDefault="00A62078" w:rsidP="00A62078">
            <w:pPr>
              <w:spacing w:before="270" w:line="240" w:lineRule="atLeast"/>
              <w:jc w:val="center"/>
              <w:rPr>
                <w:rFonts w:asciiTheme="majorHAnsi" w:hAnsiTheme="majorHAnsi" w:cstheme="majorHAnsi"/>
                <w:color w:val="333333"/>
                <w:sz w:val="22"/>
                <w:szCs w:val="22"/>
              </w:rPr>
            </w:pPr>
          </w:p>
          <w:p w:rsidR="00A62078" w:rsidRPr="005759D1" w:rsidRDefault="00A62078" w:rsidP="00A62078">
            <w:pPr>
              <w:spacing w:before="270" w:line="240" w:lineRule="atLeast"/>
              <w:jc w:val="center"/>
              <w:rPr>
                <w:rFonts w:asciiTheme="majorHAnsi" w:hAnsiTheme="majorHAnsi" w:cstheme="majorHAnsi"/>
                <w:color w:val="333333"/>
                <w:sz w:val="22"/>
                <w:szCs w:val="22"/>
              </w:rPr>
            </w:pPr>
          </w:p>
        </w:tc>
        <w:tc>
          <w:tcPr>
            <w:tcW w:w="0" w:type="auto"/>
            <w:vAlign w:val="center"/>
            <w:hideMark/>
          </w:tcPr>
          <w:p w:rsidR="00A62078" w:rsidRPr="005759D1" w:rsidRDefault="00A62078" w:rsidP="00A62078">
            <w:pPr>
              <w:rPr>
                <w:rFonts w:asciiTheme="majorHAnsi" w:hAnsiTheme="majorHAnsi" w:cstheme="majorHAnsi"/>
                <w:sz w:val="22"/>
                <w:szCs w:val="22"/>
              </w:rPr>
            </w:pPr>
          </w:p>
        </w:tc>
      </w:tr>
      <w:tr w:rsidR="00A62078" w:rsidRPr="005759D1" w:rsidTr="00A62078">
        <w:trPr>
          <w:gridAfter w:val="1"/>
          <w:wAfter w:w="1977" w:type="dxa"/>
          <w:trHeight w:val="253"/>
          <w:tblCellSpacing w:w="0" w:type="dxa"/>
        </w:trPr>
        <w:tc>
          <w:tcPr>
            <w:tcW w:w="0" w:type="auto"/>
            <w:vMerge/>
            <w:vAlign w:val="center"/>
            <w:hideMark/>
          </w:tcPr>
          <w:p w:rsidR="00A62078" w:rsidRPr="005759D1" w:rsidRDefault="00A62078" w:rsidP="00A62078">
            <w:pPr>
              <w:rPr>
                <w:rFonts w:asciiTheme="majorHAnsi" w:hAnsiTheme="majorHAnsi" w:cstheme="majorHAnsi"/>
                <w:color w:val="333333"/>
                <w:sz w:val="22"/>
                <w:szCs w:val="22"/>
              </w:rPr>
            </w:pPr>
          </w:p>
        </w:tc>
      </w:tr>
    </w:tbl>
    <w:p w:rsidR="005E2B63" w:rsidRPr="005759D1" w:rsidRDefault="005E2B63" w:rsidP="00A62078">
      <w:pPr>
        <w:pStyle w:val="ListParagraph"/>
        <w:rPr>
          <w:rFonts w:asciiTheme="majorHAnsi" w:hAnsiTheme="majorHAnsi" w:cstheme="majorHAnsi"/>
          <w:b/>
          <w:sz w:val="22"/>
          <w:szCs w:val="22"/>
        </w:rPr>
      </w:pPr>
    </w:p>
    <w:p w:rsidR="006403AC" w:rsidRPr="005759D1" w:rsidRDefault="006403AC" w:rsidP="00535353">
      <w:pPr>
        <w:rPr>
          <w:rFonts w:asciiTheme="majorHAnsi" w:hAnsiTheme="majorHAnsi" w:cstheme="majorHAnsi"/>
          <w:color w:val="4F4F4F"/>
          <w:sz w:val="22"/>
          <w:szCs w:val="22"/>
        </w:rPr>
      </w:pPr>
    </w:p>
    <w:sectPr w:rsidR="006403AC" w:rsidRPr="005759D1" w:rsidSect="0028121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11F" w:rsidRDefault="0046511F">
      <w:r>
        <w:separator/>
      </w:r>
    </w:p>
  </w:endnote>
  <w:endnote w:type="continuationSeparator" w:id="0">
    <w:p w:rsidR="0046511F" w:rsidRDefault="0046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F96" w:rsidRDefault="00905F96" w:rsidP="008E46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5F96" w:rsidRDefault="00905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F96" w:rsidRDefault="00905F96" w:rsidP="008E46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697B">
      <w:rPr>
        <w:rStyle w:val="PageNumber"/>
        <w:noProof/>
      </w:rPr>
      <w:t>1</w:t>
    </w:r>
    <w:r>
      <w:rPr>
        <w:rStyle w:val="PageNumber"/>
      </w:rPr>
      <w:fldChar w:fldCharType="end"/>
    </w:r>
  </w:p>
  <w:p w:rsidR="00905F96" w:rsidRDefault="00905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11F" w:rsidRDefault="0046511F">
      <w:r>
        <w:separator/>
      </w:r>
    </w:p>
  </w:footnote>
  <w:footnote w:type="continuationSeparator" w:id="0">
    <w:p w:rsidR="0046511F" w:rsidRDefault="00465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F96" w:rsidRPr="005D27A0" w:rsidRDefault="00905F96">
    <w:pPr>
      <w:pStyle w:val="Header"/>
      <w:rPr>
        <w:strike/>
      </w:rPr>
    </w:pPr>
    <w:r>
      <w:t>Braxton, John</w:t>
    </w:r>
    <w:r>
      <w:tab/>
    </w:r>
    <w:r>
      <w:tab/>
      <w:t xml:space="preserve">                revised 11-21-11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2EA8"/>
    <w:multiLevelType w:val="hybridMultilevel"/>
    <w:tmpl w:val="8278A66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FD4246"/>
    <w:multiLevelType w:val="hybridMultilevel"/>
    <w:tmpl w:val="A3E03608"/>
    <w:lvl w:ilvl="0" w:tplc="04090015">
      <w:start w:val="1"/>
      <w:numFmt w:val="upp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6543B0A"/>
    <w:multiLevelType w:val="hybridMultilevel"/>
    <w:tmpl w:val="659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63572"/>
    <w:multiLevelType w:val="hybridMultilevel"/>
    <w:tmpl w:val="192297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8B49ED"/>
    <w:multiLevelType w:val="hybridMultilevel"/>
    <w:tmpl w:val="5E402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90EDE"/>
    <w:multiLevelType w:val="hybridMultilevel"/>
    <w:tmpl w:val="F4ECBC78"/>
    <w:lvl w:ilvl="0" w:tplc="0CAC6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423682"/>
    <w:multiLevelType w:val="hybridMultilevel"/>
    <w:tmpl w:val="094C0A32"/>
    <w:lvl w:ilvl="0" w:tplc="04090015">
      <w:start w:val="1"/>
      <w:numFmt w:val="upp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03A7019"/>
    <w:multiLevelType w:val="hybridMultilevel"/>
    <w:tmpl w:val="3470131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62365A"/>
    <w:multiLevelType w:val="hybridMultilevel"/>
    <w:tmpl w:val="12221934"/>
    <w:lvl w:ilvl="0" w:tplc="B37873EE">
      <w:start w:val="1"/>
      <w:numFmt w:val="lowerLetter"/>
      <w:lvlText w:val="%1)"/>
      <w:lvlJc w:val="left"/>
      <w:pPr>
        <w:tabs>
          <w:tab w:val="num" w:pos="1320"/>
        </w:tabs>
        <w:ind w:left="72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67147FF"/>
    <w:multiLevelType w:val="hybridMultilevel"/>
    <w:tmpl w:val="6756B0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B8F1AB7"/>
    <w:multiLevelType w:val="hybridMultilevel"/>
    <w:tmpl w:val="3B0A6C60"/>
    <w:lvl w:ilvl="0" w:tplc="A934D6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A521DC"/>
    <w:multiLevelType w:val="hybridMultilevel"/>
    <w:tmpl w:val="3EC6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D2D71"/>
    <w:multiLevelType w:val="hybridMultilevel"/>
    <w:tmpl w:val="96BC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CA1AF2"/>
    <w:multiLevelType w:val="hybridMultilevel"/>
    <w:tmpl w:val="645A6FB6"/>
    <w:lvl w:ilvl="0" w:tplc="DAC097F6">
      <w:start w:val="1"/>
      <w:numFmt w:val="upp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2A01AEB"/>
    <w:multiLevelType w:val="hybridMultilevel"/>
    <w:tmpl w:val="C6A8B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AD5B26"/>
    <w:multiLevelType w:val="hybridMultilevel"/>
    <w:tmpl w:val="9B50B546"/>
    <w:lvl w:ilvl="0" w:tplc="04090015">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2428F1"/>
    <w:multiLevelType w:val="hybridMultilevel"/>
    <w:tmpl w:val="D3B8B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B00CC"/>
    <w:multiLevelType w:val="hybridMultilevel"/>
    <w:tmpl w:val="9A80BF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EB032F"/>
    <w:multiLevelType w:val="hybridMultilevel"/>
    <w:tmpl w:val="A6464B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593E4D"/>
    <w:multiLevelType w:val="hybridMultilevel"/>
    <w:tmpl w:val="7C7E5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4"/>
  </w:num>
  <w:num w:numId="3">
    <w:abstractNumId w:val="5"/>
  </w:num>
  <w:num w:numId="4">
    <w:abstractNumId w:val="10"/>
  </w:num>
  <w:num w:numId="5">
    <w:abstractNumId w:val="15"/>
  </w:num>
  <w:num w:numId="6">
    <w:abstractNumId w:val="8"/>
  </w:num>
  <w:num w:numId="7">
    <w:abstractNumId w:val="9"/>
  </w:num>
  <w:num w:numId="8">
    <w:abstractNumId w:val="3"/>
  </w:num>
  <w:num w:numId="9">
    <w:abstractNumId w:val="19"/>
  </w:num>
  <w:num w:numId="10">
    <w:abstractNumId w:val="17"/>
  </w:num>
  <w:num w:numId="11">
    <w:abstractNumId w:val="14"/>
  </w:num>
  <w:num w:numId="12">
    <w:abstractNumId w:val="11"/>
  </w:num>
  <w:num w:numId="13">
    <w:abstractNumId w:val="2"/>
  </w:num>
  <w:num w:numId="14">
    <w:abstractNumId w:val="16"/>
  </w:num>
  <w:num w:numId="15">
    <w:abstractNumId w:val="18"/>
  </w:num>
  <w:num w:numId="16">
    <w:abstractNumId w:val="7"/>
  </w:num>
  <w:num w:numId="17">
    <w:abstractNumId w:val="1"/>
  </w:num>
  <w:num w:numId="18">
    <w:abstractNumId w:val="13"/>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C49"/>
    <w:rsid w:val="00000874"/>
    <w:rsid w:val="000109CC"/>
    <w:rsid w:val="00017CBF"/>
    <w:rsid w:val="00020B79"/>
    <w:rsid w:val="0003246A"/>
    <w:rsid w:val="00043371"/>
    <w:rsid w:val="00055334"/>
    <w:rsid w:val="00063013"/>
    <w:rsid w:val="000700ED"/>
    <w:rsid w:val="0007330C"/>
    <w:rsid w:val="00087CDE"/>
    <w:rsid w:val="0009012B"/>
    <w:rsid w:val="00093B59"/>
    <w:rsid w:val="000A3242"/>
    <w:rsid w:val="000B159B"/>
    <w:rsid w:val="000C0806"/>
    <w:rsid w:val="000C4000"/>
    <w:rsid w:val="000C4685"/>
    <w:rsid w:val="000C6C0C"/>
    <w:rsid w:val="000D7605"/>
    <w:rsid w:val="000E6D68"/>
    <w:rsid w:val="00111A33"/>
    <w:rsid w:val="00125177"/>
    <w:rsid w:val="00125CD0"/>
    <w:rsid w:val="001401FE"/>
    <w:rsid w:val="0015306E"/>
    <w:rsid w:val="001669C8"/>
    <w:rsid w:val="001959B1"/>
    <w:rsid w:val="00196717"/>
    <w:rsid w:val="001B03CB"/>
    <w:rsid w:val="001D1702"/>
    <w:rsid w:val="001F1ACA"/>
    <w:rsid w:val="001F6C7D"/>
    <w:rsid w:val="002032A5"/>
    <w:rsid w:val="002042A8"/>
    <w:rsid w:val="00210F71"/>
    <w:rsid w:val="00212E1F"/>
    <w:rsid w:val="00215BFF"/>
    <w:rsid w:val="00216EE4"/>
    <w:rsid w:val="0022069D"/>
    <w:rsid w:val="00233E4C"/>
    <w:rsid w:val="002402E9"/>
    <w:rsid w:val="00241022"/>
    <w:rsid w:val="00245A31"/>
    <w:rsid w:val="0028121D"/>
    <w:rsid w:val="00285C93"/>
    <w:rsid w:val="002978CC"/>
    <w:rsid w:val="002A39EA"/>
    <w:rsid w:val="002B0D8F"/>
    <w:rsid w:val="002B1F3C"/>
    <w:rsid w:val="002B3120"/>
    <w:rsid w:val="002B6B1D"/>
    <w:rsid w:val="002C45AB"/>
    <w:rsid w:val="002D0BAD"/>
    <w:rsid w:val="002D1F30"/>
    <w:rsid w:val="002D32B6"/>
    <w:rsid w:val="002F5D00"/>
    <w:rsid w:val="003059B7"/>
    <w:rsid w:val="00313283"/>
    <w:rsid w:val="0031609E"/>
    <w:rsid w:val="0032017F"/>
    <w:rsid w:val="00323318"/>
    <w:rsid w:val="00332ED9"/>
    <w:rsid w:val="00333067"/>
    <w:rsid w:val="0033359E"/>
    <w:rsid w:val="00357BE0"/>
    <w:rsid w:val="00365E49"/>
    <w:rsid w:val="0037093E"/>
    <w:rsid w:val="00376F7C"/>
    <w:rsid w:val="00397B1F"/>
    <w:rsid w:val="003A3D73"/>
    <w:rsid w:val="003B0FFA"/>
    <w:rsid w:val="003C2A0C"/>
    <w:rsid w:val="003D599C"/>
    <w:rsid w:val="003E019E"/>
    <w:rsid w:val="00400D40"/>
    <w:rsid w:val="004012F0"/>
    <w:rsid w:val="00410975"/>
    <w:rsid w:val="0041141F"/>
    <w:rsid w:val="00414B7E"/>
    <w:rsid w:val="004164B5"/>
    <w:rsid w:val="0041765C"/>
    <w:rsid w:val="00422243"/>
    <w:rsid w:val="0045187A"/>
    <w:rsid w:val="00451D39"/>
    <w:rsid w:val="00456ECF"/>
    <w:rsid w:val="00457331"/>
    <w:rsid w:val="00460392"/>
    <w:rsid w:val="0046511F"/>
    <w:rsid w:val="004A60F0"/>
    <w:rsid w:val="004A7C85"/>
    <w:rsid w:val="004D2D12"/>
    <w:rsid w:val="004D5369"/>
    <w:rsid w:val="004E05B9"/>
    <w:rsid w:val="004E0B42"/>
    <w:rsid w:val="005011F6"/>
    <w:rsid w:val="00506ACC"/>
    <w:rsid w:val="0052782C"/>
    <w:rsid w:val="00534FE2"/>
    <w:rsid w:val="00535353"/>
    <w:rsid w:val="005522D7"/>
    <w:rsid w:val="00555B1F"/>
    <w:rsid w:val="0056249C"/>
    <w:rsid w:val="005759D1"/>
    <w:rsid w:val="00576E34"/>
    <w:rsid w:val="00584060"/>
    <w:rsid w:val="00591D82"/>
    <w:rsid w:val="0059250B"/>
    <w:rsid w:val="00594340"/>
    <w:rsid w:val="00594714"/>
    <w:rsid w:val="00597913"/>
    <w:rsid w:val="005A3FCE"/>
    <w:rsid w:val="005A5025"/>
    <w:rsid w:val="005D27A0"/>
    <w:rsid w:val="005D2D6C"/>
    <w:rsid w:val="005D3CD0"/>
    <w:rsid w:val="005E2B63"/>
    <w:rsid w:val="005E3CB1"/>
    <w:rsid w:val="005F2370"/>
    <w:rsid w:val="005F4D61"/>
    <w:rsid w:val="005F5979"/>
    <w:rsid w:val="005F5E91"/>
    <w:rsid w:val="00602972"/>
    <w:rsid w:val="00602B36"/>
    <w:rsid w:val="00612697"/>
    <w:rsid w:val="00616850"/>
    <w:rsid w:val="00617D97"/>
    <w:rsid w:val="00623D4F"/>
    <w:rsid w:val="00637865"/>
    <w:rsid w:val="006403AC"/>
    <w:rsid w:val="00640624"/>
    <w:rsid w:val="00641C49"/>
    <w:rsid w:val="00646360"/>
    <w:rsid w:val="006500E6"/>
    <w:rsid w:val="00655C34"/>
    <w:rsid w:val="00661D9A"/>
    <w:rsid w:val="006758F8"/>
    <w:rsid w:val="00684FD6"/>
    <w:rsid w:val="00697DE5"/>
    <w:rsid w:val="006B5AF4"/>
    <w:rsid w:val="006B74B8"/>
    <w:rsid w:val="006D500F"/>
    <w:rsid w:val="006E4A3E"/>
    <w:rsid w:val="00702EA9"/>
    <w:rsid w:val="0071054A"/>
    <w:rsid w:val="0071075C"/>
    <w:rsid w:val="0072601F"/>
    <w:rsid w:val="00727B5E"/>
    <w:rsid w:val="00731DF4"/>
    <w:rsid w:val="00737F5B"/>
    <w:rsid w:val="00754FC1"/>
    <w:rsid w:val="00765B4B"/>
    <w:rsid w:val="007710A3"/>
    <w:rsid w:val="00787733"/>
    <w:rsid w:val="00794627"/>
    <w:rsid w:val="00795AF5"/>
    <w:rsid w:val="007A26B5"/>
    <w:rsid w:val="007B5609"/>
    <w:rsid w:val="007B78E3"/>
    <w:rsid w:val="007B7DC6"/>
    <w:rsid w:val="007C516C"/>
    <w:rsid w:val="007C5D84"/>
    <w:rsid w:val="007C7BA9"/>
    <w:rsid w:val="007D3F4B"/>
    <w:rsid w:val="007D6246"/>
    <w:rsid w:val="007E1754"/>
    <w:rsid w:val="007E21A0"/>
    <w:rsid w:val="007F5100"/>
    <w:rsid w:val="00805C05"/>
    <w:rsid w:val="00812E90"/>
    <w:rsid w:val="008147BE"/>
    <w:rsid w:val="00821612"/>
    <w:rsid w:val="00836AF0"/>
    <w:rsid w:val="00841B60"/>
    <w:rsid w:val="00841D5C"/>
    <w:rsid w:val="00847AFC"/>
    <w:rsid w:val="00850486"/>
    <w:rsid w:val="00855B9A"/>
    <w:rsid w:val="008616E9"/>
    <w:rsid w:val="00864AD8"/>
    <w:rsid w:val="00874CFB"/>
    <w:rsid w:val="0087665F"/>
    <w:rsid w:val="00877854"/>
    <w:rsid w:val="00883018"/>
    <w:rsid w:val="008847F6"/>
    <w:rsid w:val="00893D4E"/>
    <w:rsid w:val="008A4DC4"/>
    <w:rsid w:val="008C1157"/>
    <w:rsid w:val="008C64C7"/>
    <w:rsid w:val="008C7FDC"/>
    <w:rsid w:val="008D4A96"/>
    <w:rsid w:val="008E2EFE"/>
    <w:rsid w:val="008E460B"/>
    <w:rsid w:val="008F1F53"/>
    <w:rsid w:val="00901ADF"/>
    <w:rsid w:val="00905F96"/>
    <w:rsid w:val="009060FC"/>
    <w:rsid w:val="00921A49"/>
    <w:rsid w:val="0092217C"/>
    <w:rsid w:val="00930716"/>
    <w:rsid w:val="00933C39"/>
    <w:rsid w:val="0094760B"/>
    <w:rsid w:val="00952E95"/>
    <w:rsid w:val="009601D3"/>
    <w:rsid w:val="009652A1"/>
    <w:rsid w:val="009660DA"/>
    <w:rsid w:val="00973342"/>
    <w:rsid w:val="00973A47"/>
    <w:rsid w:val="009773B6"/>
    <w:rsid w:val="0099315F"/>
    <w:rsid w:val="009935FB"/>
    <w:rsid w:val="0099538B"/>
    <w:rsid w:val="00997925"/>
    <w:rsid w:val="009A07C2"/>
    <w:rsid w:val="009B76C8"/>
    <w:rsid w:val="009C2705"/>
    <w:rsid w:val="009C2E6D"/>
    <w:rsid w:val="009D1A44"/>
    <w:rsid w:val="009E0281"/>
    <w:rsid w:val="009E7445"/>
    <w:rsid w:val="00A21CBB"/>
    <w:rsid w:val="00A34F83"/>
    <w:rsid w:val="00A3597C"/>
    <w:rsid w:val="00A51FD8"/>
    <w:rsid w:val="00A56EAD"/>
    <w:rsid w:val="00A60A11"/>
    <w:rsid w:val="00A62078"/>
    <w:rsid w:val="00A6308D"/>
    <w:rsid w:val="00A63C54"/>
    <w:rsid w:val="00A72B5D"/>
    <w:rsid w:val="00A82177"/>
    <w:rsid w:val="00A85A18"/>
    <w:rsid w:val="00A970C9"/>
    <w:rsid w:val="00AB32D5"/>
    <w:rsid w:val="00AB5B66"/>
    <w:rsid w:val="00AC105C"/>
    <w:rsid w:val="00AD6F60"/>
    <w:rsid w:val="00AE3F50"/>
    <w:rsid w:val="00AF3FED"/>
    <w:rsid w:val="00B000DD"/>
    <w:rsid w:val="00B10710"/>
    <w:rsid w:val="00B1100F"/>
    <w:rsid w:val="00B133F7"/>
    <w:rsid w:val="00B2662D"/>
    <w:rsid w:val="00B509AA"/>
    <w:rsid w:val="00B60775"/>
    <w:rsid w:val="00B65595"/>
    <w:rsid w:val="00B71DAD"/>
    <w:rsid w:val="00B72042"/>
    <w:rsid w:val="00B72608"/>
    <w:rsid w:val="00B76CAF"/>
    <w:rsid w:val="00B81FD2"/>
    <w:rsid w:val="00B82CB7"/>
    <w:rsid w:val="00B9021E"/>
    <w:rsid w:val="00B91FC1"/>
    <w:rsid w:val="00B95639"/>
    <w:rsid w:val="00BA16A0"/>
    <w:rsid w:val="00BB7C39"/>
    <w:rsid w:val="00BE2D97"/>
    <w:rsid w:val="00BE3F58"/>
    <w:rsid w:val="00BE60D8"/>
    <w:rsid w:val="00C32709"/>
    <w:rsid w:val="00C36211"/>
    <w:rsid w:val="00C363F1"/>
    <w:rsid w:val="00C365E5"/>
    <w:rsid w:val="00C377FE"/>
    <w:rsid w:val="00C5081E"/>
    <w:rsid w:val="00C519C3"/>
    <w:rsid w:val="00C54EEF"/>
    <w:rsid w:val="00C717F1"/>
    <w:rsid w:val="00C7447C"/>
    <w:rsid w:val="00C863F5"/>
    <w:rsid w:val="00CA6B9A"/>
    <w:rsid w:val="00CA7BBC"/>
    <w:rsid w:val="00CB4176"/>
    <w:rsid w:val="00CB5FA9"/>
    <w:rsid w:val="00CB70F9"/>
    <w:rsid w:val="00CE6687"/>
    <w:rsid w:val="00CE702E"/>
    <w:rsid w:val="00D01F4A"/>
    <w:rsid w:val="00D0356F"/>
    <w:rsid w:val="00D03C6F"/>
    <w:rsid w:val="00D11B65"/>
    <w:rsid w:val="00D13289"/>
    <w:rsid w:val="00D20063"/>
    <w:rsid w:val="00D374F0"/>
    <w:rsid w:val="00D47879"/>
    <w:rsid w:val="00D514DA"/>
    <w:rsid w:val="00D74079"/>
    <w:rsid w:val="00D75A52"/>
    <w:rsid w:val="00D9308F"/>
    <w:rsid w:val="00D9624F"/>
    <w:rsid w:val="00D9737D"/>
    <w:rsid w:val="00D97F9D"/>
    <w:rsid w:val="00DA21E4"/>
    <w:rsid w:val="00DB45F2"/>
    <w:rsid w:val="00DC2E31"/>
    <w:rsid w:val="00DC60A2"/>
    <w:rsid w:val="00DC6D3D"/>
    <w:rsid w:val="00DC7873"/>
    <w:rsid w:val="00DC7CA6"/>
    <w:rsid w:val="00DD2EDA"/>
    <w:rsid w:val="00DF4085"/>
    <w:rsid w:val="00E02A99"/>
    <w:rsid w:val="00E02CFD"/>
    <w:rsid w:val="00E115E5"/>
    <w:rsid w:val="00E16B76"/>
    <w:rsid w:val="00E227AC"/>
    <w:rsid w:val="00E259EC"/>
    <w:rsid w:val="00E332DA"/>
    <w:rsid w:val="00E3458A"/>
    <w:rsid w:val="00E400EA"/>
    <w:rsid w:val="00E43633"/>
    <w:rsid w:val="00E45567"/>
    <w:rsid w:val="00E52273"/>
    <w:rsid w:val="00E7572E"/>
    <w:rsid w:val="00E81669"/>
    <w:rsid w:val="00E929D4"/>
    <w:rsid w:val="00E9305F"/>
    <w:rsid w:val="00E95120"/>
    <w:rsid w:val="00E97391"/>
    <w:rsid w:val="00EA2606"/>
    <w:rsid w:val="00EA2C1D"/>
    <w:rsid w:val="00EA773E"/>
    <w:rsid w:val="00EB0AF8"/>
    <w:rsid w:val="00EC2F6B"/>
    <w:rsid w:val="00ED47DF"/>
    <w:rsid w:val="00ED697B"/>
    <w:rsid w:val="00EE20D4"/>
    <w:rsid w:val="00EF3475"/>
    <w:rsid w:val="00F120C4"/>
    <w:rsid w:val="00F17230"/>
    <w:rsid w:val="00F22EB8"/>
    <w:rsid w:val="00F33F53"/>
    <w:rsid w:val="00F34771"/>
    <w:rsid w:val="00F37E16"/>
    <w:rsid w:val="00F4090A"/>
    <w:rsid w:val="00F42621"/>
    <w:rsid w:val="00F4297C"/>
    <w:rsid w:val="00F47836"/>
    <w:rsid w:val="00F54A72"/>
    <w:rsid w:val="00F552BB"/>
    <w:rsid w:val="00F643C1"/>
    <w:rsid w:val="00F90440"/>
    <w:rsid w:val="00F91CFD"/>
    <w:rsid w:val="00F95AE4"/>
    <w:rsid w:val="00F96907"/>
    <w:rsid w:val="00FA0534"/>
    <w:rsid w:val="00FA3B77"/>
    <w:rsid w:val="00FB0C5D"/>
    <w:rsid w:val="00FB3287"/>
    <w:rsid w:val="00FB55FE"/>
    <w:rsid w:val="00FB7480"/>
    <w:rsid w:val="00FD7083"/>
    <w:rsid w:val="00FE2875"/>
    <w:rsid w:val="00FE3191"/>
    <w:rsid w:val="00FE3D69"/>
    <w:rsid w:val="00FE4C3C"/>
    <w:rsid w:val="00FE7C71"/>
    <w:rsid w:val="00FF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50542"/>
  <w15:docId w15:val="{DE722414-66B2-4BD8-AEC2-CABE6F06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B72608"/>
    <w:pPr>
      <w:spacing w:before="100" w:beforeAutospacing="1" w:after="100" w:afterAutospacing="1" w:line="264" w:lineRule="atLeast"/>
      <w:outlineLvl w:val="0"/>
    </w:pPr>
    <w:rPr>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FE2"/>
    <w:pPr>
      <w:tabs>
        <w:tab w:val="center" w:pos="4320"/>
        <w:tab w:val="right" w:pos="8640"/>
      </w:tabs>
    </w:pPr>
  </w:style>
  <w:style w:type="paragraph" w:styleId="Footer">
    <w:name w:val="footer"/>
    <w:basedOn w:val="Normal"/>
    <w:rsid w:val="00534FE2"/>
    <w:pPr>
      <w:tabs>
        <w:tab w:val="center" w:pos="4320"/>
        <w:tab w:val="right" w:pos="8640"/>
      </w:tabs>
    </w:pPr>
  </w:style>
  <w:style w:type="character" w:styleId="PageNumber">
    <w:name w:val="page number"/>
    <w:basedOn w:val="DefaultParagraphFont"/>
    <w:rsid w:val="00534FE2"/>
  </w:style>
  <w:style w:type="paragraph" w:styleId="ListParagraph">
    <w:name w:val="List Paragraph"/>
    <w:basedOn w:val="Normal"/>
    <w:uiPriority w:val="34"/>
    <w:qFormat/>
    <w:rsid w:val="00B76CAF"/>
    <w:pPr>
      <w:ind w:left="720"/>
      <w:contextualSpacing/>
    </w:pPr>
  </w:style>
  <w:style w:type="paragraph" w:styleId="BalloonText">
    <w:name w:val="Balloon Text"/>
    <w:basedOn w:val="Normal"/>
    <w:link w:val="BalloonTextChar"/>
    <w:rsid w:val="00E929D4"/>
    <w:rPr>
      <w:rFonts w:ascii="Tahoma" w:hAnsi="Tahoma" w:cs="Tahoma"/>
      <w:sz w:val="16"/>
      <w:szCs w:val="16"/>
    </w:rPr>
  </w:style>
  <w:style w:type="character" w:customStyle="1" w:styleId="BalloonTextChar">
    <w:name w:val="Balloon Text Char"/>
    <w:basedOn w:val="DefaultParagraphFont"/>
    <w:link w:val="BalloonText"/>
    <w:rsid w:val="00E929D4"/>
    <w:rPr>
      <w:rFonts w:ascii="Tahoma" w:hAnsi="Tahoma" w:cs="Tahoma"/>
      <w:sz w:val="16"/>
      <w:szCs w:val="16"/>
    </w:rPr>
  </w:style>
  <w:style w:type="character" w:styleId="CommentReference">
    <w:name w:val="annotation reference"/>
    <w:basedOn w:val="DefaultParagraphFont"/>
    <w:rsid w:val="00AB32D5"/>
    <w:rPr>
      <w:sz w:val="16"/>
      <w:szCs w:val="16"/>
    </w:rPr>
  </w:style>
  <w:style w:type="paragraph" w:styleId="CommentText">
    <w:name w:val="annotation text"/>
    <w:basedOn w:val="Normal"/>
    <w:link w:val="CommentTextChar"/>
    <w:rsid w:val="00AB32D5"/>
    <w:rPr>
      <w:sz w:val="20"/>
      <w:szCs w:val="20"/>
    </w:rPr>
  </w:style>
  <w:style w:type="character" w:customStyle="1" w:styleId="CommentTextChar">
    <w:name w:val="Comment Text Char"/>
    <w:basedOn w:val="DefaultParagraphFont"/>
    <w:link w:val="CommentText"/>
    <w:rsid w:val="00AB32D5"/>
  </w:style>
  <w:style w:type="table" w:styleId="TableGrid">
    <w:name w:val="Table Grid"/>
    <w:basedOn w:val="TableNormal"/>
    <w:rsid w:val="00AB3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D5C"/>
    <w:pPr>
      <w:spacing w:before="270"/>
    </w:pPr>
    <w:rPr>
      <w:color w:val="333333"/>
      <w:sz w:val="18"/>
      <w:szCs w:val="18"/>
    </w:rPr>
  </w:style>
  <w:style w:type="character" w:styleId="Hyperlink">
    <w:name w:val="Hyperlink"/>
    <w:basedOn w:val="DefaultParagraphFont"/>
    <w:rsid w:val="00697DE5"/>
    <w:rPr>
      <w:color w:val="0000FF" w:themeColor="hyperlink"/>
      <w:u w:val="single"/>
    </w:rPr>
  </w:style>
  <w:style w:type="character" w:customStyle="1" w:styleId="Heading1Char">
    <w:name w:val="Heading 1 Char"/>
    <w:basedOn w:val="DefaultParagraphFont"/>
    <w:link w:val="Heading1"/>
    <w:uiPriority w:val="9"/>
    <w:rsid w:val="00B72608"/>
    <w:rPr>
      <w:b/>
      <w:bCs/>
      <w:kern w:val="36"/>
      <w:sz w:val="36"/>
      <w:szCs w:val="36"/>
    </w:rPr>
  </w:style>
  <w:style w:type="character" w:customStyle="1" w:styleId="jrnl">
    <w:name w:val="jrnl"/>
    <w:basedOn w:val="DefaultParagraphFont"/>
    <w:rsid w:val="00B72608"/>
  </w:style>
  <w:style w:type="paragraph" w:styleId="CommentSubject">
    <w:name w:val="annotation subject"/>
    <w:basedOn w:val="CommentText"/>
    <w:next w:val="CommentText"/>
    <w:link w:val="CommentSubjectChar"/>
    <w:rsid w:val="00602972"/>
    <w:rPr>
      <w:b/>
      <w:bCs/>
    </w:rPr>
  </w:style>
  <w:style w:type="character" w:customStyle="1" w:styleId="CommentSubjectChar">
    <w:name w:val="Comment Subject Char"/>
    <w:basedOn w:val="CommentTextChar"/>
    <w:link w:val="CommentSubject"/>
    <w:rsid w:val="00602972"/>
    <w:rPr>
      <w:b/>
      <w:bCs/>
    </w:rPr>
  </w:style>
  <w:style w:type="character" w:customStyle="1" w:styleId="infopagetitle1">
    <w:name w:val="infopagetitle1"/>
    <w:rsid w:val="00C363F1"/>
    <w:rPr>
      <w:rFonts w:ascii="Arial" w:hAnsi="Arial" w:cs="Arial" w:hint="default"/>
      <w:b/>
      <w:bCs/>
      <w:color w:val="333333"/>
      <w:sz w:val="20"/>
      <w:szCs w:val="20"/>
    </w:rPr>
  </w:style>
  <w:style w:type="character" w:styleId="FollowedHyperlink">
    <w:name w:val="FollowedHyperlink"/>
    <w:basedOn w:val="DefaultParagraphFont"/>
    <w:rsid w:val="00864AD8"/>
    <w:rPr>
      <w:color w:val="800080" w:themeColor="followedHyperlink"/>
      <w:u w:val="single"/>
    </w:rPr>
  </w:style>
  <w:style w:type="character" w:customStyle="1" w:styleId="highlight">
    <w:name w:val="highlight"/>
    <w:rsid w:val="00A85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22403">
      <w:bodyDiv w:val="1"/>
      <w:marLeft w:val="0"/>
      <w:marRight w:val="0"/>
      <w:marTop w:val="0"/>
      <w:marBottom w:val="0"/>
      <w:divBdr>
        <w:top w:val="none" w:sz="0" w:space="0" w:color="auto"/>
        <w:left w:val="none" w:sz="0" w:space="0" w:color="auto"/>
        <w:bottom w:val="none" w:sz="0" w:space="0" w:color="auto"/>
        <w:right w:val="none" w:sz="0" w:space="0" w:color="auto"/>
      </w:divBdr>
    </w:div>
    <w:div w:id="201131922">
      <w:bodyDiv w:val="1"/>
      <w:marLeft w:val="0"/>
      <w:marRight w:val="0"/>
      <w:marTop w:val="0"/>
      <w:marBottom w:val="0"/>
      <w:divBdr>
        <w:top w:val="none" w:sz="0" w:space="0" w:color="auto"/>
        <w:left w:val="none" w:sz="0" w:space="0" w:color="auto"/>
        <w:bottom w:val="none" w:sz="0" w:space="0" w:color="auto"/>
        <w:right w:val="none" w:sz="0" w:space="0" w:color="auto"/>
      </w:divBdr>
    </w:div>
    <w:div w:id="385493356">
      <w:bodyDiv w:val="1"/>
      <w:marLeft w:val="0"/>
      <w:marRight w:val="0"/>
      <w:marTop w:val="0"/>
      <w:marBottom w:val="0"/>
      <w:divBdr>
        <w:top w:val="none" w:sz="0" w:space="0" w:color="auto"/>
        <w:left w:val="none" w:sz="0" w:space="0" w:color="auto"/>
        <w:bottom w:val="none" w:sz="0" w:space="0" w:color="auto"/>
        <w:right w:val="none" w:sz="0" w:space="0" w:color="auto"/>
      </w:divBdr>
    </w:div>
    <w:div w:id="404034150">
      <w:bodyDiv w:val="1"/>
      <w:marLeft w:val="0"/>
      <w:marRight w:val="0"/>
      <w:marTop w:val="0"/>
      <w:marBottom w:val="0"/>
      <w:divBdr>
        <w:top w:val="none" w:sz="0" w:space="0" w:color="auto"/>
        <w:left w:val="none" w:sz="0" w:space="0" w:color="auto"/>
        <w:bottom w:val="none" w:sz="0" w:space="0" w:color="auto"/>
        <w:right w:val="none" w:sz="0" w:space="0" w:color="auto"/>
      </w:divBdr>
    </w:div>
    <w:div w:id="765619808">
      <w:bodyDiv w:val="1"/>
      <w:marLeft w:val="0"/>
      <w:marRight w:val="0"/>
      <w:marTop w:val="0"/>
      <w:marBottom w:val="0"/>
      <w:divBdr>
        <w:top w:val="none" w:sz="0" w:space="0" w:color="auto"/>
        <w:left w:val="none" w:sz="0" w:space="0" w:color="auto"/>
        <w:bottom w:val="none" w:sz="0" w:space="0" w:color="auto"/>
        <w:right w:val="none" w:sz="0" w:space="0" w:color="auto"/>
      </w:divBdr>
    </w:div>
    <w:div w:id="852842628">
      <w:bodyDiv w:val="1"/>
      <w:marLeft w:val="0"/>
      <w:marRight w:val="0"/>
      <w:marTop w:val="0"/>
      <w:marBottom w:val="0"/>
      <w:divBdr>
        <w:top w:val="none" w:sz="0" w:space="0" w:color="auto"/>
        <w:left w:val="none" w:sz="0" w:space="0" w:color="auto"/>
        <w:bottom w:val="none" w:sz="0" w:space="0" w:color="auto"/>
        <w:right w:val="none" w:sz="0" w:space="0" w:color="auto"/>
      </w:divBdr>
    </w:div>
    <w:div w:id="1457259519">
      <w:bodyDiv w:val="1"/>
      <w:marLeft w:val="0"/>
      <w:marRight w:val="0"/>
      <w:marTop w:val="0"/>
      <w:marBottom w:val="0"/>
      <w:divBdr>
        <w:top w:val="none" w:sz="0" w:space="0" w:color="auto"/>
        <w:left w:val="none" w:sz="0" w:space="0" w:color="auto"/>
        <w:bottom w:val="none" w:sz="0" w:space="0" w:color="auto"/>
        <w:right w:val="none" w:sz="0" w:space="0" w:color="auto"/>
      </w:divBdr>
    </w:div>
    <w:div w:id="1485514227">
      <w:bodyDiv w:val="1"/>
      <w:marLeft w:val="0"/>
      <w:marRight w:val="0"/>
      <w:marTop w:val="0"/>
      <w:marBottom w:val="0"/>
      <w:divBdr>
        <w:top w:val="none" w:sz="0" w:space="0" w:color="auto"/>
        <w:left w:val="none" w:sz="0" w:space="0" w:color="auto"/>
        <w:bottom w:val="none" w:sz="0" w:space="0" w:color="auto"/>
        <w:right w:val="none" w:sz="0" w:space="0" w:color="auto"/>
      </w:divBdr>
    </w:div>
    <w:div w:id="1745034147">
      <w:bodyDiv w:val="1"/>
      <w:marLeft w:val="0"/>
      <w:marRight w:val="0"/>
      <w:marTop w:val="0"/>
      <w:marBottom w:val="0"/>
      <w:divBdr>
        <w:top w:val="none" w:sz="0" w:space="0" w:color="auto"/>
        <w:left w:val="none" w:sz="0" w:space="0" w:color="auto"/>
        <w:bottom w:val="none" w:sz="0" w:space="0" w:color="auto"/>
        <w:right w:val="none" w:sz="0" w:space="0" w:color="auto"/>
      </w:divBdr>
    </w:div>
    <w:div w:id="1929070993">
      <w:bodyDiv w:val="1"/>
      <w:marLeft w:val="0"/>
      <w:marRight w:val="0"/>
      <w:marTop w:val="0"/>
      <w:marBottom w:val="0"/>
      <w:divBdr>
        <w:top w:val="none" w:sz="0" w:space="0" w:color="auto"/>
        <w:left w:val="none" w:sz="0" w:space="0" w:color="auto"/>
        <w:bottom w:val="none" w:sz="0" w:space="0" w:color="auto"/>
        <w:right w:val="none" w:sz="0" w:space="0" w:color="auto"/>
      </w:divBdr>
    </w:div>
    <w:div w:id="19755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hyperlink" Target="http://www.ncbi.nlm.nih.gov/pubmed?term=%22Multicenter%20Study%20of%20Perioperative%20Ischemia%20Research%20Group%22%5BCorporate%20Author%5D" TargetMode="Externa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hyperlink" Target="http://www.ncbi.nlm.nih.gov/pubmed?term=%22Mazer%20CD%22%5BAuthor%5D" TargetMode="External"/><Relationship Id="rId42" Type="http://schemas.openxmlformats.org/officeDocument/2006/relationships/image" Target="media/image10.jpeg"/><Relationship Id="rId47" Type="http://schemas.openxmlformats.org/officeDocument/2006/relationships/hyperlink" Target="http://www.sabiosciences.com/mirna_pcr_product/HTML/MIHS-106Z.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bi.nlm.nih.gov/pubmed?term=%22Multicenter%20Study%20of%20Perioperative%20Ischemia%20Research%20Group%22%5BCorporate%20Author%5D"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hyperlink" Target="http://www.ncbi.nlm.nih.gov/pubmed?term=%22Duke%20P%22%5BAuthor%5D" TargetMode="External"/><Relationship Id="rId38" Type="http://schemas.openxmlformats.org/officeDocument/2006/relationships/hyperlink" Target="http://www.ncbi.nlm.nih.gov/pubmed?term=%22Investigators%20of%20the%20Ischemia%20Research%20and%20Education%20Foundation%22%5BCorporate%20Author%5D" TargetMode="External"/><Relationship Id="rId46" Type="http://schemas.openxmlformats.org/officeDocument/2006/relationships/hyperlink" Target="http://www.sabiosciences.com/mirna_pcr_product/HTML/MIHS-3216Z.html"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yperlink" Target="http://www.ncbi.nlm.nih.gov/pubmed?term=%22Mathew%20JP%22%5BAuthor%5D" TargetMode="External"/><Relationship Id="rId41" Type="http://schemas.openxmlformats.org/officeDocument/2006/relationships/hyperlink" Target="http://www.jbiomedsci.com/content/17/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5.bin"/><Relationship Id="rId32" Type="http://schemas.openxmlformats.org/officeDocument/2006/relationships/hyperlink" Target="http://www.ncbi.nlm.nih.gov/pubmed?term=%22Ramsay%20J%22%5BAuthor%5D" TargetMode="External"/><Relationship Id="rId37" Type="http://schemas.openxmlformats.org/officeDocument/2006/relationships/hyperlink" Target="http://www.ncbi.nlm.nih.gov/pubmed?term=%22Mangano%20DT%22%5BAuthor%5D" TargetMode="External"/><Relationship Id="rId40" Type="http://schemas.openxmlformats.org/officeDocument/2006/relationships/hyperlink" Target="http://www.ncbi.nlm.nih.gov/pubmed/15082699" TargetMode="External"/><Relationship Id="rId45"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9.png"/><Relationship Id="rId36" Type="http://schemas.openxmlformats.org/officeDocument/2006/relationships/hyperlink" Target="http://www.ncbi.nlm.nih.gov/pubmed?term=%22Hsu%20PH%22%5BAuthor%5D"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hyperlink" Target="http://www.ncbi.nlm.nih.gov/pubmed?term=%22Tudor%20IC%22%5BAuthor%5D" TargetMode="External"/><Relationship Id="rId44"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abiosciences.com/Manual/1062758.pdf" TargetMode="External"/><Relationship Id="rId22" Type="http://schemas.openxmlformats.org/officeDocument/2006/relationships/oleObject" Target="embeddings/oleObject4.bin"/><Relationship Id="rId27" Type="http://schemas.openxmlformats.org/officeDocument/2006/relationships/hyperlink" Target="http://pcrdataanalysis.sabiosciences.com/pcr/arrayanalysis.php" TargetMode="External"/><Relationship Id="rId30" Type="http://schemas.openxmlformats.org/officeDocument/2006/relationships/hyperlink" Target="http://www.ncbi.nlm.nih.gov/pubmed?term=%22Fontes%20ML%22%5BAuthor%5D" TargetMode="External"/><Relationship Id="rId35" Type="http://schemas.openxmlformats.org/officeDocument/2006/relationships/hyperlink" Target="http://www.ncbi.nlm.nih.gov/pubmed?term=%22Barash%20PG%22%5BAuthor%5D" TargetMode="External"/><Relationship Id="rId43" Type="http://schemas.openxmlformats.org/officeDocument/2006/relationships/image" Target="media/image11.gif"/><Relationship Id="rId48" Type="http://schemas.openxmlformats.org/officeDocument/2006/relationships/hyperlink" Target="http://www.sabiosciences.com/mirna_pcr_product/HTML/MIHS216Z.html?adwords&amp;gclid=CKeIjPTayqwCFcLAKgod-TAgqw"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64BAF-5710-4815-962E-5DF30EB2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D2E4DFBE.dotm</Template>
  <TotalTime>1090</TotalTime>
  <Pages>30</Pages>
  <Words>12179</Words>
  <Characters>69421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Specific Aims</vt:lpstr>
    </vt:vector>
  </TitlesOfParts>
  <Company>Marshfield Clinic</Company>
  <LinksUpToDate>false</LinksUpToDate>
  <CharactersWithSpaces>81438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 Aims</dc:title>
  <dc:subject/>
  <dc:creator>glurichi</dc:creator>
  <cp:keywords/>
  <dc:description/>
  <cp:lastModifiedBy>Glurich, Ingrid</cp:lastModifiedBy>
  <cp:revision>7</cp:revision>
  <cp:lastPrinted>2011-11-22T17:17:00Z</cp:lastPrinted>
  <dcterms:created xsi:type="dcterms:W3CDTF">2012-04-16T14:56:00Z</dcterms:created>
  <dcterms:modified xsi:type="dcterms:W3CDTF">2019-11-11T15:34:00Z</dcterms:modified>
</cp:coreProperties>
</file>