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B52" w:rsidRPr="00847152" w:rsidRDefault="00481B52" w:rsidP="003172E1">
      <w:pPr>
        <w:rPr>
          <w:rFonts w:ascii="Arial" w:hAnsi="Arial" w:cs="Arial"/>
          <w:sz w:val="22"/>
          <w:szCs w:val="22"/>
        </w:rPr>
      </w:pPr>
    </w:p>
    <w:p w:rsidR="00596705" w:rsidRPr="00847152" w:rsidRDefault="00596705" w:rsidP="003172E1">
      <w:pPr>
        <w:rPr>
          <w:rFonts w:ascii="Arial" w:hAnsi="Arial" w:cs="Arial"/>
          <w:b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Title: </w:t>
      </w:r>
      <w:r w:rsidRPr="00847152">
        <w:rPr>
          <w:rFonts w:ascii="Arial" w:hAnsi="Arial" w:cs="Arial"/>
          <w:b/>
          <w:sz w:val="22"/>
          <w:szCs w:val="22"/>
        </w:rPr>
        <w:t xml:space="preserve">The Genetics of Baseline </w:t>
      </w:r>
      <w:r w:rsidR="00955FB4" w:rsidRPr="00847152">
        <w:rPr>
          <w:rFonts w:ascii="Arial" w:hAnsi="Arial" w:cs="Arial"/>
          <w:b/>
          <w:sz w:val="22"/>
          <w:szCs w:val="22"/>
        </w:rPr>
        <w:t>T</w:t>
      </w:r>
      <w:r w:rsidR="00955FB4" w:rsidRPr="00847152">
        <w:rPr>
          <w:rFonts w:ascii="Arial" w:hAnsi="Arial" w:cs="Arial"/>
          <w:b/>
          <w:sz w:val="22"/>
          <w:szCs w:val="22"/>
          <w:vertAlign w:val="subscript"/>
        </w:rPr>
        <w:t>H</w:t>
      </w:r>
      <w:r w:rsidR="00955FB4" w:rsidRPr="00847152">
        <w:rPr>
          <w:rFonts w:ascii="Arial" w:hAnsi="Arial" w:cs="Arial"/>
          <w:b/>
          <w:sz w:val="22"/>
          <w:szCs w:val="22"/>
        </w:rPr>
        <w:t>17 Signaling Cytokines: Interleukin-23 and Interleukin-17A</w:t>
      </w:r>
    </w:p>
    <w:p w:rsidR="00596705" w:rsidRPr="00847152" w:rsidRDefault="00596705" w:rsidP="003172E1">
      <w:pPr>
        <w:rPr>
          <w:rFonts w:ascii="Arial" w:hAnsi="Arial" w:cs="Arial"/>
          <w:b/>
          <w:sz w:val="22"/>
          <w:szCs w:val="22"/>
        </w:rPr>
      </w:pPr>
    </w:p>
    <w:p w:rsidR="00596705" w:rsidRPr="00847152" w:rsidRDefault="00596705" w:rsidP="003172E1">
      <w:pPr>
        <w:rPr>
          <w:rFonts w:ascii="Arial" w:hAnsi="Arial" w:cs="Arial"/>
          <w:b/>
          <w:sz w:val="22"/>
          <w:szCs w:val="22"/>
        </w:rPr>
      </w:pPr>
    </w:p>
    <w:p w:rsidR="00596705" w:rsidRPr="00847152" w:rsidRDefault="00933B8F" w:rsidP="003172E1">
      <w:pPr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Shicheng Guo</w:t>
      </w:r>
      <w:r w:rsidRPr="00847152">
        <w:rPr>
          <w:rFonts w:ascii="Arial" w:hAnsi="Arial" w:cs="Arial"/>
          <w:sz w:val="22"/>
          <w:szCs w:val="22"/>
          <w:vertAlign w:val="superscript"/>
        </w:rPr>
        <w:t>1</w:t>
      </w:r>
      <w:r w:rsidRPr="00847152">
        <w:rPr>
          <w:rFonts w:ascii="Arial" w:hAnsi="Arial" w:cs="Arial"/>
          <w:sz w:val="22"/>
          <w:szCs w:val="22"/>
        </w:rPr>
        <w:t xml:space="preserve">, </w:t>
      </w:r>
      <w:r w:rsidR="00596705" w:rsidRPr="00847152">
        <w:rPr>
          <w:rFonts w:ascii="Arial" w:hAnsi="Arial" w:cs="Arial"/>
          <w:sz w:val="22"/>
          <w:szCs w:val="22"/>
        </w:rPr>
        <w:t xml:space="preserve">Tonia </w:t>
      </w:r>
      <w:r w:rsidR="001A5EA4" w:rsidRPr="00847152">
        <w:rPr>
          <w:rFonts w:ascii="Arial" w:hAnsi="Arial" w:cs="Arial"/>
          <w:sz w:val="22"/>
          <w:szCs w:val="22"/>
        </w:rPr>
        <w:t xml:space="preserve">C. </w:t>
      </w:r>
      <w:r w:rsidR="00596705" w:rsidRPr="00847152">
        <w:rPr>
          <w:rFonts w:ascii="Arial" w:hAnsi="Arial" w:cs="Arial"/>
          <w:sz w:val="22"/>
          <w:szCs w:val="22"/>
        </w:rPr>
        <w:t>Carter</w:t>
      </w:r>
      <w:r w:rsidR="00B16C8B" w:rsidRPr="00847152">
        <w:rPr>
          <w:rFonts w:ascii="Arial" w:hAnsi="Arial" w:cs="Arial"/>
          <w:sz w:val="22"/>
          <w:szCs w:val="22"/>
          <w:vertAlign w:val="superscript"/>
        </w:rPr>
        <w:t>1</w:t>
      </w:r>
      <w:r w:rsidR="00B16C8B" w:rsidRPr="00847152">
        <w:rPr>
          <w:rFonts w:ascii="Arial" w:hAnsi="Arial" w:cs="Arial"/>
          <w:sz w:val="22"/>
          <w:szCs w:val="22"/>
        </w:rPr>
        <w:t xml:space="preserve">, </w:t>
      </w:r>
      <w:r w:rsidR="003D1E7D" w:rsidRPr="003D1E7D">
        <w:rPr>
          <w:rFonts w:ascii="Arial" w:hAnsi="Arial" w:cs="Arial"/>
          <w:sz w:val="22"/>
          <w:szCs w:val="22"/>
          <w:highlight w:val="yellow"/>
        </w:rPr>
        <w:t xml:space="preserve">Dr. </w:t>
      </w:r>
      <w:proofErr w:type="spellStart"/>
      <w:r w:rsidR="003D1E7D" w:rsidRPr="003D1E7D">
        <w:rPr>
          <w:rFonts w:ascii="Arial" w:hAnsi="Arial" w:cs="Arial"/>
          <w:sz w:val="22"/>
          <w:szCs w:val="22"/>
          <w:highlight w:val="yellow"/>
        </w:rPr>
        <w:t>Xiong’s</w:t>
      </w:r>
      <w:proofErr w:type="spellEnd"/>
      <w:r w:rsidR="003D1E7D" w:rsidRPr="003D1E7D">
        <w:rPr>
          <w:rFonts w:ascii="Arial" w:hAnsi="Arial" w:cs="Arial"/>
          <w:sz w:val="22"/>
          <w:szCs w:val="22"/>
          <w:highlight w:val="yellow"/>
        </w:rPr>
        <w:t xml:space="preserve"> student</w:t>
      </w:r>
      <w:r w:rsidR="0054123F">
        <w:rPr>
          <w:rFonts w:ascii="Arial" w:hAnsi="Arial" w:cs="Arial"/>
          <w:sz w:val="22"/>
          <w:szCs w:val="22"/>
        </w:rPr>
        <w:t xml:space="preserve">, </w:t>
      </w:r>
      <w:r w:rsidR="00B16C8B" w:rsidRPr="00847152">
        <w:rPr>
          <w:rFonts w:ascii="Arial" w:hAnsi="Arial" w:cs="Arial"/>
          <w:sz w:val="22"/>
          <w:szCs w:val="22"/>
        </w:rPr>
        <w:t>Zhan Ye</w:t>
      </w:r>
      <w:r w:rsidR="00B16C8B" w:rsidRPr="00847152">
        <w:rPr>
          <w:rFonts w:ascii="Arial" w:hAnsi="Arial" w:cs="Arial"/>
          <w:sz w:val="22"/>
          <w:szCs w:val="22"/>
          <w:vertAlign w:val="superscript"/>
        </w:rPr>
        <w:t>2</w:t>
      </w:r>
      <w:r w:rsidR="00B16C8B" w:rsidRPr="00847152">
        <w:rPr>
          <w:rFonts w:ascii="Arial" w:hAnsi="Arial" w:cs="Arial"/>
          <w:sz w:val="22"/>
          <w:szCs w:val="22"/>
        </w:rPr>
        <w:t xml:space="preserve">, </w:t>
      </w:r>
      <w:r w:rsidRPr="00847152">
        <w:rPr>
          <w:rFonts w:ascii="Arial" w:hAnsi="Arial" w:cs="Arial"/>
          <w:sz w:val="22"/>
          <w:szCs w:val="22"/>
        </w:rPr>
        <w:t>Jennifer K. Meece</w:t>
      </w:r>
      <w:r w:rsidRPr="00847152">
        <w:rPr>
          <w:rFonts w:ascii="Arial" w:hAnsi="Arial" w:cs="Arial"/>
          <w:sz w:val="22"/>
          <w:szCs w:val="22"/>
          <w:vertAlign w:val="superscript"/>
        </w:rPr>
        <w:t>3</w:t>
      </w:r>
      <w:r w:rsidRPr="0084715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96705" w:rsidRPr="00847152">
        <w:rPr>
          <w:rFonts w:ascii="Arial" w:hAnsi="Arial" w:cs="Arial"/>
          <w:sz w:val="22"/>
          <w:szCs w:val="22"/>
        </w:rPr>
        <w:t>Naren</w:t>
      </w:r>
      <w:r w:rsidR="00B16C8B" w:rsidRPr="00847152">
        <w:rPr>
          <w:rFonts w:ascii="Arial" w:hAnsi="Arial" w:cs="Arial"/>
          <w:sz w:val="22"/>
          <w:szCs w:val="22"/>
        </w:rPr>
        <w:t>dranath</w:t>
      </w:r>
      <w:proofErr w:type="spellEnd"/>
      <w:r w:rsidR="00596705" w:rsidRPr="00847152">
        <w:rPr>
          <w:rFonts w:ascii="Arial" w:hAnsi="Arial" w:cs="Arial"/>
          <w:sz w:val="22"/>
          <w:szCs w:val="22"/>
        </w:rPr>
        <w:t xml:space="preserve"> Epperla</w:t>
      </w:r>
      <w:r w:rsidRPr="00847152">
        <w:rPr>
          <w:rFonts w:ascii="Arial" w:hAnsi="Arial" w:cs="Arial"/>
          <w:sz w:val="22"/>
          <w:szCs w:val="22"/>
          <w:vertAlign w:val="superscript"/>
        </w:rPr>
        <w:t>4</w:t>
      </w:r>
      <w:r w:rsidR="00596705" w:rsidRPr="00847152">
        <w:rPr>
          <w:rFonts w:ascii="Arial" w:hAnsi="Arial" w:cs="Arial"/>
          <w:sz w:val="22"/>
          <w:szCs w:val="22"/>
        </w:rPr>
        <w:t>, Judith A. Smith</w:t>
      </w:r>
      <w:r w:rsidRPr="00847152">
        <w:rPr>
          <w:rFonts w:ascii="Arial" w:hAnsi="Arial" w:cs="Arial"/>
          <w:sz w:val="22"/>
          <w:szCs w:val="22"/>
          <w:vertAlign w:val="superscript"/>
        </w:rPr>
        <w:t>5</w:t>
      </w:r>
      <w:r w:rsidR="00596705" w:rsidRPr="00847152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54123F" w:rsidRPr="003D1E7D">
        <w:rPr>
          <w:rFonts w:ascii="Arial" w:hAnsi="Arial" w:cs="Arial"/>
          <w:sz w:val="22"/>
          <w:szCs w:val="22"/>
          <w:highlight w:val="yellow"/>
        </w:rPr>
        <w:t>Momiao</w:t>
      </w:r>
      <w:proofErr w:type="spellEnd"/>
      <w:r w:rsidR="0054123F" w:rsidRPr="003D1E7D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="0054123F" w:rsidRPr="003D1E7D">
        <w:rPr>
          <w:rFonts w:ascii="Arial" w:hAnsi="Arial" w:cs="Arial"/>
          <w:sz w:val="22"/>
          <w:szCs w:val="22"/>
          <w:highlight w:val="yellow"/>
        </w:rPr>
        <w:t>Xiong</w:t>
      </w:r>
      <w:proofErr w:type="spellEnd"/>
      <w:r w:rsidR="0054123F">
        <w:rPr>
          <w:rFonts w:ascii="Arial" w:hAnsi="Arial" w:cs="Arial"/>
          <w:sz w:val="22"/>
          <w:szCs w:val="22"/>
        </w:rPr>
        <w:t xml:space="preserve">, </w:t>
      </w:r>
      <w:r w:rsidR="00596705" w:rsidRPr="00847152">
        <w:rPr>
          <w:rFonts w:ascii="Arial" w:hAnsi="Arial" w:cs="Arial"/>
          <w:sz w:val="22"/>
          <w:szCs w:val="22"/>
        </w:rPr>
        <w:t>Steven J. Schrodi</w:t>
      </w:r>
      <w:r w:rsidRPr="00847152">
        <w:rPr>
          <w:rFonts w:ascii="Arial" w:hAnsi="Arial" w:cs="Arial"/>
          <w:sz w:val="22"/>
          <w:szCs w:val="22"/>
          <w:vertAlign w:val="superscript"/>
        </w:rPr>
        <w:t>1,6</w:t>
      </w:r>
      <w:r w:rsidR="00596705" w:rsidRPr="00847152">
        <w:rPr>
          <w:rFonts w:ascii="Arial" w:hAnsi="Arial" w:cs="Arial"/>
          <w:sz w:val="22"/>
          <w:szCs w:val="22"/>
          <w:vertAlign w:val="superscript"/>
        </w:rPr>
        <w:t>,</w:t>
      </w:r>
      <w:r w:rsidR="008A3E7D" w:rsidRPr="00847152">
        <w:rPr>
          <w:rFonts w:ascii="Arial" w:hAnsi="Arial" w:cs="Arial"/>
          <w:sz w:val="22"/>
          <w:szCs w:val="22"/>
          <w:vertAlign w:val="superscript"/>
        </w:rPr>
        <w:t>ǂ</w:t>
      </w:r>
    </w:p>
    <w:p w:rsidR="00B16C8B" w:rsidRPr="00847152" w:rsidRDefault="00B16C8B" w:rsidP="003172E1">
      <w:pPr>
        <w:rPr>
          <w:rFonts w:ascii="Arial" w:hAnsi="Arial" w:cs="Arial"/>
          <w:b/>
          <w:sz w:val="22"/>
          <w:szCs w:val="22"/>
        </w:rPr>
      </w:pPr>
    </w:p>
    <w:p w:rsidR="00596705" w:rsidRPr="00847152" w:rsidRDefault="00B16C8B" w:rsidP="003172E1">
      <w:pPr>
        <w:rPr>
          <w:rFonts w:ascii="Arial" w:hAnsi="Arial" w:cs="Arial"/>
          <w:b/>
          <w:sz w:val="22"/>
          <w:szCs w:val="22"/>
        </w:rPr>
      </w:pPr>
      <w:r w:rsidRPr="00847152">
        <w:rPr>
          <w:rFonts w:ascii="Arial" w:hAnsi="Arial" w:cs="Arial"/>
          <w:sz w:val="22"/>
          <w:szCs w:val="22"/>
          <w:vertAlign w:val="superscript"/>
        </w:rPr>
        <w:t>1</w:t>
      </w:r>
      <w:r w:rsidRPr="00847152">
        <w:rPr>
          <w:rFonts w:ascii="Arial" w:hAnsi="Arial" w:cs="Arial"/>
          <w:sz w:val="22"/>
          <w:szCs w:val="22"/>
        </w:rPr>
        <w:t xml:space="preserve">Center for </w:t>
      </w:r>
      <w:r w:rsidR="00933B8F" w:rsidRPr="00847152">
        <w:rPr>
          <w:rFonts w:ascii="Arial" w:hAnsi="Arial" w:cs="Arial"/>
          <w:sz w:val="22"/>
          <w:szCs w:val="22"/>
        </w:rPr>
        <w:t>Precision Medicine R</w:t>
      </w:r>
      <w:bookmarkStart w:id="0" w:name="_GoBack"/>
      <w:bookmarkEnd w:id="0"/>
      <w:r w:rsidR="00933B8F" w:rsidRPr="00847152">
        <w:rPr>
          <w:rFonts w:ascii="Arial" w:hAnsi="Arial" w:cs="Arial"/>
          <w:sz w:val="22"/>
          <w:szCs w:val="22"/>
        </w:rPr>
        <w:t>esearch</w:t>
      </w:r>
      <w:r w:rsidRPr="00847152">
        <w:rPr>
          <w:rFonts w:ascii="Arial" w:hAnsi="Arial" w:cs="Arial"/>
          <w:sz w:val="22"/>
          <w:szCs w:val="22"/>
        </w:rPr>
        <w:t>, Marsh</w:t>
      </w:r>
      <w:r w:rsidR="00933B8F" w:rsidRPr="00847152">
        <w:rPr>
          <w:rFonts w:ascii="Arial" w:hAnsi="Arial" w:cs="Arial"/>
          <w:sz w:val="22"/>
          <w:szCs w:val="22"/>
        </w:rPr>
        <w:t>field Clinic Research Institute</w:t>
      </w:r>
      <w:r w:rsidRPr="00847152">
        <w:rPr>
          <w:rFonts w:ascii="Arial" w:hAnsi="Arial" w:cs="Arial"/>
          <w:sz w:val="22"/>
          <w:szCs w:val="22"/>
        </w:rPr>
        <w:t>, Marshfield, Wisconsin, USA</w:t>
      </w:r>
      <w:r w:rsidR="00596705" w:rsidRPr="00847152">
        <w:rPr>
          <w:rFonts w:ascii="Arial" w:hAnsi="Arial" w:cs="Arial"/>
          <w:b/>
          <w:sz w:val="22"/>
          <w:szCs w:val="22"/>
        </w:rPr>
        <w:t xml:space="preserve"> </w:t>
      </w:r>
    </w:p>
    <w:p w:rsidR="00596705" w:rsidRPr="00847152" w:rsidRDefault="00B16C8B" w:rsidP="003172E1">
      <w:pPr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  <w:vertAlign w:val="superscript"/>
        </w:rPr>
        <w:t>2</w:t>
      </w:r>
      <w:r w:rsidR="00596705" w:rsidRPr="00847152">
        <w:rPr>
          <w:rFonts w:ascii="Arial" w:hAnsi="Arial" w:cs="Arial"/>
          <w:sz w:val="22"/>
          <w:szCs w:val="22"/>
        </w:rPr>
        <w:t xml:space="preserve">Biomedical Informatics Research Center, Marshfield Clinic Research </w:t>
      </w:r>
      <w:r w:rsidR="00933B8F" w:rsidRPr="00847152">
        <w:rPr>
          <w:rFonts w:ascii="Arial" w:hAnsi="Arial" w:cs="Arial"/>
          <w:sz w:val="22"/>
          <w:szCs w:val="22"/>
        </w:rPr>
        <w:t>Institute</w:t>
      </w:r>
      <w:r w:rsidRPr="00847152">
        <w:rPr>
          <w:rFonts w:ascii="Arial" w:hAnsi="Arial" w:cs="Arial"/>
          <w:sz w:val="22"/>
          <w:szCs w:val="22"/>
        </w:rPr>
        <w:t>, Marshfield, Wisconsin, USA</w:t>
      </w:r>
    </w:p>
    <w:p w:rsidR="00596705" w:rsidRPr="00847152" w:rsidRDefault="00596705" w:rsidP="003172E1">
      <w:pPr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  <w:vertAlign w:val="superscript"/>
        </w:rPr>
        <w:t>3</w:t>
      </w:r>
      <w:r w:rsidRPr="00847152">
        <w:rPr>
          <w:rFonts w:ascii="Arial" w:hAnsi="Arial" w:cs="Arial"/>
          <w:sz w:val="22"/>
          <w:szCs w:val="22"/>
        </w:rPr>
        <w:t xml:space="preserve">Integrated Research and Development Laboratory, Marshfield Clinic Research </w:t>
      </w:r>
      <w:r w:rsidR="00933B8F" w:rsidRPr="00847152">
        <w:rPr>
          <w:rFonts w:ascii="Arial" w:hAnsi="Arial" w:cs="Arial"/>
          <w:sz w:val="22"/>
          <w:szCs w:val="22"/>
        </w:rPr>
        <w:t>Institute</w:t>
      </w:r>
      <w:r w:rsidR="00B16C8B" w:rsidRPr="00847152">
        <w:rPr>
          <w:rFonts w:ascii="Arial" w:hAnsi="Arial" w:cs="Arial"/>
          <w:sz w:val="22"/>
          <w:szCs w:val="22"/>
        </w:rPr>
        <w:t>, Marshfield, Wisconsin, USA</w:t>
      </w:r>
    </w:p>
    <w:p w:rsidR="00596705" w:rsidRPr="00847152" w:rsidRDefault="00596705" w:rsidP="003172E1">
      <w:pPr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  <w:vertAlign w:val="superscript"/>
        </w:rPr>
        <w:t>4</w:t>
      </w:r>
      <w:r w:rsidRPr="00847152">
        <w:rPr>
          <w:rFonts w:ascii="Arial" w:hAnsi="Arial" w:cs="Arial"/>
          <w:sz w:val="22"/>
          <w:szCs w:val="22"/>
        </w:rPr>
        <w:t>Clinical Research Center, Marshfield Clinic Research Foundation</w:t>
      </w:r>
      <w:r w:rsidR="00B16C8B" w:rsidRPr="00847152">
        <w:rPr>
          <w:rFonts w:ascii="Arial" w:hAnsi="Arial" w:cs="Arial"/>
          <w:sz w:val="22"/>
          <w:szCs w:val="22"/>
        </w:rPr>
        <w:t>, Marshfield, Wisconsin, USA</w:t>
      </w:r>
    </w:p>
    <w:p w:rsidR="00933B8F" w:rsidRPr="00847152" w:rsidRDefault="00596705" w:rsidP="003172E1">
      <w:pPr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  <w:vertAlign w:val="superscript"/>
        </w:rPr>
        <w:t>5</w:t>
      </w:r>
      <w:r w:rsidR="00933B8F" w:rsidRPr="00847152">
        <w:rPr>
          <w:rFonts w:ascii="Arial" w:hAnsi="Arial" w:cs="Arial"/>
          <w:sz w:val="22"/>
          <w:szCs w:val="22"/>
        </w:rPr>
        <w:t>Departent of Pediatrics, University of Wisconsin-Madison, Madison, Wisconsin, USA</w:t>
      </w:r>
    </w:p>
    <w:p w:rsidR="00B16C8B" w:rsidRPr="00847152" w:rsidRDefault="00933B8F" w:rsidP="003172E1">
      <w:pPr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  <w:vertAlign w:val="superscript"/>
        </w:rPr>
        <w:t>6</w:t>
      </w:r>
      <w:r w:rsidRPr="00847152">
        <w:rPr>
          <w:rFonts w:ascii="Arial" w:hAnsi="Arial" w:cs="Arial"/>
          <w:sz w:val="22"/>
          <w:szCs w:val="22"/>
        </w:rPr>
        <w:t>Laboratory of Genetics</w:t>
      </w:r>
      <w:r w:rsidR="00B16C8B" w:rsidRPr="00847152">
        <w:rPr>
          <w:rFonts w:ascii="Arial" w:hAnsi="Arial" w:cs="Arial"/>
          <w:sz w:val="22"/>
          <w:szCs w:val="22"/>
        </w:rPr>
        <w:t>, University of Wisconsin-Madison, Madison, Wisconsin, USA</w:t>
      </w:r>
    </w:p>
    <w:p w:rsidR="00596705" w:rsidRPr="00847152" w:rsidRDefault="00596705" w:rsidP="003172E1">
      <w:pPr>
        <w:rPr>
          <w:rFonts w:ascii="Arial" w:hAnsi="Arial" w:cs="Arial"/>
          <w:b/>
          <w:sz w:val="22"/>
          <w:szCs w:val="22"/>
        </w:rPr>
      </w:pPr>
    </w:p>
    <w:p w:rsidR="00596705" w:rsidRPr="00847152" w:rsidRDefault="00596705" w:rsidP="003172E1">
      <w:pPr>
        <w:rPr>
          <w:rFonts w:ascii="Arial" w:hAnsi="Arial" w:cs="Arial"/>
          <w:b/>
          <w:sz w:val="22"/>
          <w:szCs w:val="22"/>
        </w:rPr>
      </w:pPr>
    </w:p>
    <w:p w:rsidR="00596705" w:rsidRPr="00847152" w:rsidRDefault="008A3E7D" w:rsidP="003172E1">
      <w:pPr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  <w:vertAlign w:val="superscript"/>
        </w:rPr>
        <w:t>ǂ</w:t>
      </w:r>
      <w:r w:rsidR="00596705" w:rsidRPr="00847152">
        <w:rPr>
          <w:rFonts w:ascii="Arial" w:hAnsi="Arial" w:cs="Arial"/>
          <w:sz w:val="22"/>
          <w:szCs w:val="22"/>
        </w:rPr>
        <w:t>Corresponding</w:t>
      </w:r>
      <w:proofErr w:type="spellEnd"/>
      <w:r w:rsidR="00596705" w:rsidRPr="00847152">
        <w:rPr>
          <w:rFonts w:ascii="Arial" w:hAnsi="Arial" w:cs="Arial"/>
          <w:sz w:val="22"/>
          <w:szCs w:val="22"/>
        </w:rPr>
        <w:t xml:space="preserve"> Author</w:t>
      </w:r>
    </w:p>
    <w:p w:rsidR="00596705" w:rsidRPr="00847152" w:rsidRDefault="00596705" w:rsidP="003172E1">
      <w:pPr>
        <w:rPr>
          <w:rFonts w:ascii="Arial" w:hAnsi="Arial" w:cs="Arial"/>
          <w:b/>
          <w:sz w:val="22"/>
          <w:szCs w:val="22"/>
        </w:rPr>
      </w:pPr>
    </w:p>
    <w:p w:rsidR="00596705" w:rsidRPr="00847152" w:rsidRDefault="00596705" w:rsidP="003172E1">
      <w:pPr>
        <w:rPr>
          <w:rFonts w:ascii="Arial" w:hAnsi="Arial" w:cs="Arial"/>
          <w:b/>
          <w:sz w:val="22"/>
          <w:szCs w:val="22"/>
        </w:rPr>
      </w:pPr>
    </w:p>
    <w:p w:rsidR="00596705" w:rsidRPr="00847152" w:rsidRDefault="00596705" w:rsidP="003172E1">
      <w:pPr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Correspondence:</w:t>
      </w:r>
    </w:p>
    <w:p w:rsidR="00596705" w:rsidRPr="00847152" w:rsidRDefault="00596705" w:rsidP="003172E1">
      <w:pPr>
        <w:rPr>
          <w:rFonts w:ascii="Arial" w:hAnsi="Arial" w:cs="Arial"/>
          <w:sz w:val="22"/>
          <w:szCs w:val="22"/>
        </w:rPr>
      </w:pPr>
    </w:p>
    <w:p w:rsidR="00596705" w:rsidRPr="00847152" w:rsidRDefault="00596705" w:rsidP="003172E1">
      <w:pPr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Steven J. Schrodi, Ph.D.</w:t>
      </w:r>
    </w:p>
    <w:p w:rsidR="00596705" w:rsidRPr="00847152" w:rsidRDefault="00596705" w:rsidP="003172E1">
      <w:pPr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Center for Human Genetics</w:t>
      </w:r>
    </w:p>
    <w:p w:rsidR="00596705" w:rsidRPr="00847152" w:rsidRDefault="00596705" w:rsidP="003172E1">
      <w:pPr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Marshfield Clinic Research Foundation</w:t>
      </w:r>
    </w:p>
    <w:p w:rsidR="00596705" w:rsidRPr="00847152" w:rsidRDefault="00596705" w:rsidP="003172E1">
      <w:pPr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1000 N. Oak Ave – MLR</w:t>
      </w:r>
    </w:p>
    <w:p w:rsidR="00596705" w:rsidRPr="00847152" w:rsidRDefault="00596705" w:rsidP="003172E1">
      <w:pPr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Marshfield, WI  54449</w:t>
      </w:r>
      <w:r w:rsidRPr="00847152">
        <w:rPr>
          <w:rFonts w:ascii="Arial" w:hAnsi="Arial" w:cs="Arial"/>
          <w:sz w:val="22"/>
          <w:szCs w:val="22"/>
        </w:rPr>
        <w:tab/>
        <w:t>USA</w:t>
      </w:r>
    </w:p>
    <w:p w:rsidR="00596705" w:rsidRPr="00847152" w:rsidRDefault="00596705" w:rsidP="003172E1">
      <w:pPr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Tel: 715-221-6443</w:t>
      </w:r>
    </w:p>
    <w:p w:rsidR="00596705" w:rsidRPr="00847152" w:rsidRDefault="00596705" w:rsidP="003172E1">
      <w:pPr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Fax: 715-389-4950</w:t>
      </w:r>
    </w:p>
    <w:p w:rsidR="00596705" w:rsidRPr="00847152" w:rsidRDefault="00596705" w:rsidP="003172E1">
      <w:pPr>
        <w:rPr>
          <w:rFonts w:ascii="Arial" w:hAnsi="Arial" w:cs="Arial"/>
          <w:sz w:val="22"/>
          <w:szCs w:val="22"/>
        </w:rPr>
      </w:pPr>
    </w:p>
    <w:p w:rsidR="00596705" w:rsidRPr="00847152" w:rsidRDefault="00596705" w:rsidP="003172E1">
      <w:pPr>
        <w:rPr>
          <w:rFonts w:ascii="Arial" w:hAnsi="Arial" w:cs="Arial"/>
          <w:sz w:val="22"/>
          <w:szCs w:val="22"/>
        </w:rPr>
      </w:pPr>
    </w:p>
    <w:p w:rsidR="00596705" w:rsidRPr="00847152" w:rsidRDefault="00596705" w:rsidP="003172E1">
      <w:pPr>
        <w:rPr>
          <w:rFonts w:ascii="Arial" w:hAnsi="Arial" w:cs="Arial"/>
          <w:b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Running Title: </w:t>
      </w:r>
      <w:r w:rsidR="00E86003" w:rsidRPr="00847152">
        <w:rPr>
          <w:rFonts w:ascii="Arial" w:hAnsi="Arial" w:cs="Arial"/>
          <w:b/>
          <w:sz w:val="22"/>
          <w:szCs w:val="22"/>
        </w:rPr>
        <w:t>TH17</w:t>
      </w:r>
      <w:r w:rsidRPr="00847152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47152">
        <w:rPr>
          <w:rFonts w:ascii="Arial" w:hAnsi="Arial" w:cs="Arial"/>
          <w:b/>
          <w:sz w:val="22"/>
          <w:szCs w:val="22"/>
        </w:rPr>
        <w:t>eQTL</w:t>
      </w:r>
      <w:proofErr w:type="spellEnd"/>
      <w:r w:rsidRPr="00847152">
        <w:rPr>
          <w:rFonts w:ascii="Arial" w:hAnsi="Arial" w:cs="Arial"/>
          <w:b/>
          <w:sz w:val="22"/>
          <w:szCs w:val="22"/>
        </w:rPr>
        <w:t xml:space="preserve"> Genomics</w:t>
      </w:r>
    </w:p>
    <w:p w:rsidR="00596705" w:rsidRPr="00847152" w:rsidRDefault="00596705" w:rsidP="003172E1">
      <w:pPr>
        <w:rPr>
          <w:rFonts w:ascii="Arial" w:hAnsi="Arial" w:cs="Arial"/>
          <w:sz w:val="22"/>
          <w:szCs w:val="22"/>
        </w:rPr>
      </w:pPr>
    </w:p>
    <w:p w:rsidR="00596705" w:rsidRPr="00847152" w:rsidRDefault="00596705" w:rsidP="003172E1">
      <w:pPr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Keywords: </w:t>
      </w:r>
      <w:r w:rsidRPr="00847152">
        <w:rPr>
          <w:rFonts w:ascii="Arial" w:hAnsi="Arial" w:cs="Arial"/>
          <w:b/>
          <w:sz w:val="22"/>
          <w:szCs w:val="22"/>
        </w:rPr>
        <w:t>Interleukins, Cytokines, Single Nucleotide Polymorphisms, Inflammation, Genomics</w:t>
      </w:r>
    </w:p>
    <w:p w:rsidR="00596705" w:rsidRPr="00847152" w:rsidRDefault="00596705" w:rsidP="003172E1">
      <w:pPr>
        <w:rPr>
          <w:rFonts w:ascii="Arial" w:hAnsi="Arial" w:cs="Arial"/>
          <w:b/>
          <w:sz w:val="22"/>
          <w:szCs w:val="22"/>
        </w:rPr>
      </w:pPr>
    </w:p>
    <w:p w:rsidR="00914B44" w:rsidRPr="00847152" w:rsidRDefault="00914B44" w:rsidP="003172E1">
      <w:pPr>
        <w:rPr>
          <w:rFonts w:ascii="Arial" w:hAnsi="Arial" w:cs="Arial"/>
          <w:b/>
          <w:sz w:val="22"/>
          <w:szCs w:val="22"/>
        </w:rPr>
      </w:pPr>
    </w:p>
    <w:p w:rsidR="00596705" w:rsidRPr="00847152" w:rsidRDefault="00596705" w:rsidP="003172E1">
      <w:pPr>
        <w:jc w:val="both"/>
        <w:rPr>
          <w:rFonts w:ascii="Arial" w:hAnsi="Arial" w:cs="Arial"/>
          <w:b/>
          <w:sz w:val="22"/>
          <w:szCs w:val="22"/>
        </w:rPr>
      </w:pPr>
      <w:r w:rsidRPr="00847152">
        <w:rPr>
          <w:rFonts w:ascii="Arial" w:hAnsi="Arial" w:cs="Arial"/>
          <w:b/>
          <w:sz w:val="22"/>
          <w:szCs w:val="22"/>
        </w:rPr>
        <w:t>Abstract</w:t>
      </w:r>
    </w:p>
    <w:p w:rsidR="00596705" w:rsidRPr="00847152" w:rsidRDefault="00133E4E" w:rsidP="003172E1">
      <w:p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The genetics of chronic inflammation remains poorly understood.  Uncovering novel genes underlying for these conditions will greatly facilitate the discovery of the molecular mechanisms responsible for </w:t>
      </w:r>
      <w:r w:rsidR="000D2972" w:rsidRPr="00847152">
        <w:rPr>
          <w:rFonts w:ascii="Arial" w:hAnsi="Arial" w:cs="Arial"/>
          <w:sz w:val="22"/>
          <w:szCs w:val="22"/>
        </w:rPr>
        <w:t>the immuno-pathogenic effects and provide targets for therapeutic intervention</w:t>
      </w:r>
      <w:r w:rsidRPr="00847152">
        <w:rPr>
          <w:rFonts w:ascii="Arial" w:hAnsi="Arial" w:cs="Arial"/>
          <w:sz w:val="22"/>
          <w:szCs w:val="22"/>
        </w:rPr>
        <w:t xml:space="preserve">.  </w:t>
      </w:r>
      <w:r w:rsidR="00103593" w:rsidRPr="00847152">
        <w:rPr>
          <w:rFonts w:ascii="Arial" w:hAnsi="Arial" w:cs="Arial"/>
          <w:sz w:val="22"/>
          <w:szCs w:val="22"/>
        </w:rPr>
        <w:t>Recent s</w:t>
      </w:r>
      <w:r w:rsidR="000D2972" w:rsidRPr="00847152">
        <w:rPr>
          <w:rFonts w:ascii="Arial" w:hAnsi="Arial" w:cs="Arial"/>
          <w:sz w:val="22"/>
          <w:szCs w:val="22"/>
        </w:rPr>
        <w:t>tudies have identified dysfunctional T</w:t>
      </w:r>
      <w:r w:rsidR="000D2972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0D2972" w:rsidRPr="00847152">
        <w:rPr>
          <w:rFonts w:ascii="Arial" w:hAnsi="Arial" w:cs="Arial"/>
          <w:sz w:val="22"/>
          <w:szCs w:val="22"/>
        </w:rPr>
        <w:t xml:space="preserve">17 activity as a central process characteristic of </w:t>
      </w:r>
      <w:proofErr w:type="spellStart"/>
      <w:r w:rsidR="000D2972" w:rsidRPr="00847152">
        <w:rPr>
          <w:rFonts w:ascii="Arial" w:hAnsi="Arial" w:cs="Arial"/>
          <w:sz w:val="22"/>
          <w:szCs w:val="22"/>
        </w:rPr>
        <w:t>autoinflammation</w:t>
      </w:r>
      <w:proofErr w:type="spellEnd"/>
      <w:r w:rsidR="000D2972" w:rsidRPr="00847152">
        <w:rPr>
          <w:rFonts w:ascii="Arial" w:hAnsi="Arial" w:cs="Arial"/>
          <w:sz w:val="22"/>
          <w:szCs w:val="22"/>
        </w:rPr>
        <w:t xml:space="preserve">, autoimmunity, </w:t>
      </w:r>
      <w:proofErr w:type="spellStart"/>
      <w:r w:rsidR="0073389A" w:rsidRPr="00847152">
        <w:rPr>
          <w:rFonts w:ascii="Arial" w:hAnsi="Arial" w:cs="Arial"/>
          <w:sz w:val="22"/>
          <w:szCs w:val="22"/>
        </w:rPr>
        <w:t>oncogenesis</w:t>
      </w:r>
      <w:proofErr w:type="spellEnd"/>
      <w:r w:rsidR="0073389A" w:rsidRPr="00847152">
        <w:rPr>
          <w:rFonts w:ascii="Arial" w:hAnsi="Arial" w:cs="Arial"/>
          <w:sz w:val="22"/>
          <w:szCs w:val="22"/>
        </w:rPr>
        <w:t xml:space="preserve">, </w:t>
      </w:r>
      <w:r w:rsidR="00871817" w:rsidRPr="00847152">
        <w:rPr>
          <w:rFonts w:ascii="Arial" w:hAnsi="Arial" w:cs="Arial"/>
          <w:sz w:val="22"/>
          <w:szCs w:val="22"/>
        </w:rPr>
        <w:t xml:space="preserve">and </w:t>
      </w:r>
      <w:r w:rsidR="0073389A" w:rsidRPr="00847152">
        <w:rPr>
          <w:rFonts w:ascii="Arial" w:hAnsi="Arial" w:cs="Arial"/>
          <w:sz w:val="22"/>
          <w:szCs w:val="22"/>
        </w:rPr>
        <w:t xml:space="preserve">metabolic </w:t>
      </w:r>
      <w:r w:rsidR="00871817" w:rsidRPr="00847152">
        <w:rPr>
          <w:rFonts w:ascii="Arial" w:hAnsi="Arial" w:cs="Arial"/>
          <w:sz w:val="22"/>
          <w:szCs w:val="22"/>
        </w:rPr>
        <w:t xml:space="preserve">disease. </w:t>
      </w:r>
      <w:r w:rsidR="000D2972" w:rsidRPr="00847152">
        <w:rPr>
          <w:rFonts w:ascii="Arial" w:hAnsi="Arial" w:cs="Arial"/>
          <w:sz w:val="22"/>
          <w:szCs w:val="22"/>
        </w:rPr>
        <w:t xml:space="preserve"> </w:t>
      </w:r>
      <w:r w:rsidR="00103593" w:rsidRPr="00847152">
        <w:rPr>
          <w:rFonts w:ascii="Arial" w:hAnsi="Arial" w:cs="Arial"/>
          <w:sz w:val="22"/>
          <w:szCs w:val="22"/>
        </w:rPr>
        <w:t>Here</w:t>
      </w:r>
      <w:r w:rsidR="00871817" w:rsidRPr="00847152">
        <w:rPr>
          <w:rFonts w:ascii="Arial" w:hAnsi="Arial" w:cs="Arial"/>
          <w:sz w:val="22"/>
          <w:szCs w:val="22"/>
        </w:rPr>
        <w:t xml:space="preserve">, </w:t>
      </w:r>
      <w:r w:rsidR="00103593" w:rsidRPr="00847152">
        <w:rPr>
          <w:rFonts w:ascii="Arial" w:hAnsi="Arial" w:cs="Arial"/>
          <w:sz w:val="22"/>
          <w:szCs w:val="22"/>
        </w:rPr>
        <w:t xml:space="preserve">in a two-staged experiment, </w:t>
      </w:r>
      <w:r w:rsidR="00871817" w:rsidRPr="00847152">
        <w:rPr>
          <w:rFonts w:ascii="Arial" w:hAnsi="Arial" w:cs="Arial"/>
          <w:sz w:val="22"/>
          <w:szCs w:val="22"/>
        </w:rPr>
        <w:t xml:space="preserve">we measured </w:t>
      </w:r>
      <w:proofErr w:type="gramStart"/>
      <w:r w:rsidR="00871817" w:rsidRPr="00847152">
        <w:rPr>
          <w:rFonts w:ascii="Arial" w:hAnsi="Arial" w:cs="Arial"/>
          <w:sz w:val="22"/>
          <w:szCs w:val="22"/>
        </w:rPr>
        <w:t xml:space="preserve">baseline </w:t>
      </w:r>
      <w:r w:rsidR="00694E46" w:rsidRPr="00847152">
        <w:rPr>
          <w:rFonts w:ascii="Arial" w:hAnsi="Arial" w:cs="Arial"/>
          <w:sz w:val="22"/>
          <w:szCs w:val="22"/>
        </w:rPr>
        <w:t>circulating</w:t>
      </w:r>
      <w:proofErr w:type="gramEnd"/>
      <w:r w:rsidR="00694E46" w:rsidRPr="00847152">
        <w:rPr>
          <w:rFonts w:ascii="Arial" w:hAnsi="Arial" w:cs="Arial"/>
          <w:sz w:val="22"/>
          <w:szCs w:val="22"/>
        </w:rPr>
        <w:t xml:space="preserve"> </w:t>
      </w:r>
      <w:r w:rsidR="00871817" w:rsidRPr="00847152">
        <w:rPr>
          <w:rFonts w:ascii="Arial" w:hAnsi="Arial" w:cs="Arial"/>
          <w:sz w:val="22"/>
          <w:szCs w:val="22"/>
        </w:rPr>
        <w:t xml:space="preserve">levels of the </w:t>
      </w:r>
      <w:r w:rsidR="00E06F02" w:rsidRPr="00847152">
        <w:rPr>
          <w:rFonts w:ascii="Arial" w:hAnsi="Arial" w:cs="Arial"/>
          <w:sz w:val="22"/>
          <w:szCs w:val="22"/>
        </w:rPr>
        <w:t xml:space="preserve">two </w:t>
      </w:r>
      <w:r w:rsidR="00871817" w:rsidRPr="00847152">
        <w:rPr>
          <w:rFonts w:ascii="Arial" w:hAnsi="Arial" w:cs="Arial"/>
          <w:sz w:val="22"/>
          <w:szCs w:val="22"/>
        </w:rPr>
        <w:t>prototypical cytokine</w:t>
      </w:r>
      <w:r w:rsidR="00E06F02" w:rsidRPr="00847152">
        <w:rPr>
          <w:rFonts w:ascii="Arial" w:hAnsi="Arial" w:cs="Arial"/>
          <w:sz w:val="22"/>
          <w:szCs w:val="22"/>
        </w:rPr>
        <w:t>s</w:t>
      </w:r>
      <w:r w:rsidR="00871817" w:rsidRPr="00847152">
        <w:rPr>
          <w:rFonts w:ascii="Arial" w:hAnsi="Arial" w:cs="Arial"/>
          <w:sz w:val="22"/>
          <w:szCs w:val="22"/>
        </w:rPr>
        <w:t xml:space="preserve"> indicative of T</w:t>
      </w:r>
      <w:r w:rsidR="00871817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103593" w:rsidRPr="00847152">
        <w:rPr>
          <w:rFonts w:ascii="Arial" w:hAnsi="Arial" w:cs="Arial"/>
          <w:sz w:val="22"/>
          <w:szCs w:val="22"/>
        </w:rPr>
        <w:t xml:space="preserve">17 activity, </w:t>
      </w:r>
      <w:r w:rsidR="00E06F02" w:rsidRPr="00847152">
        <w:rPr>
          <w:rFonts w:ascii="Arial" w:hAnsi="Arial" w:cs="Arial"/>
          <w:sz w:val="22"/>
          <w:szCs w:val="22"/>
        </w:rPr>
        <w:t xml:space="preserve">IL-23 and </w:t>
      </w:r>
      <w:r w:rsidR="00103593" w:rsidRPr="00847152">
        <w:rPr>
          <w:rFonts w:ascii="Arial" w:hAnsi="Arial" w:cs="Arial"/>
          <w:sz w:val="22"/>
          <w:szCs w:val="22"/>
        </w:rPr>
        <w:t xml:space="preserve">IL-17A, in a </w:t>
      </w:r>
      <w:r w:rsidR="00871817" w:rsidRPr="00847152">
        <w:rPr>
          <w:rFonts w:ascii="Arial" w:hAnsi="Arial" w:cs="Arial"/>
          <w:sz w:val="22"/>
          <w:szCs w:val="22"/>
        </w:rPr>
        <w:t xml:space="preserve">large, homogeneous population.  </w:t>
      </w:r>
      <w:r w:rsidR="00A533B9" w:rsidRPr="00847152">
        <w:rPr>
          <w:rFonts w:ascii="Arial" w:hAnsi="Arial" w:cs="Arial"/>
          <w:sz w:val="22"/>
          <w:szCs w:val="22"/>
        </w:rPr>
        <w:t xml:space="preserve">Genomic DNAs from all individuals </w:t>
      </w:r>
      <w:proofErr w:type="gramStart"/>
      <w:r w:rsidR="00A533B9" w:rsidRPr="00847152">
        <w:rPr>
          <w:rFonts w:ascii="Arial" w:hAnsi="Arial" w:cs="Arial"/>
          <w:sz w:val="22"/>
          <w:szCs w:val="22"/>
        </w:rPr>
        <w:t>were subjected</w:t>
      </w:r>
      <w:proofErr w:type="gramEnd"/>
      <w:r w:rsidR="00A533B9" w:rsidRPr="00847152">
        <w:rPr>
          <w:rFonts w:ascii="Arial" w:hAnsi="Arial" w:cs="Arial"/>
          <w:sz w:val="22"/>
          <w:szCs w:val="22"/>
        </w:rPr>
        <w:t xml:space="preserve"> to genome-wide genotyping and </w:t>
      </w:r>
      <w:r w:rsidR="00343F60" w:rsidRPr="00847152">
        <w:rPr>
          <w:rFonts w:ascii="Arial" w:hAnsi="Arial" w:cs="Arial"/>
          <w:sz w:val="22"/>
          <w:szCs w:val="22"/>
        </w:rPr>
        <w:t xml:space="preserve">a gene-based analysis performed to discover </w:t>
      </w:r>
      <w:r w:rsidR="008D5BC9" w:rsidRPr="00847152">
        <w:rPr>
          <w:rFonts w:ascii="Arial" w:hAnsi="Arial" w:cs="Arial"/>
          <w:sz w:val="22"/>
          <w:szCs w:val="22"/>
        </w:rPr>
        <w:t>genes significantly</w:t>
      </w:r>
      <w:r w:rsidR="00E06F02" w:rsidRPr="00847152">
        <w:rPr>
          <w:rFonts w:ascii="Arial" w:hAnsi="Arial" w:cs="Arial"/>
          <w:sz w:val="22"/>
          <w:szCs w:val="22"/>
        </w:rPr>
        <w:t xml:space="preserve"> correlated with baseline T</w:t>
      </w:r>
      <w:r w:rsidR="00E06F02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E06F02" w:rsidRPr="00847152">
        <w:rPr>
          <w:rFonts w:ascii="Arial" w:hAnsi="Arial" w:cs="Arial"/>
          <w:sz w:val="22"/>
          <w:szCs w:val="22"/>
        </w:rPr>
        <w:t>17 activity</w:t>
      </w:r>
      <w:r w:rsidR="008D5BC9" w:rsidRPr="00847152">
        <w:rPr>
          <w:rFonts w:ascii="Arial" w:hAnsi="Arial" w:cs="Arial"/>
          <w:sz w:val="22"/>
          <w:szCs w:val="22"/>
        </w:rPr>
        <w:t xml:space="preserve">. </w:t>
      </w:r>
      <w:r w:rsidR="00E93A20" w:rsidRPr="00847152">
        <w:rPr>
          <w:rFonts w:ascii="Arial" w:hAnsi="Arial" w:cs="Arial"/>
          <w:sz w:val="22"/>
          <w:szCs w:val="22"/>
        </w:rPr>
        <w:t xml:space="preserve"> We identified…</w:t>
      </w:r>
    </w:p>
    <w:p w:rsidR="00596705" w:rsidRPr="00847152" w:rsidRDefault="00596705" w:rsidP="003172E1">
      <w:pPr>
        <w:jc w:val="both"/>
        <w:rPr>
          <w:rFonts w:ascii="Arial" w:hAnsi="Arial" w:cs="Arial"/>
          <w:b/>
          <w:sz w:val="22"/>
          <w:szCs w:val="22"/>
        </w:rPr>
      </w:pPr>
    </w:p>
    <w:p w:rsidR="00596705" w:rsidRPr="00847152" w:rsidRDefault="00596705" w:rsidP="003172E1">
      <w:pPr>
        <w:jc w:val="both"/>
        <w:rPr>
          <w:rFonts w:ascii="Arial" w:hAnsi="Arial" w:cs="Arial"/>
          <w:b/>
          <w:sz w:val="22"/>
          <w:szCs w:val="22"/>
        </w:rPr>
      </w:pPr>
    </w:p>
    <w:p w:rsidR="00596705" w:rsidRPr="00847152" w:rsidRDefault="00596705" w:rsidP="003172E1">
      <w:pPr>
        <w:jc w:val="both"/>
        <w:rPr>
          <w:rFonts w:ascii="Arial" w:hAnsi="Arial" w:cs="Arial"/>
          <w:b/>
          <w:sz w:val="22"/>
          <w:szCs w:val="22"/>
        </w:rPr>
      </w:pPr>
      <w:r w:rsidRPr="00847152">
        <w:rPr>
          <w:rFonts w:ascii="Arial" w:hAnsi="Arial" w:cs="Arial"/>
          <w:b/>
          <w:sz w:val="22"/>
          <w:szCs w:val="22"/>
        </w:rPr>
        <w:t>Introduction</w:t>
      </w:r>
    </w:p>
    <w:p w:rsidR="00596705" w:rsidRPr="00847152" w:rsidRDefault="00596705" w:rsidP="003172E1">
      <w:pPr>
        <w:jc w:val="both"/>
        <w:rPr>
          <w:rFonts w:ascii="Arial" w:hAnsi="Arial" w:cs="Arial"/>
          <w:b/>
          <w:sz w:val="22"/>
          <w:szCs w:val="22"/>
        </w:rPr>
      </w:pPr>
    </w:p>
    <w:p w:rsidR="00596705" w:rsidRPr="00847152" w:rsidRDefault="00596705" w:rsidP="003172E1">
      <w:p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Substantial evidence has accumulated over the past two decades that numerous common diseases exhibit underlying chronic systemic inflammation.</w:t>
      </w:r>
      <w:r w:rsidR="002F1FB6" w:rsidRPr="00847152">
        <w:rPr>
          <w:rFonts w:ascii="Arial" w:hAnsi="Arial" w:cs="Arial"/>
          <w:sz w:val="22"/>
          <w:szCs w:val="22"/>
          <w:vertAlign w:val="superscript"/>
        </w:rPr>
        <w:t>1-</w:t>
      </w:r>
      <w:r w:rsidR="0065461B" w:rsidRPr="00847152">
        <w:rPr>
          <w:rFonts w:ascii="Arial" w:hAnsi="Arial" w:cs="Arial"/>
          <w:sz w:val="22"/>
          <w:szCs w:val="22"/>
          <w:vertAlign w:val="superscript"/>
        </w:rPr>
        <w:t>5</w:t>
      </w:r>
      <w:r w:rsidR="0065461B" w:rsidRPr="00847152">
        <w:rPr>
          <w:rFonts w:ascii="Arial" w:hAnsi="Arial" w:cs="Arial"/>
          <w:sz w:val="22"/>
          <w:szCs w:val="22"/>
        </w:rPr>
        <w:t xml:space="preserve"> Indeed, t</w:t>
      </w:r>
      <w:r w:rsidRPr="00847152">
        <w:rPr>
          <w:rFonts w:ascii="Arial" w:hAnsi="Arial" w:cs="Arial"/>
          <w:sz w:val="22"/>
          <w:szCs w:val="22"/>
        </w:rPr>
        <w:t xml:space="preserve">he hand of sustained, elevated, and </w:t>
      </w:r>
      <w:proofErr w:type="gramStart"/>
      <w:r w:rsidRPr="00847152">
        <w:rPr>
          <w:rFonts w:ascii="Arial" w:hAnsi="Arial" w:cs="Arial"/>
          <w:sz w:val="22"/>
          <w:szCs w:val="22"/>
        </w:rPr>
        <w:t>often misdirected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immune response </w:t>
      </w:r>
      <w:r w:rsidR="005E29F1" w:rsidRPr="00847152">
        <w:rPr>
          <w:rFonts w:ascii="Arial" w:hAnsi="Arial" w:cs="Arial"/>
          <w:sz w:val="22"/>
          <w:szCs w:val="22"/>
        </w:rPr>
        <w:t>has a pervasive reach: predisposing and driving</w:t>
      </w:r>
      <w:r w:rsidRPr="00847152">
        <w:rPr>
          <w:rFonts w:ascii="Arial" w:hAnsi="Arial" w:cs="Arial"/>
          <w:sz w:val="22"/>
          <w:szCs w:val="22"/>
        </w:rPr>
        <w:t xml:space="preserve"> compromised </w:t>
      </w:r>
      <w:proofErr w:type="spellStart"/>
      <w:r w:rsidRPr="00847152">
        <w:rPr>
          <w:rFonts w:ascii="Arial" w:hAnsi="Arial" w:cs="Arial"/>
          <w:sz w:val="22"/>
          <w:szCs w:val="22"/>
        </w:rPr>
        <w:t>immunocompetence</w:t>
      </w:r>
      <w:proofErr w:type="spellEnd"/>
      <w:r w:rsidR="0065461B" w:rsidRPr="00847152">
        <w:rPr>
          <w:rFonts w:ascii="Arial" w:hAnsi="Arial" w:cs="Arial"/>
          <w:sz w:val="22"/>
          <w:szCs w:val="22"/>
        </w:rPr>
        <w:t xml:space="preserve"> and a wide variety of </w:t>
      </w:r>
      <w:r w:rsidR="001D1D99" w:rsidRPr="00847152">
        <w:rPr>
          <w:rFonts w:ascii="Arial" w:hAnsi="Arial" w:cs="Arial"/>
          <w:sz w:val="22"/>
          <w:szCs w:val="22"/>
        </w:rPr>
        <w:t>diseases.</w:t>
      </w:r>
      <w:r w:rsidRPr="00847152">
        <w:rPr>
          <w:rFonts w:ascii="Arial" w:hAnsi="Arial" w:cs="Arial"/>
          <w:sz w:val="22"/>
          <w:szCs w:val="22"/>
        </w:rPr>
        <w:t xml:space="preserve"> </w:t>
      </w:r>
      <w:r w:rsidR="00687DC4" w:rsidRPr="00847152">
        <w:rPr>
          <w:rFonts w:ascii="Arial" w:hAnsi="Arial" w:cs="Arial"/>
          <w:sz w:val="22"/>
          <w:szCs w:val="22"/>
        </w:rPr>
        <w:t>Broadly,</w:t>
      </w:r>
      <w:r w:rsidRPr="00847152">
        <w:rPr>
          <w:rFonts w:ascii="Arial" w:hAnsi="Arial" w:cs="Arial"/>
          <w:sz w:val="22"/>
          <w:szCs w:val="22"/>
        </w:rPr>
        <w:t xml:space="preserve"> sustained immune dysfunction </w:t>
      </w:r>
      <w:proofErr w:type="gramStart"/>
      <w:r w:rsidRPr="00847152">
        <w:rPr>
          <w:rFonts w:ascii="Arial" w:hAnsi="Arial" w:cs="Arial"/>
          <w:sz w:val="22"/>
          <w:szCs w:val="22"/>
        </w:rPr>
        <w:t>is thought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to promote pathogenicity through a number of avenues including tissue damage mediated by innate immune cells, compromised immune tolerance and autoimmunity, fibrosis, vascular leakage, carcinogenesis, </w:t>
      </w:r>
      <w:r w:rsidR="0058084C" w:rsidRPr="00847152">
        <w:rPr>
          <w:rFonts w:ascii="Arial" w:hAnsi="Arial" w:cs="Arial"/>
          <w:sz w:val="22"/>
          <w:szCs w:val="22"/>
        </w:rPr>
        <w:t xml:space="preserve">gut permeability, </w:t>
      </w:r>
      <w:r w:rsidRPr="00847152">
        <w:rPr>
          <w:rFonts w:ascii="Arial" w:hAnsi="Arial" w:cs="Arial"/>
          <w:sz w:val="22"/>
          <w:szCs w:val="22"/>
        </w:rPr>
        <w:t xml:space="preserve">neurodegeneration, and possibly accelerated senescence. </w:t>
      </w:r>
      <w:proofErr w:type="gramStart"/>
      <w:r w:rsidRPr="00847152">
        <w:rPr>
          <w:rFonts w:ascii="Arial" w:hAnsi="Arial" w:cs="Arial"/>
          <w:sz w:val="22"/>
          <w:szCs w:val="22"/>
        </w:rPr>
        <w:t>Circulating markers of inflammation can provide a key, quantifiable intermediate phenotype useful for studying the effects of continually hyperactive inflammatory pathways.</w:t>
      </w:r>
      <w:r w:rsidR="00334CF7" w:rsidRPr="00847152">
        <w:rPr>
          <w:rFonts w:ascii="Arial" w:hAnsi="Arial" w:cs="Arial"/>
          <w:sz w:val="22"/>
          <w:szCs w:val="22"/>
          <w:vertAlign w:val="superscript"/>
        </w:rPr>
        <w:t>6-8</w:t>
      </w:r>
      <w:r w:rsidR="001D1D99" w:rsidRPr="00847152">
        <w:rPr>
          <w:rFonts w:ascii="Arial" w:hAnsi="Arial" w:cs="Arial"/>
          <w:sz w:val="22"/>
          <w:szCs w:val="22"/>
        </w:rPr>
        <w:t xml:space="preserve"> </w:t>
      </w:r>
      <w:r w:rsidRPr="00847152">
        <w:rPr>
          <w:rFonts w:ascii="Arial" w:hAnsi="Arial" w:cs="Arial"/>
          <w:sz w:val="22"/>
          <w:szCs w:val="22"/>
        </w:rPr>
        <w:t xml:space="preserve">Using this </w:t>
      </w:r>
      <w:r w:rsidRPr="00847152">
        <w:rPr>
          <w:rFonts w:ascii="Arial" w:hAnsi="Arial" w:cs="Arial"/>
          <w:sz w:val="22"/>
          <w:szCs w:val="22"/>
        </w:rPr>
        <w:lastRenderedPageBreak/>
        <w:t>molecular intermediate phenotype approach can dramatically reduce the complexity of clinically-defined phenotypes; and with a more refined, clearer trait, it is reasonable to assume that the underlying susceptibility genetics will likewise be simplified.</w:t>
      </w:r>
      <w:r w:rsidR="00332BD1" w:rsidRPr="00847152">
        <w:rPr>
          <w:rFonts w:ascii="Arial" w:hAnsi="Arial" w:cs="Arial"/>
          <w:sz w:val="22"/>
          <w:szCs w:val="22"/>
          <w:vertAlign w:val="superscript"/>
        </w:rPr>
        <w:t>9</w:t>
      </w:r>
      <w:r w:rsidR="00687DC4" w:rsidRPr="00847152">
        <w:rPr>
          <w:rFonts w:ascii="Arial" w:hAnsi="Arial" w:cs="Arial"/>
          <w:sz w:val="22"/>
          <w:szCs w:val="22"/>
        </w:rPr>
        <w:t xml:space="preserve">  Identifying the genetic variants that underlie variation in circulating inflammatory cytokines can provide insight into the mechanisms and pathways involved in production of these critically important mediators of immune responses.</w:t>
      </w:r>
      <w:proofErr w:type="gramEnd"/>
    </w:p>
    <w:p w:rsidR="005A4C8C" w:rsidRPr="00847152" w:rsidRDefault="00687DC4" w:rsidP="003172E1">
      <w:p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ab/>
      </w:r>
      <w:proofErr w:type="gramStart"/>
      <w:r w:rsidR="00CD395E" w:rsidRPr="00847152">
        <w:rPr>
          <w:rFonts w:ascii="Arial" w:hAnsi="Arial" w:cs="Arial"/>
          <w:sz w:val="22"/>
          <w:szCs w:val="22"/>
        </w:rPr>
        <w:t>Clearly, there are numerous immunological pathways involved in response to bacterial</w:t>
      </w:r>
      <w:r w:rsidR="00FB627A" w:rsidRPr="00847152">
        <w:rPr>
          <w:rFonts w:ascii="Arial" w:hAnsi="Arial" w:cs="Arial"/>
          <w:sz w:val="22"/>
          <w:szCs w:val="22"/>
        </w:rPr>
        <w:t>, viral</w:t>
      </w:r>
      <w:r w:rsidR="00CD395E" w:rsidRPr="00847152">
        <w:rPr>
          <w:rFonts w:ascii="Arial" w:hAnsi="Arial" w:cs="Arial"/>
          <w:sz w:val="22"/>
          <w:szCs w:val="22"/>
        </w:rPr>
        <w:t xml:space="preserve"> and fungal infections and generating chronic systemic inflammation, with </w:t>
      </w:r>
      <w:r w:rsidR="00737AEA" w:rsidRPr="00847152">
        <w:rPr>
          <w:rFonts w:ascii="Arial" w:hAnsi="Arial" w:cs="Arial"/>
          <w:sz w:val="22"/>
          <w:szCs w:val="22"/>
        </w:rPr>
        <w:t xml:space="preserve">CD4+ lymphocytes, including </w:t>
      </w:r>
      <w:r w:rsidR="00CD395E" w:rsidRPr="00847152">
        <w:rPr>
          <w:rFonts w:ascii="Arial" w:hAnsi="Arial" w:cs="Arial"/>
          <w:sz w:val="22"/>
          <w:szCs w:val="22"/>
        </w:rPr>
        <w:t>T</w:t>
      </w:r>
      <w:r w:rsidR="00CD395E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737AEA" w:rsidRPr="00847152">
        <w:rPr>
          <w:rFonts w:ascii="Arial" w:hAnsi="Arial" w:cs="Arial"/>
          <w:sz w:val="22"/>
          <w:szCs w:val="22"/>
        </w:rPr>
        <w:t>17 cells,</w:t>
      </w:r>
      <w:r w:rsidR="00CD395E" w:rsidRPr="00847152">
        <w:rPr>
          <w:rFonts w:ascii="Arial" w:hAnsi="Arial" w:cs="Arial"/>
          <w:sz w:val="22"/>
          <w:szCs w:val="22"/>
        </w:rPr>
        <w:t xml:space="preserve"> playing a critical role.</w:t>
      </w:r>
      <w:r w:rsidR="00FB627A" w:rsidRPr="00847152">
        <w:rPr>
          <w:rFonts w:ascii="Arial" w:hAnsi="Arial" w:cs="Arial"/>
          <w:sz w:val="22"/>
          <w:szCs w:val="22"/>
          <w:vertAlign w:val="superscript"/>
        </w:rPr>
        <w:t>1</w:t>
      </w:r>
      <w:r w:rsidR="00046421" w:rsidRPr="00847152">
        <w:rPr>
          <w:rFonts w:ascii="Arial" w:hAnsi="Arial" w:cs="Arial"/>
          <w:sz w:val="22"/>
          <w:szCs w:val="22"/>
          <w:vertAlign w:val="superscript"/>
        </w:rPr>
        <w:t>0</w:t>
      </w:r>
      <w:r w:rsidR="00694E46" w:rsidRPr="00847152">
        <w:rPr>
          <w:rFonts w:ascii="Arial" w:hAnsi="Arial" w:cs="Arial"/>
          <w:sz w:val="22"/>
          <w:szCs w:val="22"/>
          <w:vertAlign w:val="superscript"/>
        </w:rPr>
        <w:t>,11</w:t>
      </w:r>
      <w:r w:rsidR="00CD395E" w:rsidRPr="00847152">
        <w:rPr>
          <w:rFonts w:ascii="Arial" w:hAnsi="Arial" w:cs="Arial"/>
          <w:sz w:val="22"/>
          <w:szCs w:val="22"/>
        </w:rPr>
        <w:t xml:space="preserve">  </w:t>
      </w:r>
      <w:r w:rsidR="005E29F1" w:rsidRPr="00847152">
        <w:rPr>
          <w:rFonts w:ascii="Arial" w:hAnsi="Arial" w:cs="Arial"/>
          <w:sz w:val="22"/>
          <w:szCs w:val="22"/>
        </w:rPr>
        <w:t>Recent studies have demonstrated that T</w:t>
      </w:r>
      <w:r w:rsidR="005E29F1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5E29F1" w:rsidRPr="00847152">
        <w:rPr>
          <w:rFonts w:ascii="Arial" w:hAnsi="Arial" w:cs="Arial"/>
          <w:sz w:val="22"/>
          <w:szCs w:val="22"/>
        </w:rPr>
        <w:t xml:space="preserve">17 </w:t>
      </w:r>
      <w:r w:rsidR="00CD395E" w:rsidRPr="00847152">
        <w:rPr>
          <w:rFonts w:ascii="Arial" w:hAnsi="Arial" w:cs="Arial"/>
          <w:sz w:val="22"/>
          <w:szCs w:val="22"/>
        </w:rPr>
        <w:t>development, stimulation</w:t>
      </w:r>
      <w:r w:rsidR="005E29F1" w:rsidRPr="00847152">
        <w:rPr>
          <w:rFonts w:ascii="Arial" w:hAnsi="Arial" w:cs="Arial"/>
          <w:sz w:val="22"/>
          <w:szCs w:val="22"/>
        </w:rPr>
        <w:t xml:space="preserve"> and signaling plays a fundamental role in atherosclerosis</w:t>
      </w:r>
      <w:r w:rsidR="00694E46" w:rsidRPr="00847152">
        <w:rPr>
          <w:rFonts w:ascii="Arial" w:hAnsi="Arial" w:cs="Arial"/>
          <w:sz w:val="22"/>
          <w:szCs w:val="22"/>
          <w:vertAlign w:val="superscript"/>
        </w:rPr>
        <w:t>12</w:t>
      </w:r>
      <w:r w:rsidR="005E29F1" w:rsidRPr="00847152">
        <w:rPr>
          <w:rFonts w:ascii="Arial" w:hAnsi="Arial" w:cs="Arial"/>
          <w:sz w:val="22"/>
          <w:szCs w:val="22"/>
        </w:rPr>
        <w:t>, response to bacterial infection</w:t>
      </w:r>
      <w:r w:rsidR="00694E46" w:rsidRPr="00847152">
        <w:rPr>
          <w:rFonts w:ascii="Arial" w:hAnsi="Arial" w:cs="Arial"/>
          <w:sz w:val="22"/>
          <w:szCs w:val="22"/>
          <w:vertAlign w:val="superscript"/>
        </w:rPr>
        <w:t>13</w:t>
      </w:r>
      <w:r w:rsidR="005E29F1" w:rsidRPr="00847152">
        <w:rPr>
          <w:rFonts w:ascii="Arial" w:hAnsi="Arial" w:cs="Arial"/>
          <w:sz w:val="22"/>
          <w:szCs w:val="22"/>
        </w:rPr>
        <w:t>, colorectal cancer prognosis</w:t>
      </w:r>
      <w:r w:rsidR="00694E46" w:rsidRPr="00847152">
        <w:rPr>
          <w:rFonts w:ascii="Arial" w:hAnsi="Arial" w:cs="Arial"/>
          <w:sz w:val="22"/>
          <w:szCs w:val="22"/>
          <w:vertAlign w:val="superscript"/>
        </w:rPr>
        <w:t>14</w:t>
      </w:r>
      <w:r w:rsidR="005E29F1" w:rsidRPr="00847152">
        <w:rPr>
          <w:rFonts w:ascii="Arial" w:hAnsi="Arial" w:cs="Arial"/>
          <w:sz w:val="22"/>
          <w:szCs w:val="22"/>
        </w:rPr>
        <w:t>, autoimmune diseases including rheumatoid arthritis</w:t>
      </w:r>
      <w:r w:rsidR="00694E46" w:rsidRPr="00847152">
        <w:rPr>
          <w:rFonts w:ascii="Arial" w:hAnsi="Arial" w:cs="Arial"/>
          <w:sz w:val="22"/>
          <w:szCs w:val="22"/>
          <w:vertAlign w:val="superscript"/>
        </w:rPr>
        <w:t>15</w:t>
      </w:r>
      <w:r w:rsidR="005E29F1" w:rsidRPr="00847152">
        <w:rPr>
          <w:rFonts w:ascii="Arial" w:hAnsi="Arial" w:cs="Arial"/>
          <w:sz w:val="22"/>
          <w:szCs w:val="22"/>
        </w:rPr>
        <w:t>, multiple sclerosis</w:t>
      </w:r>
      <w:r w:rsidR="00694E46" w:rsidRPr="00847152">
        <w:rPr>
          <w:rFonts w:ascii="Arial" w:hAnsi="Arial" w:cs="Arial"/>
          <w:sz w:val="22"/>
          <w:szCs w:val="22"/>
          <w:vertAlign w:val="superscript"/>
        </w:rPr>
        <w:t>16</w:t>
      </w:r>
      <w:r w:rsidR="005E29F1" w:rsidRPr="00847152">
        <w:rPr>
          <w:rFonts w:ascii="Arial" w:hAnsi="Arial" w:cs="Arial"/>
          <w:sz w:val="22"/>
          <w:szCs w:val="22"/>
        </w:rPr>
        <w:t xml:space="preserve"> and systemic lupus erythematosus</w:t>
      </w:r>
      <w:r w:rsidR="00694E46" w:rsidRPr="00847152">
        <w:rPr>
          <w:rFonts w:ascii="Arial" w:hAnsi="Arial" w:cs="Arial"/>
          <w:sz w:val="22"/>
          <w:szCs w:val="22"/>
          <w:vertAlign w:val="superscript"/>
        </w:rPr>
        <w:t>17</w:t>
      </w:r>
      <w:r w:rsidR="005E29F1" w:rsidRPr="00847152">
        <w:rPr>
          <w:rFonts w:ascii="Arial" w:hAnsi="Arial" w:cs="Arial"/>
          <w:sz w:val="22"/>
          <w:szCs w:val="22"/>
        </w:rPr>
        <w:t xml:space="preserve"> and carries particularly pronounced effects for </w:t>
      </w:r>
      <w:proofErr w:type="spellStart"/>
      <w:r w:rsidR="005E29F1" w:rsidRPr="00847152">
        <w:rPr>
          <w:rFonts w:ascii="Arial" w:hAnsi="Arial" w:cs="Arial"/>
          <w:sz w:val="22"/>
          <w:szCs w:val="22"/>
        </w:rPr>
        <w:t>autoinflammatory</w:t>
      </w:r>
      <w:proofErr w:type="spellEnd"/>
      <w:r w:rsidR="005E29F1" w:rsidRPr="00847152">
        <w:rPr>
          <w:rFonts w:ascii="Arial" w:hAnsi="Arial" w:cs="Arial"/>
          <w:sz w:val="22"/>
          <w:szCs w:val="22"/>
        </w:rPr>
        <w:t xml:space="preserve"> conditions such as psoriasis</w:t>
      </w:r>
      <w:r w:rsidR="00694E46" w:rsidRPr="00847152">
        <w:rPr>
          <w:rFonts w:ascii="Arial" w:hAnsi="Arial" w:cs="Arial"/>
          <w:sz w:val="22"/>
          <w:szCs w:val="22"/>
          <w:vertAlign w:val="superscript"/>
        </w:rPr>
        <w:t>18</w:t>
      </w:r>
      <w:r w:rsidR="005E29F1" w:rsidRPr="00847152">
        <w:rPr>
          <w:rFonts w:ascii="Arial" w:hAnsi="Arial" w:cs="Arial"/>
          <w:sz w:val="22"/>
          <w:szCs w:val="22"/>
        </w:rPr>
        <w:t>, inflammatory bowel disease</w:t>
      </w:r>
      <w:r w:rsidR="00694E46" w:rsidRPr="00847152">
        <w:rPr>
          <w:rFonts w:ascii="Arial" w:hAnsi="Arial" w:cs="Arial"/>
          <w:sz w:val="22"/>
          <w:szCs w:val="22"/>
          <w:vertAlign w:val="superscript"/>
        </w:rPr>
        <w:t>19</w:t>
      </w:r>
      <w:r w:rsidR="005E29F1" w:rsidRPr="00847152">
        <w:rPr>
          <w:rFonts w:ascii="Arial" w:hAnsi="Arial" w:cs="Arial"/>
          <w:sz w:val="22"/>
          <w:szCs w:val="22"/>
        </w:rPr>
        <w:t xml:space="preserve"> and ankylosing spondylitis.</w:t>
      </w:r>
      <w:r w:rsidR="00694E46" w:rsidRPr="00847152">
        <w:rPr>
          <w:rFonts w:ascii="Arial" w:hAnsi="Arial" w:cs="Arial"/>
          <w:sz w:val="22"/>
          <w:szCs w:val="22"/>
          <w:vertAlign w:val="superscript"/>
        </w:rPr>
        <w:t>20</w:t>
      </w:r>
      <w:proofErr w:type="gramEnd"/>
      <w:r w:rsidR="005E29F1" w:rsidRPr="00847152">
        <w:rPr>
          <w:rFonts w:ascii="Arial" w:hAnsi="Arial" w:cs="Arial"/>
          <w:sz w:val="22"/>
          <w:szCs w:val="22"/>
        </w:rPr>
        <w:t xml:space="preserve"> </w:t>
      </w:r>
    </w:p>
    <w:p w:rsidR="00F51CD3" w:rsidRPr="00847152" w:rsidRDefault="00EB3A97" w:rsidP="003172E1">
      <w:pPr>
        <w:ind w:firstLine="720"/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Both differentiation of pathogenic effector T</w:t>
      </w:r>
      <w:r w:rsidRPr="00847152">
        <w:rPr>
          <w:rFonts w:ascii="Arial" w:hAnsi="Arial" w:cs="Arial"/>
          <w:sz w:val="22"/>
          <w:szCs w:val="22"/>
          <w:vertAlign w:val="subscript"/>
        </w:rPr>
        <w:t>H</w:t>
      </w:r>
      <w:r w:rsidRPr="00847152">
        <w:rPr>
          <w:rFonts w:ascii="Arial" w:hAnsi="Arial" w:cs="Arial"/>
          <w:sz w:val="22"/>
          <w:szCs w:val="22"/>
        </w:rPr>
        <w:t>17 cells and memory T</w:t>
      </w:r>
      <w:r w:rsidRPr="00847152">
        <w:rPr>
          <w:rFonts w:ascii="Arial" w:hAnsi="Arial" w:cs="Arial"/>
          <w:sz w:val="22"/>
          <w:szCs w:val="22"/>
          <w:vertAlign w:val="subscript"/>
        </w:rPr>
        <w:t>H</w:t>
      </w:r>
      <w:r w:rsidRPr="00847152">
        <w:rPr>
          <w:rFonts w:ascii="Arial" w:hAnsi="Arial" w:cs="Arial"/>
          <w:sz w:val="22"/>
          <w:szCs w:val="22"/>
        </w:rPr>
        <w:t>17 cells are dependent on interleukin-23 (IL-23).</w:t>
      </w:r>
      <w:r w:rsidRPr="00847152">
        <w:rPr>
          <w:rFonts w:ascii="Arial" w:hAnsi="Arial" w:cs="Arial"/>
          <w:sz w:val="22"/>
          <w:szCs w:val="22"/>
          <w:vertAlign w:val="superscript"/>
        </w:rPr>
        <w:t>21,22</w:t>
      </w:r>
      <w:r w:rsidRPr="00847152">
        <w:rPr>
          <w:rFonts w:ascii="Arial" w:hAnsi="Arial" w:cs="Arial"/>
          <w:sz w:val="22"/>
          <w:szCs w:val="22"/>
        </w:rPr>
        <w:t xml:space="preserve"> </w:t>
      </w:r>
      <w:r w:rsidR="005A4C8C" w:rsidRPr="00847152">
        <w:rPr>
          <w:rFonts w:ascii="Arial" w:hAnsi="Arial" w:cs="Arial"/>
          <w:sz w:val="22"/>
          <w:szCs w:val="22"/>
        </w:rPr>
        <w:t>I</w:t>
      </w:r>
      <w:r w:rsidR="00693750" w:rsidRPr="00847152">
        <w:rPr>
          <w:rFonts w:ascii="Arial" w:hAnsi="Arial" w:cs="Arial"/>
          <w:sz w:val="22"/>
          <w:szCs w:val="22"/>
        </w:rPr>
        <w:t>L</w:t>
      </w:r>
      <w:r w:rsidR="005A4C8C" w:rsidRPr="00847152">
        <w:rPr>
          <w:rFonts w:ascii="Arial" w:hAnsi="Arial" w:cs="Arial"/>
          <w:sz w:val="22"/>
          <w:szCs w:val="22"/>
        </w:rPr>
        <w:t xml:space="preserve">-23 </w:t>
      </w:r>
      <w:r w:rsidR="00693750" w:rsidRPr="00847152">
        <w:rPr>
          <w:rFonts w:ascii="Arial" w:hAnsi="Arial" w:cs="Arial"/>
          <w:sz w:val="22"/>
          <w:szCs w:val="22"/>
        </w:rPr>
        <w:t xml:space="preserve">is a </w:t>
      </w:r>
      <w:r w:rsidR="005A4C8C" w:rsidRPr="00847152">
        <w:rPr>
          <w:rFonts w:ascii="Arial" w:hAnsi="Arial" w:cs="Arial"/>
          <w:sz w:val="22"/>
          <w:szCs w:val="22"/>
        </w:rPr>
        <w:t xml:space="preserve">heterodimer </w:t>
      </w:r>
      <w:r w:rsidR="00693750" w:rsidRPr="00847152">
        <w:rPr>
          <w:rFonts w:ascii="Arial" w:hAnsi="Arial" w:cs="Arial"/>
          <w:sz w:val="22"/>
          <w:szCs w:val="22"/>
        </w:rPr>
        <w:t xml:space="preserve">composed of p40 and p19, encoded by </w:t>
      </w:r>
      <w:r w:rsidR="00693750" w:rsidRPr="00847152">
        <w:rPr>
          <w:rFonts w:ascii="Arial" w:hAnsi="Arial" w:cs="Arial"/>
          <w:i/>
          <w:sz w:val="22"/>
          <w:szCs w:val="22"/>
        </w:rPr>
        <w:t>IL12B</w:t>
      </w:r>
      <w:r w:rsidR="00693750" w:rsidRPr="00847152">
        <w:rPr>
          <w:rFonts w:ascii="Arial" w:hAnsi="Arial" w:cs="Arial"/>
          <w:sz w:val="22"/>
          <w:szCs w:val="22"/>
        </w:rPr>
        <w:t xml:space="preserve"> and </w:t>
      </w:r>
      <w:r w:rsidR="00693750" w:rsidRPr="00847152">
        <w:rPr>
          <w:rFonts w:ascii="Arial" w:hAnsi="Arial" w:cs="Arial"/>
          <w:i/>
          <w:sz w:val="22"/>
          <w:szCs w:val="22"/>
        </w:rPr>
        <w:t>IL23A</w:t>
      </w:r>
      <w:r w:rsidR="00693750" w:rsidRPr="00847152">
        <w:rPr>
          <w:rFonts w:ascii="Arial" w:hAnsi="Arial" w:cs="Arial"/>
          <w:sz w:val="22"/>
          <w:szCs w:val="22"/>
        </w:rPr>
        <w:t xml:space="preserve">, respectively; and binds to the surface receptor interleukin-23R.  </w:t>
      </w:r>
      <w:r w:rsidR="00B3658E" w:rsidRPr="00847152">
        <w:rPr>
          <w:rFonts w:ascii="Arial" w:hAnsi="Arial" w:cs="Arial"/>
          <w:sz w:val="22"/>
          <w:szCs w:val="22"/>
        </w:rPr>
        <w:t>Stimulated by IL-23 during inflammation, activated T</w:t>
      </w:r>
      <w:r w:rsidR="00B3658E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B3658E" w:rsidRPr="00847152">
        <w:rPr>
          <w:rFonts w:ascii="Arial" w:hAnsi="Arial" w:cs="Arial"/>
          <w:sz w:val="22"/>
          <w:szCs w:val="22"/>
        </w:rPr>
        <w:t>17 cells produce IL-17A.</w:t>
      </w:r>
      <w:r w:rsidR="00B3658E" w:rsidRPr="00847152">
        <w:rPr>
          <w:rFonts w:ascii="Arial" w:hAnsi="Arial" w:cs="Arial"/>
          <w:sz w:val="22"/>
          <w:szCs w:val="22"/>
          <w:vertAlign w:val="superscript"/>
        </w:rPr>
        <w:t>2</w:t>
      </w:r>
      <w:r w:rsidR="008F25B9" w:rsidRPr="00847152">
        <w:rPr>
          <w:rFonts w:ascii="Arial" w:hAnsi="Arial" w:cs="Arial"/>
          <w:sz w:val="22"/>
          <w:szCs w:val="22"/>
          <w:vertAlign w:val="superscript"/>
        </w:rPr>
        <w:t>3</w:t>
      </w:r>
      <w:r w:rsidR="00B3658E" w:rsidRPr="00847152">
        <w:rPr>
          <w:rFonts w:ascii="Arial" w:hAnsi="Arial" w:cs="Arial"/>
          <w:sz w:val="22"/>
          <w:szCs w:val="22"/>
        </w:rPr>
        <w:t xml:space="preserve"> Following IL-17A secretion, this cytokine forms both homodimers and heterodimers with IL-17F, which </w:t>
      </w:r>
      <w:r w:rsidR="00FE3A02" w:rsidRPr="00847152">
        <w:rPr>
          <w:rFonts w:ascii="Arial" w:hAnsi="Arial" w:cs="Arial"/>
          <w:sz w:val="22"/>
          <w:szCs w:val="22"/>
        </w:rPr>
        <w:t xml:space="preserve">serve as </w:t>
      </w:r>
      <w:proofErr w:type="gramStart"/>
      <w:r w:rsidR="00FE3A02" w:rsidRPr="00847152">
        <w:rPr>
          <w:rFonts w:ascii="Arial" w:hAnsi="Arial" w:cs="Arial"/>
          <w:sz w:val="22"/>
          <w:szCs w:val="22"/>
        </w:rPr>
        <w:t>ligands which</w:t>
      </w:r>
      <w:proofErr w:type="gramEnd"/>
      <w:r w:rsidR="00FE3A02" w:rsidRPr="00847152">
        <w:rPr>
          <w:rFonts w:ascii="Arial" w:hAnsi="Arial" w:cs="Arial"/>
          <w:sz w:val="22"/>
          <w:szCs w:val="22"/>
        </w:rPr>
        <w:t xml:space="preserve"> </w:t>
      </w:r>
      <w:r w:rsidR="00B3658E" w:rsidRPr="00847152">
        <w:rPr>
          <w:rFonts w:ascii="Arial" w:hAnsi="Arial" w:cs="Arial"/>
          <w:sz w:val="22"/>
          <w:szCs w:val="22"/>
        </w:rPr>
        <w:t>bind to IL-17RA/</w:t>
      </w:r>
      <w:r w:rsidR="00780FF0" w:rsidRPr="00847152">
        <w:rPr>
          <w:rFonts w:ascii="Arial" w:hAnsi="Arial" w:cs="Arial"/>
          <w:sz w:val="22"/>
          <w:szCs w:val="22"/>
        </w:rPr>
        <w:t>IL-17RC re</w:t>
      </w:r>
      <w:r w:rsidR="00355C21" w:rsidRPr="00847152">
        <w:rPr>
          <w:rFonts w:ascii="Arial" w:hAnsi="Arial" w:cs="Arial"/>
          <w:sz w:val="22"/>
          <w:szCs w:val="22"/>
        </w:rPr>
        <w:t>ceptor complex</w:t>
      </w:r>
      <w:r w:rsidR="00780FF0" w:rsidRPr="00847152">
        <w:rPr>
          <w:rFonts w:ascii="Arial" w:hAnsi="Arial" w:cs="Arial"/>
          <w:sz w:val="22"/>
          <w:szCs w:val="22"/>
        </w:rPr>
        <w:t xml:space="preserve"> on </w:t>
      </w:r>
      <w:r w:rsidR="00B3658E" w:rsidRPr="00847152">
        <w:rPr>
          <w:rFonts w:ascii="Arial" w:hAnsi="Arial" w:cs="Arial"/>
          <w:sz w:val="22"/>
          <w:szCs w:val="22"/>
        </w:rPr>
        <w:t xml:space="preserve">several different types of immune cells.  </w:t>
      </w:r>
      <w:proofErr w:type="gramStart"/>
      <w:r w:rsidR="00093D40" w:rsidRPr="00847152">
        <w:rPr>
          <w:rFonts w:ascii="Arial" w:hAnsi="Arial" w:cs="Arial"/>
          <w:sz w:val="22"/>
          <w:szCs w:val="22"/>
        </w:rPr>
        <w:t xml:space="preserve">This IL-17 signaling results in </w:t>
      </w:r>
      <w:r w:rsidR="00355C21" w:rsidRPr="00847152">
        <w:rPr>
          <w:rFonts w:ascii="Arial" w:hAnsi="Arial" w:cs="Arial"/>
          <w:sz w:val="22"/>
          <w:szCs w:val="22"/>
        </w:rPr>
        <w:t xml:space="preserve">downstream </w:t>
      </w:r>
      <w:r w:rsidR="0071469A" w:rsidRPr="00847152">
        <w:rPr>
          <w:rFonts w:ascii="Arial" w:hAnsi="Arial" w:cs="Arial"/>
          <w:sz w:val="22"/>
          <w:szCs w:val="22"/>
        </w:rPr>
        <w:t>ACT1/</w:t>
      </w:r>
      <w:r w:rsidR="009D19AF" w:rsidRPr="00847152">
        <w:rPr>
          <w:rFonts w:ascii="Arial" w:hAnsi="Arial" w:cs="Arial"/>
          <w:sz w:val="22"/>
          <w:szCs w:val="22"/>
        </w:rPr>
        <w:t>TRAF6</w:t>
      </w:r>
      <w:r w:rsidR="0071469A" w:rsidRPr="00847152">
        <w:rPr>
          <w:rFonts w:ascii="Arial" w:hAnsi="Arial" w:cs="Arial"/>
          <w:sz w:val="22"/>
          <w:szCs w:val="22"/>
        </w:rPr>
        <w:t xml:space="preserve"> stimulation and IKK-associated kinase</w:t>
      </w:r>
      <w:r w:rsidR="00355C21" w:rsidRPr="00847152">
        <w:rPr>
          <w:rFonts w:ascii="Arial" w:hAnsi="Arial" w:cs="Arial"/>
          <w:sz w:val="22"/>
          <w:szCs w:val="22"/>
        </w:rPr>
        <w:t xml:space="preserve"> activity</w:t>
      </w:r>
      <w:r w:rsidR="00093D40" w:rsidRPr="00847152">
        <w:rPr>
          <w:rFonts w:ascii="Arial" w:hAnsi="Arial" w:cs="Arial"/>
          <w:sz w:val="22"/>
          <w:szCs w:val="22"/>
        </w:rPr>
        <w:t>, and</w:t>
      </w:r>
      <w:r w:rsidR="009D19AF" w:rsidRPr="00847152">
        <w:rPr>
          <w:rFonts w:ascii="Arial" w:hAnsi="Arial" w:cs="Arial"/>
          <w:sz w:val="22"/>
          <w:szCs w:val="22"/>
        </w:rPr>
        <w:t xml:space="preserve"> </w:t>
      </w:r>
      <w:r w:rsidR="0071469A" w:rsidRPr="00847152">
        <w:rPr>
          <w:rFonts w:ascii="Arial" w:hAnsi="Arial" w:cs="Arial"/>
          <w:sz w:val="22"/>
          <w:szCs w:val="22"/>
        </w:rPr>
        <w:t xml:space="preserve">subsequent </w:t>
      </w:r>
      <w:r w:rsidR="00093D40" w:rsidRPr="00847152">
        <w:rPr>
          <w:rFonts w:ascii="Arial" w:hAnsi="Arial" w:cs="Arial"/>
          <w:sz w:val="22"/>
          <w:szCs w:val="22"/>
        </w:rPr>
        <w:t>activation of</w:t>
      </w:r>
      <w:r w:rsidR="009D19AF" w:rsidRPr="00847152">
        <w:rPr>
          <w:rFonts w:ascii="Arial" w:hAnsi="Arial" w:cs="Arial"/>
          <w:sz w:val="22"/>
          <w:szCs w:val="22"/>
        </w:rPr>
        <w:t xml:space="preserve"> NF-</w:t>
      </w:r>
      <w:proofErr w:type="spellStart"/>
      <w:r w:rsidR="009D19AF" w:rsidRPr="00847152">
        <w:rPr>
          <w:rFonts w:ascii="Arial" w:hAnsi="Arial" w:cs="Arial"/>
          <w:sz w:val="22"/>
          <w:szCs w:val="22"/>
        </w:rPr>
        <w:t>kappaB</w:t>
      </w:r>
      <w:proofErr w:type="spellEnd"/>
      <w:r w:rsidR="009D19AF" w:rsidRPr="00847152">
        <w:rPr>
          <w:rFonts w:ascii="Arial" w:hAnsi="Arial" w:cs="Arial"/>
          <w:sz w:val="22"/>
          <w:szCs w:val="22"/>
        </w:rPr>
        <w:t>-mediated</w:t>
      </w:r>
      <w:r w:rsidR="00780FF0" w:rsidRPr="00847152">
        <w:rPr>
          <w:rFonts w:ascii="Arial" w:hAnsi="Arial" w:cs="Arial"/>
          <w:sz w:val="22"/>
          <w:szCs w:val="22"/>
        </w:rPr>
        <w:t xml:space="preserve"> expression of a variety of inflammatory responses.</w:t>
      </w:r>
      <w:r w:rsidR="008F25B9" w:rsidRPr="00847152">
        <w:rPr>
          <w:rFonts w:ascii="Arial" w:hAnsi="Arial" w:cs="Arial"/>
          <w:sz w:val="22"/>
          <w:szCs w:val="22"/>
          <w:vertAlign w:val="superscript"/>
        </w:rPr>
        <w:t>24</w:t>
      </w:r>
      <w:r w:rsidR="0071469A" w:rsidRPr="00847152">
        <w:rPr>
          <w:rFonts w:ascii="Arial" w:hAnsi="Arial" w:cs="Arial"/>
          <w:sz w:val="22"/>
          <w:szCs w:val="22"/>
          <w:vertAlign w:val="superscript"/>
        </w:rPr>
        <w:t>-</w:t>
      </w:r>
      <w:r w:rsidR="00355C21" w:rsidRPr="00847152">
        <w:rPr>
          <w:rFonts w:ascii="Arial" w:hAnsi="Arial" w:cs="Arial"/>
          <w:sz w:val="22"/>
          <w:szCs w:val="22"/>
          <w:vertAlign w:val="superscript"/>
        </w:rPr>
        <w:t>2</w:t>
      </w:r>
      <w:r w:rsidR="008F25B9" w:rsidRPr="00847152">
        <w:rPr>
          <w:rFonts w:ascii="Arial" w:hAnsi="Arial" w:cs="Arial"/>
          <w:sz w:val="22"/>
          <w:szCs w:val="22"/>
          <w:vertAlign w:val="superscript"/>
        </w:rPr>
        <w:t>6</w:t>
      </w:r>
      <w:r w:rsidR="00780FF0" w:rsidRPr="00847152">
        <w:rPr>
          <w:rFonts w:ascii="Arial" w:hAnsi="Arial" w:cs="Arial"/>
          <w:sz w:val="22"/>
          <w:szCs w:val="22"/>
        </w:rPr>
        <w:t xml:space="preserve">  </w:t>
      </w:r>
      <w:r w:rsidR="009D19AF" w:rsidRPr="00847152">
        <w:rPr>
          <w:rFonts w:ascii="Arial" w:hAnsi="Arial" w:cs="Arial"/>
          <w:sz w:val="22"/>
          <w:szCs w:val="22"/>
        </w:rPr>
        <w:t>This</w:t>
      </w:r>
      <w:r w:rsidR="005E29F1" w:rsidRPr="00847152">
        <w:rPr>
          <w:rFonts w:ascii="Arial" w:hAnsi="Arial" w:cs="Arial"/>
          <w:sz w:val="22"/>
          <w:szCs w:val="22"/>
        </w:rPr>
        <w:t xml:space="preserve"> IL-23/IL-17 axis lies at the core of T</w:t>
      </w:r>
      <w:r w:rsidR="005E29F1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5E29F1" w:rsidRPr="00847152">
        <w:rPr>
          <w:rFonts w:ascii="Arial" w:hAnsi="Arial" w:cs="Arial"/>
          <w:sz w:val="22"/>
          <w:szCs w:val="22"/>
        </w:rPr>
        <w:t>17 activity</w:t>
      </w:r>
      <w:r w:rsidR="00694E46" w:rsidRPr="00847152">
        <w:rPr>
          <w:rFonts w:ascii="Arial" w:hAnsi="Arial" w:cs="Arial"/>
          <w:sz w:val="22"/>
          <w:szCs w:val="22"/>
          <w:vertAlign w:val="superscript"/>
        </w:rPr>
        <w:t>2</w:t>
      </w:r>
      <w:r w:rsidR="008F25B9" w:rsidRPr="00847152">
        <w:rPr>
          <w:rFonts w:ascii="Arial" w:hAnsi="Arial" w:cs="Arial"/>
          <w:sz w:val="22"/>
          <w:szCs w:val="22"/>
          <w:vertAlign w:val="superscript"/>
        </w:rPr>
        <w:t>7</w:t>
      </w:r>
      <w:r w:rsidR="005E29F1" w:rsidRPr="00847152">
        <w:rPr>
          <w:rFonts w:ascii="Arial" w:hAnsi="Arial" w:cs="Arial"/>
          <w:sz w:val="22"/>
          <w:szCs w:val="22"/>
        </w:rPr>
        <w:t xml:space="preserve">, with mouse model work, cellular studies, </w:t>
      </w:r>
      <w:r w:rsidR="00CD395E" w:rsidRPr="00847152">
        <w:rPr>
          <w:rFonts w:ascii="Arial" w:hAnsi="Arial" w:cs="Arial"/>
          <w:sz w:val="22"/>
          <w:szCs w:val="22"/>
        </w:rPr>
        <w:t xml:space="preserve">human </w:t>
      </w:r>
      <w:r w:rsidR="005E29F1" w:rsidRPr="00847152">
        <w:rPr>
          <w:rFonts w:ascii="Arial" w:hAnsi="Arial" w:cs="Arial"/>
          <w:sz w:val="22"/>
          <w:szCs w:val="22"/>
        </w:rPr>
        <w:t>genetics and transcriptomics work illuminating how (</w:t>
      </w:r>
      <w:proofErr w:type="spellStart"/>
      <w:r w:rsidR="005E29F1" w:rsidRPr="00847152">
        <w:rPr>
          <w:rFonts w:ascii="Arial" w:hAnsi="Arial" w:cs="Arial"/>
          <w:sz w:val="22"/>
          <w:szCs w:val="22"/>
        </w:rPr>
        <w:t>i</w:t>
      </w:r>
      <w:proofErr w:type="spellEnd"/>
      <w:r w:rsidR="005E29F1" w:rsidRPr="00847152">
        <w:rPr>
          <w:rFonts w:ascii="Arial" w:hAnsi="Arial" w:cs="Arial"/>
          <w:sz w:val="22"/>
          <w:szCs w:val="22"/>
        </w:rPr>
        <w:t>) differentiation of T</w:t>
      </w:r>
      <w:r w:rsidR="005E29F1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5E29F1" w:rsidRPr="00847152">
        <w:rPr>
          <w:rFonts w:ascii="Arial" w:hAnsi="Arial" w:cs="Arial"/>
          <w:sz w:val="22"/>
          <w:szCs w:val="22"/>
        </w:rPr>
        <w:t>17 cells occurs mediated by IL-23 and increased IL-23R expression</w:t>
      </w:r>
      <w:r w:rsidR="00694E46" w:rsidRPr="00847152">
        <w:rPr>
          <w:rFonts w:ascii="Arial" w:hAnsi="Arial" w:cs="Arial"/>
          <w:sz w:val="22"/>
          <w:szCs w:val="22"/>
          <w:vertAlign w:val="superscript"/>
        </w:rPr>
        <w:t>2</w:t>
      </w:r>
      <w:r w:rsidR="008F25B9" w:rsidRPr="00847152">
        <w:rPr>
          <w:rFonts w:ascii="Arial" w:hAnsi="Arial" w:cs="Arial"/>
          <w:sz w:val="22"/>
          <w:szCs w:val="22"/>
          <w:vertAlign w:val="superscript"/>
        </w:rPr>
        <w:t>8</w:t>
      </w:r>
      <w:r w:rsidR="005E29F1" w:rsidRPr="00847152">
        <w:rPr>
          <w:rFonts w:ascii="Arial" w:hAnsi="Arial" w:cs="Arial"/>
          <w:sz w:val="22"/>
          <w:szCs w:val="22"/>
        </w:rPr>
        <w:t>, (ii) Foxp3+ T cells convert to T</w:t>
      </w:r>
      <w:r w:rsidR="005E29F1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5E29F1" w:rsidRPr="00847152">
        <w:rPr>
          <w:rFonts w:ascii="Arial" w:hAnsi="Arial" w:cs="Arial"/>
          <w:sz w:val="22"/>
          <w:szCs w:val="22"/>
        </w:rPr>
        <w:t>17 cells</w:t>
      </w:r>
      <w:r w:rsidR="00694E46" w:rsidRPr="00847152">
        <w:rPr>
          <w:rFonts w:ascii="Arial" w:hAnsi="Arial" w:cs="Arial"/>
          <w:sz w:val="22"/>
          <w:szCs w:val="22"/>
          <w:vertAlign w:val="superscript"/>
        </w:rPr>
        <w:t>2</w:t>
      </w:r>
      <w:r w:rsidR="008F25B9" w:rsidRPr="00847152">
        <w:rPr>
          <w:rFonts w:ascii="Arial" w:hAnsi="Arial" w:cs="Arial"/>
          <w:sz w:val="22"/>
          <w:szCs w:val="22"/>
          <w:vertAlign w:val="superscript"/>
        </w:rPr>
        <w:t>9</w:t>
      </w:r>
      <w:r w:rsidR="005E29F1" w:rsidRPr="00847152">
        <w:rPr>
          <w:rFonts w:ascii="Arial" w:hAnsi="Arial" w:cs="Arial"/>
          <w:sz w:val="22"/>
          <w:szCs w:val="22"/>
        </w:rPr>
        <w:t>, and (iii) the interplay between T</w:t>
      </w:r>
      <w:r w:rsidR="005E29F1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5E29F1" w:rsidRPr="00847152">
        <w:rPr>
          <w:rFonts w:ascii="Arial" w:hAnsi="Arial" w:cs="Arial"/>
          <w:sz w:val="22"/>
          <w:szCs w:val="22"/>
        </w:rPr>
        <w:t>1/T</w:t>
      </w:r>
      <w:r w:rsidR="005E29F1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5E29F1" w:rsidRPr="00847152">
        <w:rPr>
          <w:rFonts w:ascii="Arial" w:hAnsi="Arial" w:cs="Arial"/>
          <w:sz w:val="22"/>
          <w:szCs w:val="22"/>
        </w:rPr>
        <w:t xml:space="preserve">2 balance and </w:t>
      </w:r>
      <w:proofErr w:type="spellStart"/>
      <w:r w:rsidR="005E29F1" w:rsidRPr="00847152">
        <w:rPr>
          <w:rFonts w:ascii="Arial" w:hAnsi="Arial" w:cs="Arial"/>
          <w:sz w:val="22"/>
          <w:szCs w:val="22"/>
        </w:rPr>
        <w:t>Treg</w:t>
      </w:r>
      <w:proofErr w:type="spellEnd"/>
      <w:r w:rsidR="005E29F1" w:rsidRPr="00847152">
        <w:rPr>
          <w:rFonts w:ascii="Arial" w:hAnsi="Arial" w:cs="Arial"/>
          <w:sz w:val="22"/>
          <w:szCs w:val="22"/>
        </w:rPr>
        <w:t xml:space="preserve"> populations on T</w:t>
      </w:r>
      <w:r w:rsidR="005E29F1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5E29F1" w:rsidRPr="00847152">
        <w:rPr>
          <w:rFonts w:ascii="Arial" w:hAnsi="Arial" w:cs="Arial"/>
          <w:sz w:val="22"/>
          <w:szCs w:val="22"/>
        </w:rPr>
        <w:t>17 activity generate a pathogenic cascade.</w:t>
      </w:r>
      <w:r w:rsidR="008F25B9" w:rsidRPr="00847152">
        <w:rPr>
          <w:rFonts w:ascii="Arial" w:hAnsi="Arial" w:cs="Arial"/>
          <w:sz w:val="22"/>
          <w:szCs w:val="22"/>
          <w:vertAlign w:val="superscript"/>
        </w:rPr>
        <w:t>30</w:t>
      </w:r>
      <w:r w:rsidR="005E29F1" w:rsidRPr="00847152">
        <w:rPr>
          <w:rFonts w:ascii="Arial" w:hAnsi="Arial" w:cs="Arial"/>
          <w:sz w:val="22"/>
          <w:szCs w:val="22"/>
        </w:rPr>
        <w:t xml:space="preserve"> Importantl</w:t>
      </w:r>
      <w:r w:rsidR="00E0402C" w:rsidRPr="00847152">
        <w:rPr>
          <w:rFonts w:ascii="Arial" w:hAnsi="Arial" w:cs="Arial"/>
          <w:sz w:val="22"/>
          <w:szCs w:val="22"/>
        </w:rPr>
        <w:t>y, G</w:t>
      </w:r>
      <w:r w:rsidR="008A3E7D" w:rsidRPr="00847152">
        <w:rPr>
          <w:rFonts w:ascii="Arial" w:hAnsi="Arial" w:cs="Arial"/>
          <w:sz w:val="22"/>
          <w:szCs w:val="22"/>
        </w:rPr>
        <w:t>enome-wide association studies</w:t>
      </w:r>
      <w:r w:rsidR="00E0402C" w:rsidRPr="00847152">
        <w:rPr>
          <w:rFonts w:ascii="Arial" w:hAnsi="Arial" w:cs="Arial"/>
          <w:sz w:val="22"/>
          <w:szCs w:val="22"/>
        </w:rPr>
        <w:t xml:space="preserve"> investigating </w:t>
      </w:r>
      <w:proofErr w:type="spellStart"/>
      <w:r w:rsidR="00E0402C" w:rsidRPr="00847152">
        <w:rPr>
          <w:rFonts w:ascii="Arial" w:hAnsi="Arial" w:cs="Arial"/>
          <w:sz w:val="22"/>
          <w:szCs w:val="22"/>
        </w:rPr>
        <w:t>autoinflammatory</w:t>
      </w:r>
      <w:proofErr w:type="spellEnd"/>
      <w:r w:rsidR="00E0402C" w:rsidRPr="00847152">
        <w:rPr>
          <w:rFonts w:ascii="Arial" w:hAnsi="Arial" w:cs="Arial"/>
          <w:sz w:val="22"/>
          <w:szCs w:val="22"/>
        </w:rPr>
        <w:t xml:space="preserve"> diseases, such as ankylosing spondylitis, psoriasis, Crohn’s disease and uveitis, </w:t>
      </w:r>
      <w:r w:rsidR="005E29F1" w:rsidRPr="00847152">
        <w:rPr>
          <w:rFonts w:ascii="Arial" w:hAnsi="Arial" w:cs="Arial"/>
          <w:sz w:val="22"/>
          <w:szCs w:val="22"/>
        </w:rPr>
        <w:t xml:space="preserve">have revealed variants at </w:t>
      </w:r>
      <w:r w:rsidR="005E29F1" w:rsidRPr="00847152">
        <w:rPr>
          <w:rFonts w:ascii="Arial" w:hAnsi="Arial" w:cs="Arial"/>
          <w:i/>
          <w:sz w:val="22"/>
          <w:szCs w:val="22"/>
        </w:rPr>
        <w:t>IL23R</w:t>
      </w:r>
      <w:r w:rsidR="005E29F1" w:rsidRPr="00847152">
        <w:rPr>
          <w:rFonts w:ascii="Arial" w:hAnsi="Arial" w:cs="Arial"/>
          <w:sz w:val="22"/>
          <w:szCs w:val="22"/>
        </w:rPr>
        <w:t xml:space="preserve">, </w:t>
      </w:r>
      <w:r w:rsidR="005E29F1" w:rsidRPr="00847152">
        <w:rPr>
          <w:rFonts w:ascii="Arial" w:hAnsi="Arial" w:cs="Arial"/>
          <w:i/>
          <w:sz w:val="22"/>
          <w:szCs w:val="22"/>
        </w:rPr>
        <w:t>IL12A</w:t>
      </w:r>
      <w:r w:rsidR="005E29F1" w:rsidRPr="00847152">
        <w:rPr>
          <w:rFonts w:ascii="Arial" w:hAnsi="Arial" w:cs="Arial"/>
          <w:sz w:val="22"/>
          <w:szCs w:val="22"/>
        </w:rPr>
        <w:t xml:space="preserve">, </w:t>
      </w:r>
      <w:r w:rsidR="005E29F1" w:rsidRPr="00847152">
        <w:rPr>
          <w:rFonts w:ascii="Arial" w:hAnsi="Arial" w:cs="Arial"/>
          <w:i/>
          <w:sz w:val="22"/>
          <w:szCs w:val="22"/>
        </w:rPr>
        <w:t>IL12B</w:t>
      </w:r>
      <w:r w:rsidR="005E29F1" w:rsidRPr="00847152">
        <w:rPr>
          <w:rFonts w:ascii="Arial" w:hAnsi="Arial" w:cs="Arial"/>
          <w:sz w:val="22"/>
          <w:szCs w:val="22"/>
        </w:rPr>
        <w:t xml:space="preserve">, </w:t>
      </w:r>
      <w:r w:rsidR="00CD395E" w:rsidRPr="00847152">
        <w:rPr>
          <w:rFonts w:ascii="Arial" w:hAnsi="Arial" w:cs="Arial"/>
          <w:i/>
          <w:sz w:val="22"/>
          <w:szCs w:val="22"/>
        </w:rPr>
        <w:t>IL23A</w:t>
      </w:r>
      <w:r w:rsidR="00CD395E" w:rsidRPr="00847152">
        <w:rPr>
          <w:rFonts w:ascii="Arial" w:hAnsi="Arial" w:cs="Arial"/>
          <w:sz w:val="22"/>
          <w:szCs w:val="22"/>
        </w:rPr>
        <w:t xml:space="preserve">, </w:t>
      </w:r>
      <w:r w:rsidR="005E29F1" w:rsidRPr="00847152">
        <w:rPr>
          <w:rFonts w:ascii="Arial" w:hAnsi="Arial" w:cs="Arial"/>
          <w:i/>
          <w:sz w:val="22"/>
          <w:szCs w:val="22"/>
        </w:rPr>
        <w:t>STAT3</w:t>
      </w:r>
      <w:r w:rsidR="005E29F1" w:rsidRPr="00847152">
        <w:rPr>
          <w:rFonts w:ascii="Arial" w:hAnsi="Arial" w:cs="Arial"/>
          <w:sz w:val="22"/>
          <w:szCs w:val="22"/>
        </w:rPr>
        <w:t xml:space="preserve">, and </w:t>
      </w:r>
      <w:r w:rsidR="005E29F1" w:rsidRPr="00847152">
        <w:rPr>
          <w:rFonts w:ascii="Arial" w:hAnsi="Arial" w:cs="Arial"/>
          <w:i/>
          <w:sz w:val="22"/>
          <w:szCs w:val="22"/>
        </w:rPr>
        <w:t>IL17REL</w:t>
      </w:r>
      <w:r w:rsidR="005E29F1" w:rsidRPr="00847152">
        <w:rPr>
          <w:rFonts w:ascii="Arial" w:hAnsi="Arial" w:cs="Arial"/>
          <w:sz w:val="22"/>
          <w:szCs w:val="22"/>
        </w:rPr>
        <w:t>, thereby highlighting the specific mechanisms by which perturbations in the IL-23/IL-17 axis sets the stage for systemic autoinflammation.</w:t>
      </w:r>
      <w:r w:rsidR="00550B83" w:rsidRPr="00847152">
        <w:rPr>
          <w:rFonts w:ascii="Arial" w:hAnsi="Arial" w:cs="Arial"/>
          <w:sz w:val="22"/>
          <w:szCs w:val="22"/>
          <w:vertAlign w:val="superscript"/>
        </w:rPr>
        <w:t>31</w:t>
      </w:r>
      <w:r w:rsidR="005E29F1" w:rsidRPr="00847152">
        <w:rPr>
          <w:rFonts w:ascii="Arial" w:hAnsi="Arial" w:cs="Arial"/>
          <w:sz w:val="22"/>
          <w:szCs w:val="22"/>
          <w:vertAlign w:val="superscript"/>
        </w:rPr>
        <w:t>-</w:t>
      </w:r>
      <w:r w:rsidR="007C6427" w:rsidRPr="00847152">
        <w:rPr>
          <w:rFonts w:ascii="Arial" w:hAnsi="Arial" w:cs="Arial"/>
          <w:sz w:val="22"/>
          <w:szCs w:val="22"/>
          <w:vertAlign w:val="superscript"/>
        </w:rPr>
        <w:t>3</w:t>
      </w:r>
      <w:r w:rsidR="00550B83" w:rsidRPr="00847152">
        <w:rPr>
          <w:rFonts w:ascii="Arial" w:hAnsi="Arial" w:cs="Arial"/>
          <w:sz w:val="22"/>
          <w:szCs w:val="22"/>
          <w:vertAlign w:val="superscript"/>
        </w:rPr>
        <w:t>7</w:t>
      </w:r>
      <w:r w:rsidR="005E29F1" w:rsidRPr="00847152">
        <w:rPr>
          <w:rFonts w:ascii="Arial" w:hAnsi="Arial" w:cs="Arial"/>
          <w:sz w:val="22"/>
          <w:szCs w:val="22"/>
        </w:rPr>
        <w:t xml:space="preserve"> </w:t>
      </w:r>
      <w:r w:rsidR="00FB627A" w:rsidRPr="00847152">
        <w:rPr>
          <w:rFonts w:ascii="Arial" w:hAnsi="Arial" w:cs="Arial"/>
          <w:sz w:val="22"/>
          <w:szCs w:val="22"/>
        </w:rPr>
        <w:t>Further, cytokines, receptors and related signaling proteins in the T</w:t>
      </w:r>
      <w:r w:rsidR="00FB627A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8A3E7D" w:rsidRPr="00847152">
        <w:rPr>
          <w:rFonts w:ascii="Arial" w:hAnsi="Arial" w:cs="Arial"/>
          <w:sz w:val="22"/>
          <w:szCs w:val="22"/>
        </w:rPr>
        <w:t>17 pathway have been shown to be</w:t>
      </w:r>
      <w:r w:rsidR="00FB627A" w:rsidRPr="00847152">
        <w:rPr>
          <w:rFonts w:ascii="Arial" w:hAnsi="Arial" w:cs="Arial"/>
          <w:sz w:val="22"/>
          <w:szCs w:val="22"/>
        </w:rPr>
        <w:t xml:space="preserve"> efficaci</w:t>
      </w:r>
      <w:r w:rsidR="008A3E7D" w:rsidRPr="00847152">
        <w:rPr>
          <w:rFonts w:ascii="Arial" w:hAnsi="Arial" w:cs="Arial"/>
          <w:sz w:val="22"/>
          <w:szCs w:val="22"/>
        </w:rPr>
        <w:t xml:space="preserve">ous targets for therapeutics </w:t>
      </w:r>
      <w:r w:rsidR="00FB627A" w:rsidRPr="00847152">
        <w:rPr>
          <w:rFonts w:ascii="Arial" w:hAnsi="Arial" w:cs="Arial"/>
          <w:sz w:val="22"/>
          <w:szCs w:val="22"/>
        </w:rPr>
        <w:t>treat</w:t>
      </w:r>
      <w:r w:rsidR="008A3E7D" w:rsidRPr="00847152">
        <w:rPr>
          <w:rFonts w:ascii="Arial" w:hAnsi="Arial" w:cs="Arial"/>
          <w:sz w:val="22"/>
          <w:szCs w:val="22"/>
        </w:rPr>
        <w:t>ing</w:t>
      </w:r>
      <w:r w:rsidR="00FB627A" w:rsidRPr="008471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B627A" w:rsidRPr="00847152">
        <w:rPr>
          <w:rFonts w:ascii="Arial" w:hAnsi="Arial" w:cs="Arial"/>
          <w:sz w:val="22"/>
          <w:szCs w:val="22"/>
        </w:rPr>
        <w:t>autoinflammatory</w:t>
      </w:r>
      <w:proofErr w:type="spellEnd"/>
      <w:r w:rsidR="00FB627A" w:rsidRPr="00847152">
        <w:rPr>
          <w:rFonts w:ascii="Arial" w:hAnsi="Arial" w:cs="Arial"/>
          <w:sz w:val="22"/>
          <w:szCs w:val="22"/>
        </w:rPr>
        <w:t xml:space="preserve"> diseases.</w:t>
      </w:r>
      <w:r w:rsidR="00550B83" w:rsidRPr="00847152">
        <w:rPr>
          <w:rFonts w:ascii="Arial" w:hAnsi="Arial" w:cs="Arial"/>
          <w:sz w:val="22"/>
          <w:szCs w:val="22"/>
          <w:vertAlign w:val="superscript"/>
        </w:rPr>
        <w:t>38</w:t>
      </w:r>
      <w:r w:rsidR="007C6427" w:rsidRPr="00847152">
        <w:rPr>
          <w:rFonts w:ascii="Arial" w:hAnsi="Arial" w:cs="Arial"/>
          <w:sz w:val="22"/>
          <w:szCs w:val="22"/>
          <w:vertAlign w:val="superscript"/>
        </w:rPr>
        <w:t>-</w:t>
      </w:r>
      <w:r w:rsidR="00550B83" w:rsidRPr="00847152">
        <w:rPr>
          <w:rFonts w:ascii="Arial" w:hAnsi="Arial" w:cs="Arial"/>
          <w:sz w:val="22"/>
          <w:szCs w:val="22"/>
          <w:vertAlign w:val="superscript"/>
        </w:rPr>
        <w:t>41</w:t>
      </w:r>
      <w:r w:rsidR="00FB627A" w:rsidRPr="00847152">
        <w:rPr>
          <w:rFonts w:ascii="Arial" w:hAnsi="Arial" w:cs="Arial"/>
          <w:sz w:val="22"/>
          <w:szCs w:val="22"/>
        </w:rPr>
        <w:t xml:space="preserve"> </w:t>
      </w:r>
      <w:r w:rsidR="005E29F1" w:rsidRPr="00847152">
        <w:rPr>
          <w:rFonts w:ascii="Arial" w:hAnsi="Arial" w:cs="Arial"/>
          <w:sz w:val="22"/>
          <w:szCs w:val="22"/>
        </w:rPr>
        <w:t>Hence, T</w:t>
      </w:r>
      <w:r w:rsidR="005E29F1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5E29F1" w:rsidRPr="00847152">
        <w:rPr>
          <w:rFonts w:ascii="Arial" w:hAnsi="Arial" w:cs="Arial"/>
          <w:sz w:val="22"/>
          <w:szCs w:val="22"/>
        </w:rPr>
        <w:t>17 activity—as measured by relevant inflammatory cytokines</w:t>
      </w:r>
      <w:r w:rsidR="00CD395E" w:rsidRPr="00847152">
        <w:rPr>
          <w:rFonts w:ascii="Arial" w:hAnsi="Arial" w:cs="Arial"/>
          <w:sz w:val="22"/>
          <w:szCs w:val="22"/>
        </w:rPr>
        <w:t>, most notably IL-17A</w:t>
      </w:r>
      <w:r w:rsidR="008668AF" w:rsidRPr="00847152">
        <w:rPr>
          <w:rFonts w:ascii="Arial" w:hAnsi="Arial" w:cs="Arial"/>
          <w:sz w:val="22"/>
          <w:szCs w:val="22"/>
        </w:rPr>
        <w:t xml:space="preserve"> and IL-23</w:t>
      </w:r>
      <w:r w:rsidR="005E29F1" w:rsidRPr="00847152">
        <w:rPr>
          <w:rFonts w:ascii="Arial" w:hAnsi="Arial" w:cs="Arial"/>
          <w:sz w:val="22"/>
          <w:szCs w:val="22"/>
        </w:rPr>
        <w:t>—is a key intermediate phenotype suitable for genetic interrogation.</w:t>
      </w:r>
      <w:proofErr w:type="gramEnd"/>
      <w:r w:rsidR="005E29F1" w:rsidRPr="00847152">
        <w:rPr>
          <w:rFonts w:ascii="Arial" w:hAnsi="Arial" w:cs="Arial"/>
          <w:sz w:val="22"/>
          <w:szCs w:val="22"/>
        </w:rPr>
        <w:t xml:space="preserve"> T</w:t>
      </w:r>
      <w:r w:rsidR="005E29F1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5E29F1" w:rsidRPr="00847152">
        <w:rPr>
          <w:rFonts w:ascii="Arial" w:hAnsi="Arial" w:cs="Arial"/>
          <w:sz w:val="22"/>
          <w:szCs w:val="22"/>
        </w:rPr>
        <w:t xml:space="preserve">17 activation </w:t>
      </w:r>
      <w:proofErr w:type="gramStart"/>
      <w:r w:rsidR="005E29F1" w:rsidRPr="00847152">
        <w:rPr>
          <w:rFonts w:ascii="Arial" w:hAnsi="Arial" w:cs="Arial"/>
          <w:sz w:val="22"/>
          <w:szCs w:val="22"/>
        </w:rPr>
        <w:t>is incomplete</w:t>
      </w:r>
      <w:r w:rsidR="00CD395E" w:rsidRPr="00847152">
        <w:rPr>
          <w:rFonts w:ascii="Arial" w:hAnsi="Arial" w:cs="Arial"/>
          <w:sz w:val="22"/>
          <w:szCs w:val="22"/>
        </w:rPr>
        <w:t>ly described</w:t>
      </w:r>
      <w:proofErr w:type="gramEnd"/>
      <w:r w:rsidR="00CD395E" w:rsidRPr="00847152">
        <w:rPr>
          <w:rFonts w:ascii="Arial" w:hAnsi="Arial" w:cs="Arial"/>
          <w:sz w:val="22"/>
          <w:szCs w:val="22"/>
        </w:rPr>
        <w:t xml:space="preserve"> and the sustained </w:t>
      </w:r>
      <w:r w:rsidR="005E29F1" w:rsidRPr="00847152">
        <w:rPr>
          <w:rFonts w:ascii="Arial" w:hAnsi="Arial" w:cs="Arial"/>
          <w:sz w:val="22"/>
          <w:szCs w:val="22"/>
        </w:rPr>
        <w:t xml:space="preserve">activity thereof has never been studied genetically. </w:t>
      </w:r>
      <w:r w:rsidR="00FB627A" w:rsidRPr="00847152">
        <w:rPr>
          <w:rFonts w:ascii="Arial" w:hAnsi="Arial" w:cs="Arial"/>
          <w:sz w:val="22"/>
          <w:szCs w:val="22"/>
        </w:rPr>
        <w:t xml:space="preserve"> Conversely, absent or hypoactive T</w:t>
      </w:r>
      <w:r w:rsidR="00FB627A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FB627A" w:rsidRPr="00847152">
        <w:rPr>
          <w:rFonts w:ascii="Arial" w:hAnsi="Arial" w:cs="Arial"/>
          <w:sz w:val="22"/>
          <w:szCs w:val="22"/>
        </w:rPr>
        <w:t>17 response is also a feature in hyper-</w:t>
      </w:r>
      <w:proofErr w:type="spellStart"/>
      <w:r w:rsidR="00FB627A" w:rsidRPr="00847152">
        <w:rPr>
          <w:rFonts w:ascii="Arial" w:hAnsi="Arial" w:cs="Arial"/>
          <w:sz w:val="22"/>
          <w:szCs w:val="22"/>
        </w:rPr>
        <w:t>IgE</w:t>
      </w:r>
      <w:proofErr w:type="spellEnd"/>
      <w:r w:rsidR="00FB627A" w:rsidRPr="00847152">
        <w:rPr>
          <w:rFonts w:ascii="Arial" w:hAnsi="Arial" w:cs="Arial"/>
          <w:sz w:val="22"/>
          <w:szCs w:val="22"/>
        </w:rPr>
        <w:t xml:space="preserve"> syndrome</w:t>
      </w:r>
      <w:r w:rsidR="00C35B88" w:rsidRPr="00847152">
        <w:rPr>
          <w:rFonts w:ascii="Arial" w:hAnsi="Arial" w:cs="Arial"/>
          <w:sz w:val="22"/>
          <w:szCs w:val="22"/>
          <w:vertAlign w:val="superscript"/>
        </w:rPr>
        <w:t>4</w:t>
      </w:r>
      <w:r w:rsidR="00550B83" w:rsidRPr="00847152">
        <w:rPr>
          <w:rFonts w:ascii="Arial" w:hAnsi="Arial" w:cs="Arial"/>
          <w:sz w:val="22"/>
          <w:szCs w:val="22"/>
          <w:vertAlign w:val="superscript"/>
        </w:rPr>
        <w:t>2</w:t>
      </w:r>
      <w:r w:rsidR="00FB627A" w:rsidRPr="00847152">
        <w:rPr>
          <w:rFonts w:ascii="Arial" w:hAnsi="Arial" w:cs="Arial"/>
          <w:sz w:val="22"/>
          <w:szCs w:val="22"/>
        </w:rPr>
        <w:t xml:space="preserve"> and autosomal dominant chronic </w:t>
      </w:r>
      <w:proofErr w:type="spellStart"/>
      <w:r w:rsidR="00FB627A" w:rsidRPr="00847152">
        <w:rPr>
          <w:rFonts w:ascii="Arial" w:hAnsi="Arial" w:cs="Arial"/>
          <w:sz w:val="22"/>
          <w:szCs w:val="22"/>
        </w:rPr>
        <w:t>mucocutaneous</w:t>
      </w:r>
      <w:proofErr w:type="spellEnd"/>
      <w:r w:rsidR="00FB627A" w:rsidRPr="00847152">
        <w:rPr>
          <w:rFonts w:ascii="Arial" w:hAnsi="Arial" w:cs="Arial"/>
          <w:sz w:val="22"/>
          <w:szCs w:val="22"/>
        </w:rPr>
        <w:t xml:space="preserve"> candidiasis.</w:t>
      </w:r>
      <w:r w:rsidR="00355C21" w:rsidRPr="00847152">
        <w:rPr>
          <w:rFonts w:ascii="Arial" w:hAnsi="Arial" w:cs="Arial"/>
          <w:sz w:val="22"/>
          <w:szCs w:val="22"/>
          <w:vertAlign w:val="superscript"/>
        </w:rPr>
        <w:t>4</w:t>
      </w:r>
      <w:r w:rsidR="00550B83" w:rsidRPr="00847152">
        <w:rPr>
          <w:rFonts w:ascii="Arial" w:hAnsi="Arial" w:cs="Arial"/>
          <w:sz w:val="22"/>
          <w:szCs w:val="22"/>
          <w:vertAlign w:val="superscript"/>
        </w:rPr>
        <w:t>3</w:t>
      </w:r>
    </w:p>
    <w:p w:rsidR="00774F33" w:rsidRPr="00847152" w:rsidRDefault="00E03594" w:rsidP="003172E1">
      <w:p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As a first step to dissecting the molecular mechanisms driving susceptibility to T</w:t>
      </w:r>
      <w:r w:rsidRPr="00847152">
        <w:rPr>
          <w:rFonts w:ascii="Arial" w:hAnsi="Arial" w:cs="Arial"/>
          <w:sz w:val="22"/>
          <w:szCs w:val="22"/>
          <w:vertAlign w:val="subscript"/>
        </w:rPr>
        <w:t>H</w:t>
      </w:r>
      <w:r w:rsidRPr="00847152">
        <w:rPr>
          <w:rFonts w:ascii="Arial" w:hAnsi="Arial" w:cs="Arial"/>
          <w:sz w:val="22"/>
          <w:szCs w:val="22"/>
        </w:rPr>
        <w:t>17-mediated clinical conditions, we conducted the first IL-17A</w:t>
      </w:r>
      <w:r w:rsidR="005D5551" w:rsidRPr="00847152">
        <w:rPr>
          <w:rFonts w:ascii="Arial" w:hAnsi="Arial" w:cs="Arial"/>
          <w:sz w:val="22"/>
          <w:szCs w:val="22"/>
        </w:rPr>
        <w:t xml:space="preserve"> and IL-23</w:t>
      </w:r>
      <w:r w:rsidRPr="00847152">
        <w:rPr>
          <w:rFonts w:ascii="Arial" w:hAnsi="Arial" w:cs="Arial"/>
          <w:sz w:val="22"/>
          <w:szCs w:val="22"/>
        </w:rPr>
        <w:t xml:space="preserve"> protein-QTL study using samples from a homogenous population from Central Wisconsin.</w:t>
      </w:r>
      <w:r w:rsidR="00802AFD" w:rsidRPr="00847152">
        <w:rPr>
          <w:rFonts w:ascii="Arial" w:hAnsi="Arial" w:cs="Arial"/>
          <w:sz w:val="22"/>
          <w:szCs w:val="22"/>
        </w:rPr>
        <w:t xml:space="preserve">  This study </w:t>
      </w:r>
      <w:proofErr w:type="gramStart"/>
      <w:r w:rsidR="00802AFD" w:rsidRPr="00847152">
        <w:rPr>
          <w:rFonts w:ascii="Arial" w:hAnsi="Arial" w:cs="Arial"/>
          <w:sz w:val="22"/>
          <w:szCs w:val="22"/>
        </w:rPr>
        <w:t>is des</w:t>
      </w:r>
      <w:r w:rsidR="005D5551" w:rsidRPr="00847152">
        <w:rPr>
          <w:rFonts w:ascii="Arial" w:hAnsi="Arial" w:cs="Arial"/>
          <w:sz w:val="22"/>
          <w:szCs w:val="22"/>
        </w:rPr>
        <w:t>igned</w:t>
      </w:r>
      <w:proofErr w:type="gramEnd"/>
      <w:r w:rsidR="005D5551" w:rsidRPr="00847152">
        <w:rPr>
          <w:rFonts w:ascii="Arial" w:hAnsi="Arial" w:cs="Arial"/>
          <w:sz w:val="22"/>
          <w:szCs w:val="22"/>
        </w:rPr>
        <w:t xml:space="preserve"> to measure baseline cytokine</w:t>
      </w:r>
      <w:r w:rsidR="00802AFD" w:rsidRPr="00847152">
        <w:rPr>
          <w:rFonts w:ascii="Arial" w:hAnsi="Arial" w:cs="Arial"/>
          <w:sz w:val="22"/>
          <w:szCs w:val="22"/>
        </w:rPr>
        <w:t xml:space="preserve"> protein levels in a large population and uncover genetic variants and genes correlated with </w:t>
      </w:r>
      <w:r w:rsidR="005D5551" w:rsidRPr="00847152">
        <w:rPr>
          <w:rFonts w:ascii="Arial" w:hAnsi="Arial" w:cs="Arial"/>
          <w:sz w:val="22"/>
          <w:szCs w:val="22"/>
        </w:rPr>
        <w:t>these markers of T</w:t>
      </w:r>
      <w:r w:rsidR="005D5551" w:rsidRPr="00847152">
        <w:rPr>
          <w:rFonts w:ascii="Arial" w:hAnsi="Arial" w:cs="Arial"/>
          <w:sz w:val="22"/>
          <w:szCs w:val="22"/>
          <w:vertAlign w:val="subscript"/>
        </w:rPr>
        <w:t>H</w:t>
      </w:r>
      <w:r w:rsidR="005D5551" w:rsidRPr="00847152">
        <w:rPr>
          <w:rFonts w:ascii="Arial" w:hAnsi="Arial" w:cs="Arial"/>
          <w:sz w:val="22"/>
          <w:szCs w:val="22"/>
        </w:rPr>
        <w:t>17 activity</w:t>
      </w:r>
      <w:r w:rsidR="00802AFD" w:rsidRPr="00847152">
        <w:rPr>
          <w:rFonts w:ascii="Arial" w:hAnsi="Arial" w:cs="Arial"/>
          <w:sz w:val="22"/>
          <w:szCs w:val="22"/>
        </w:rPr>
        <w:t xml:space="preserve">.    </w:t>
      </w:r>
      <w:r w:rsidRPr="00847152">
        <w:rPr>
          <w:rFonts w:ascii="Arial" w:hAnsi="Arial" w:cs="Arial"/>
          <w:sz w:val="22"/>
          <w:szCs w:val="22"/>
        </w:rPr>
        <w:t xml:space="preserve">  </w:t>
      </w:r>
    </w:p>
    <w:p w:rsidR="00774F33" w:rsidRPr="00847152" w:rsidRDefault="00774F33" w:rsidP="003172E1">
      <w:pPr>
        <w:jc w:val="both"/>
        <w:rPr>
          <w:rFonts w:ascii="Arial" w:hAnsi="Arial" w:cs="Arial"/>
          <w:sz w:val="22"/>
          <w:szCs w:val="22"/>
        </w:rPr>
      </w:pPr>
    </w:p>
    <w:p w:rsidR="00E03594" w:rsidRPr="00847152" w:rsidRDefault="00774F33" w:rsidP="003172E1">
      <w:pPr>
        <w:jc w:val="both"/>
        <w:rPr>
          <w:rFonts w:ascii="Arial" w:hAnsi="Arial" w:cs="Arial"/>
          <w:b/>
          <w:sz w:val="22"/>
          <w:szCs w:val="22"/>
        </w:rPr>
      </w:pPr>
      <w:r w:rsidRPr="00847152">
        <w:rPr>
          <w:rFonts w:ascii="Arial" w:hAnsi="Arial" w:cs="Arial"/>
          <w:b/>
          <w:sz w:val="22"/>
          <w:szCs w:val="22"/>
        </w:rPr>
        <w:t>Materials and Methods</w:t>
      </w:r>
      <w:r w:rsidR="00E03594" w:rsidRPr="00847152">
        <w:rPr>
          <w:rFonts w:ascii="Arial" w:hAnsi="Arial" w:cs="Arial"/>
          <w:b/>
          <w:sz w:val="22"/>
          <w:szCs w:val="22"/>
        </w:rPr>
        <w:t xml:space="preserve">   </w:t>
      </w:r>
    </w:p>
    <w:p w:rsidR="0016036D" w:rsidRPr="00847152" w:rsidRDefault="0016036D" w:rsidP="003172E1">
      <w:pPr>
        <w:jc w:val="both"/>
        <w:rPr>
          <w:rFonts w:ascii="Arial" w:hAnsi="Arial" w:cs="Arial"/>
          <w:b/>
          <w:i/>
          <w:sz w:val="22"/>
          <w:szCs w:val="22"/>
        </w:rPr>
      </w:pPr>
      <w:r w:rsidRPr="00847152">
        <w:rPr>
          <w:rFonts w:ascii="Arial" w:hAnsi="Arial" w:cs="Arial"/>
          <w:b/>
          <w:i/>
          <w:sz w:val="22"/>
          <w:szCs w:val="22"/>
        </w:rPr>
        <w:t>Central Wisconsin Population</w:t>
      </w:r>
    </w:p>
    <w:p w:rsidR="00BD4213" w:rsidRPr="00847152" w:rsidRDefault="00BD4213" w:rsidP="003172E1">
      <w:p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Individuals selected for this study were derived from the Personalized Medicine Research Project (PMRP) at the Marshfield Clinic Research Foundation.</w:t>
      </w:r>
      <w:r w:rsidRPr="00847152">
        <w:rPr>
          <w:rFonts w:ascii="Arial" w:hAnsi="Arial" w:cs="Arial"/>
          <w:sz w:val="22"/>
          <w:szCs w:val="22"/>
          <w:vertAlign w:val="superscript"/>
        </w:rPr>
        <w:t>4</w:t>
      </w:r>
      <w:r w:rsidR="00550B83" w:rsidRPr="00847152">
        <w:rPr>
          <w:rFonts w:ascii="Arial" w:hAnsi="Arial" w:cs="Arial"/>
          <w:sz w:val="22"/>
          <w:szCs w:val="22"/>
          <w:vertAlign w:val="superscript"/>
        </w:rPr>
        <w:t>4</w:t>
      </w:r>
      <w:r w:rsidRPr="0084715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47152">
        <w:rPr>
          <w:rFonts w:ascii="Arial" w:hAnsi="Arial" w:cs="Arial"/>
          <w:sz w:val="22"/>
          <w:szCs w:val="22"/>
        </w:rPr>
        <w:t>The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genetically-homogeneous, founder population in rural Central Wisconsin is the source for PMRP samples.</w:t>
      </w:r>
      <w:r w:rsidR="00456721" w:rsidRPr="00847152">
        <w:rPr>
          <w:rFonts w:ascii="Arial" w:hAnsi="Arial" w:cs="Arial"/>
          <w:sz w:val="22"/>
          <w:szCs w:val="22"/>
        </w:rPr>
        <w:t xml:space="preserve">  All PMRP participants are adults.  This stationary population </w:t>
      </w:r>
      <w:proofErr w:type="gramStart"/>
      <w:r w:rsidR="00456721" w:rsidRPr="00847152">
        <w:rPr>
          <w:rFonts w:ascii="Arial" w:hAnsi="Arial" w:cs="Arial"/>
          <w:sz w:val="22"/>
          <w:szCs w:val="22"/>
        </w:rPr>
        <w:t>is largely derived</w:t>
      </w:r>
      <w:proofErr w:type="gramEnd"/>
      <w:r w:rsidR="00456721" w:rsidRPr="00847152">
        <w:rPr>
          <w:rFonts w:ascii="Arial" w:hAnsi="Arial" w:cs="Arial"/>
          <w:sz w:val="22"/>
          <w:szCs w:val="22"/>
        </w:rPr>
        <w:t xml:space="preserve"> from Bavarian migrants in the late-1800s and carries high utility for genetic mapping efforts through minimization of confounding by population stratification and reduction in allelic heterogeneity.  </w:t>
      </w:r>
      <w:r w:rsidR="00FF4DD5" w:rsidRPr="00847152">
        <w:rPr>
          <w:rFonts w:ascii="Arial" w:hAnsi="Arial" w:cs="Arial"/>
          <w:sz w:val="22"/>
          <w:szCs w:val="22"/>
        </w:rPr>
        <w:t xml:space="preserve">All PMRP individuals have linked longitudinal medical records including ICD9 codes, medical procedures, prescriptions, clinical assessment data, and laboratory test results. </w:t>
      </w:r>
      <w:r w:rsidR="00456721" w:rsidRPr="00847152">
        <w:rPr>
          <w:rFonts w:ascii="Arial" w:hAnsi="Arial" w:cs="Arial"/>
          <w:sz w:val="22"/>
          <w:szCs w:val="22"/>
        </w:rPr>
        <w:t xml:space="preserve">Environmental exposures </w:t>
      </w:r>
      <w:proofErr w:type="gramStart"/>
      <w:r w:rsidR="00456721" w:rsidRPr="00847152">
        <w:rPr>
          <w:rFonts w:ascii="Arial" w:hAnsi="Arial" w:cs="Arial"/>
          <w:sz w:val="22"/>
          <w:szCs w:val="22"/>
        </w:rPr>
        <w:t>are thought</w:t>
      </w:r>
      <w:proofErr w:type="gramEnd"/>
      <w:r w:rsidR="00456721" w:rsidRPr="00847152">
        <w:rPr>
          <w:rFonts w:ascii="Arial" w:hAnsi="Arial" w:cs="Arial"/>
          <w:sz w:val="22"/>
          <w:szCs w:val="22"/>
        </w:rPr>
        <w:t xml:space="preserve"> to be relatively uniform across the population and migration rates are low.  The PMRP </w:t>
      </w:r>
      <w:proofErr w:type="gramStart"/>
      <w:r w:rsidR="00456721" w:rsidRPr="00847152">
        <w:rPr>
          <w:rFonts w:ascii="Arial" w:hAnsi="Arial" w:cs="Arial"/>
          <w:sz w:val="22"/>
          <w:szCs w:val="22"/>
        </w:rPr>
        <w:t>has been effectively used</w:t>
      </w:r>
      <w:proofErr w:type="gramEnd"/>
      <w:r w:rsidR="00456721" w:rsidRPr="00847152">
        <w:rPr>
          <w:rFonts w:ascii="Arial" w:hAnsi="Arial" w:cs="Arial"/>
          <w:sz w:val="22"/>
          <w:szCs w:val="22"/>
        </w:rPr>
        <w:t xml:space="preserve"> to map disease genes and study clinically relevant traits.</w:t>
      </w:r>
      <w:r w:rsidR="00550B83" w:rsidRPr="00847152">
        <w:rPr>
          <w:rFonts w:ascii="Arial" w:hAnsi="Arial" w:cs="Arial"/>
          <w:sz w:val="22"/>
          <w:szCs w:val="22"/>
          <w:vertAlign w:val="superscript"/>
        </w:rPr>
        <w:t>45</w:t>
      </w:r>
      <w:r w:rsidR="00456721" w:rsidRPr="00847152">
        <w:rPr>
          <w:rFonts w:ascii="Arial" w:hAnsi="Arial" w:cs="Arial"/>
          <w:sz w:val="22"/>
          <w:szCs w:val="22"/>
          <w:vertAlign w:val="superscript"/>
        </w:rPr>
        <w:t>-4</w:t>
      </w:r>
      <w:r w:rsidR="00550B83" w:rsidRPr="00847152">
        <w:rPr>
          <w:rFonts w:ascii="Arial" w:hAnsi="Arial" w:cs="Arial"/>
          <w:sz w:val="22"/>
          <w:szCs w:val="22"/>
          <w:vertAlign w:val="superscript"/>
        </w:rPr>
        <w:t>9</w:t>
      </w:r>
      <w:r w:rsidRPr="00847152">
        <w:rPr>
          <w:rFonts w:ascii="Arial" w:hAnsi="Arial" w:cs="Arial"/>
          <w:sz w:val="22"/>
          <w:szCs w:val="22"/>
        </w:rPr>
        <w:t xml:space="preserve">   </w:t>
      </w:r>
    </w:p>
    <w:p w:rsidR="00665A1F" w:rsidRPr="00847152" w:rsidRDefault="00665A1F" w:rsidP="003172E1">
      <w:pPr>
        <w:jc w:val="both"/>
        <w:rPr>
          <w:rFonts w:ascii="Arial" w:hAnsi="Arial" w:cs="Arial"/>
          <w:sz w:val="22"/>
          <w:szCs w:val="22"/>
        </w:rPr>
      </w:pPr>
    </w:p>
    <w:p w:rsidR="0016036D" w:rsidRPr="00847152" w:rsidRDefault="0016036D" w:rsidP="003172E1">
      <w:pPr>
        <w:jc w:val="both"/>
        <w:rPr>
          <w:rFonts w:ascii="Arial" w:hAnsi="Arial" w:cs="Arial"/>
          <w:b/>
          <w:i/>
          <w:sz w:val="22"/>
          <w:szCs w:val="22"/>
        </w:rPr>
      </w:pPr>
      <w:r w:rsidRPr="00847152">
        <w:rPr>
          <w:rFonts w:ascii="Arial" w:hAnsi="Arial" w:cs="Arial"/>
          <w:b/>
          <w:i/>
          <w:sz w:val="22"/>
          <w:szCs w:val="22"/>
        </w:rPr>
        <w:t>Selection of Individuals</w:t>
      </w:r>
    </w:p>
    <w:p w:rsidR="0016036D" w:rsidRPr="00847152" w:rsidRDefault="00C31E42" w:rsidP="003172E1">
      <w:p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Blood samples </w:t>
      </w:r>
      <w:proofErr w:type="gramStart"/>
      <w:r w:rsidRPr="00847152">
        <w:rPr>
          <w:rFonts w:ascii="Arial" w:hAnsi="Arial" w:cs="Arial"/>
          <w:sz w:val="22"/>
          <w:szCs w:val="22"/>
        </w:rPr>
        <w:t>were collected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a</w:t>
      </w:r>
      <w:r w:rsidR="00AE513B">
        <w:rPr>
          <w:rFonts w:ascii="Arial" w:hAnsi="Arial" w:cs="Arial"/>
          <w:sz w:val="22"/>
          <w:szCs w:val="22"/>
        </w:rPr>
        <w:t xml:space="preserve">t the time of PMRP enrollment. </w:t>
      </w:r>
      <w:r w:rsidRPr="00847152">
        <w:rPr>
          <w:rFonts w:ascii="Arial" w:hAnsi="Arial" w:cs="Arial"/>
          <w:sz w:val="22"/>
          <w:szCs w:val="22"/>
        </w:rPr>
        <w:t>Of the PMRP individuals, ~4,500 have been gen</w:t>
      </w:r>
      <w:r w:rsidR="00940A18" w:rsidRPr="00847152">
        <w:rPr>
          <w:rFonts w:ascii="Arial" w:hAnsi="Arial" w:cs="Arial"/>
          <w:sz w:val="22"/>
          <w:szCs w:val="22"/>
        </w:rPr>
        <w:t>otyped on the Illumina 660W-Quad</w:t>
      </w:r>
      <w:r w:rsidRPr="00847152">
        <w:rPr>
          <w:rFonts w:ascii="Arial" w:hAnsi="Arial" w:cs="Arial"/>
          <w:sz w:val="22"/>
          <w:szCs w:val="22"/>
        </w:rPr>
        <w:t xml:space="preserve"> array, capturing common genetic variation across the entire genome. </w:t>
      </w:r>
      <w:r w:rsidR="00FF4DD5" w:rsidRPr="00847152">
        <w:rPr>
          <w:rFonts w:ascii="Arial" w:hAnsi="Arial" w:cs="Arial"/>
          <w:sz w:val="22"/>
          <w:szCs w:val="22"/>
        </w:rPr>
        <w:t xml:space="preserve"> </w:t>
      </w:r>
      <w:r w:rsidR="005F4166" w:rsidRPr="00847152">
        <w:rPr>
          <w:rFonts w:ascii="Arial" w:hAnsi="Arial" w:cs="Arial"/>
          <w:sz w:val="22"/>
          <w:szCs w:val="22"/>
        </w:rPr>
        <w:t xml:space="preserve">All of these genotyped individuals were &gt;50 years old.  </w:t>
      </w:r>
      <w:r w:rsidR="00FF4DD5" w:rsidRPr="00847152">
        <w:rPr>
          <w:rFonts w:ascii="Arial" w:hAnsi="Arial" w:cs="Arial"/>
          <w:sz w:val="22"/>
          <w:szCs w:val="22"/>
        </w:rPr>
        <w:t xml:space="preserve">These data </w:t>
      </w:r>
      <w:proofErr w:type="gramStart"/>
      <w:r w:rsidR="00FF4DD5" w:rsidRPr="00847152">
        <w:rPr>
          <w:rFonts w:ascii="Arial" w:hAnsi="Arial" w:cs="Arial"/>
          <w:sz w:val="22"/>
          <w:szCs w:val="22"/>
        </w:rPr>
        <w:t>have been subjected</w:t>
      </w:r>
      <w:proofErr w:type="gramEnd"/>
      <w:r w:rsidR="00FF4DD5" w:rsidRPr="00847152">
        <w:rPr>
          <w:rFonts w:ascii="Arial" w:hAnsi="Arial" w:cs="Arial"/>
          <w:sz w:val="22"/>
          <w:szCs w:val="22"/>
        </w:rPr>
        <w:t xml:space="preserve"> to quality control procedures including sample randomization, genotype concordance testing on replicates, PCA analysis for genetic outliers, and Hardy-Weinberg equilibrium testing.  </w:t>
      </w:r>
      <w:r w:rsidR="00802724" w:rsidRPr="00847152">
        <w:rPr>
          <w:rFonts w:ascii="Arial" w:hAnsi="Arial" w:cs="Arial"/>
          <w:sz w:val="22"/>
          <w:szCs w:val="22"/>
        </w:rPr>
        <w:t xml:space="preserve">Individuals </w:t>
      </w:r>
      <w:proofErr w:type="gramStart"/>
      <w:r w:rsidR="00802724" w:rsidRPr="00847152">
        <w:rPr>
          <w:rFonts w:ascii="Arial" w:hAnsi="Arial" w:cs="Arial"/>
          <w:sz w:val="22"/>
          <w:szCs w:val="22"/>
        </w:rPr>
        <w:t>were excluded</w:t>
      </w:r>
      <w:proofErr w:type="gramEnd"/>
      <w:r w:rsidR="00802724" w:rsidRPr="00847152">
        <w:rPr>
          <w:rFonts w:ascii="Arial" w:hAnsi="Arial" w:cs="Arial"/>
          <w:sz w:val="22"/>
          <w:szCs w:val="22"/>
        </w:rPr>
        <w:t xml:space="preserve"> </w:t>
      </w:r>
      <w:r w:rsidR="009C5E4A" w:rsidRPr="00847152">
        <w:rPr>
          <w:rFonts w:ascii="Arial" w:hAnsi="Arial" w:cs="Arial"/>
          <w:sz w:val="22"/>
          <w:szCs w:val="22"/>
        </w:rPr>
        <w:t xml:space="preserve">based on an outlier analysis </w:t>
      </w:r>
      <w:r w:rsidR="009C5E4A" w:rsidRPr="00847152">
        <w:rPr>
          <w:rFonts w:ascii="Arial" w:hAnsi="Arial" w:cs="Arial"/>
          <w:sz w:val="22"/>
          <w:szCs w:val="22"/>
        </w:rPr>
        <w:lastRenderedPageBreak/>
        <w:t xml:space="preserve">from the first two principle components derived from the GWAS data. </w:t>
      </w:r>
      <w:r w:rsidR="00802724" w:rsidRPr="00847152">
        <w:rPr>
          <w:rFonts w:ascii="Arial" w:hAnsi="Arial" w:cs="Arial"/>
          <w:sz w:val="22"/>
          <w:szCs w:val="22"/>
        </w:rPr>
        <w:t xml:space="preserve"> </w:t>
      </w:r>
      <w:r w:rsidR="00FF4DD5" w:rsidRPr="00847152">
        <w:rPr>
          <w:rFonts w:ascii="Arial" w:hAnsi="Arial" w:cs="Arial"/>
          <w:sz w:val="22"/>
          <w:szCs w:val="22"/>
        </w:rPr>
        <w:t>To diminish effects of inflated cytokine expression from transient inflammation stimulated from acute infection, only individuals without evidence of acute</w:t>
      </w:r>
      <w:r w:rsidR="006C2814" w:rsidRPr="00847152">
        <w:rPr>
          <w:rFonts w:ascii="Arial" w:hAnsi="Arial" w:cs="Arial"/>
          <w:sz w:val="22"/>
          <w:szCs w:val="22"/>
        </w:rPr>
        <w:t xml:space="preserve"> infection +/- two</w:t>
      </w:r>
      <w:r w:rsidR="00F717A4" w:rsidRPr="00847152">
        <w:rPr>
          <w:rFonts w:ascii="Arial" w:hAnsi="Arial" w:cs="Arial"/>
          <w:sz w:val="22"/>
          <w:szCs w:val="22"/>
        </w:rPr>
        <w:t xml:space="preserve"> weeks of PMRP enrollment were included in the study.  Evidence of acute infection consisted of either a temperature reading in excess of 37.7</w:t>
      </w:r>
      <w:r w:rsidR="00F717A4" w:rsidRPr="00847152">
        <w:rPr>
          <w:rFonts w:ascii="Arial" w:hAnsi="Arial" w:cs="Arial"/>
          <w:sz w:val="22"/>
          <w:szCs w:val="22"/>
          <w:vertAlign w:val="superscript"/>
        </w:rPr>
        <w:t>o</w:t>
      </w:r>
      <w:r w:rsidR="00F717A4" w:rsidRPr="00847152">
        <w:rPr>
          <w:rFonts w:ascii="Arial" w:hAnsi="Arial" w:cs="Arial"/>
          <w:sz w:val="22"/>
          <w:szCs w:val="22"/>
        </w:rPr>
        <w:t xml:space="preserve">C, an </w:t>
      </w:r>
      <w:proofErr w:type="spellStart"/>
      <w:r w:rsidR="00F717A4" w:rsidRPr="00847152">
        <w:rPr>
          <w:rFonts w:ascii="Arial" w:hAnsi="Arial" w:cs="Arial"/>
          <w:sz w:val="22"/>
          <w:szCs w:val="22"/>
        </w:rPr>
        <w:t>hs</w:t>
      </w:r>
      <w:proofErr w:type="spellEnd"/>
      <w:r w:rsidR="00F717A4" w:rsidRPr="00847152">
        <w:rPr>
          <w:rFonts w:ascii="Arial" w:hAnsi="Arial" w:cs="Arial"/>
          <w:sz w:val="22"/>
          <w:szCs w:val="22"/>
        </w:rPr>
        <w:t>-CRP reading &gt;3.0, or an abnorma</w:t>
      </w:r>
      <w:r w:rsidR="00074C7B" w:rsidRPr="00847152">
        <w:rPr>
          <w:rFonts w:ascii="Arial" w:hAnsi="Arial" w:cs="Arial"/>
          <w:sz w:val="22"/>
          <w:szCs w:val="22"/>
        </w:rPr>
        <w:t>l white blood cell count of &lt;4.3x10</w:t>
      </w:r>
      <w:r w:rsidR="00074C7B" w:rsidRPr="00847152">
        <w:rPr>
          <w:rFonts w:ascii="Arial" w:hAnsi="Arial" w:cs="Arial"/>
          <w:sz w:val="22"/>
          <w:szCs w:val="22"/>
          <w:vertAlign w:val="superscript"/>
        </w:rPr>
        <w:t>9</w:t>
      </w:r>
      <w:r w:rsidR="00074C7B" w:rsidRPr="00847152">
        <w:rPr>
          <w:rFonts w:ascii="Arial" w:hAnsi="Arial" w:cs="Arial"/>
          <w:sz w:val="22"/>
          <w:szCs w:val="22"/>
        </w:rPr>
        <w:t xml:space="preserve"> cells/L or &gt;10.8x10</w:t>
      </w:r>
      <w:r w:rsidR="00074C7B" w:rsidRPr="00847152">
        <w:rPr>
          <w:rFonts w:ascii="Arial" w:hAnsi="Arial" w:cs="Arial"/>
          <w:sz w:val="22"/>
          <w:szCs w:val="22"/>
          <w:vertAlign w:val="superscript"/>
        </w:rPr>
        <w:t>9</w:t>
      </w:r>
      <w:r w:rsidR="00074C7B" w:rsidRPr="00847152">
        <w:rPr>
          <w:rFonts w:ascii="Arial" w:hAnsi="Arial" w:cs="Arial"/>
          <w:sz w:val="22"/>
          <w:szCs w:val="22"/>
        </w:rPr>
        <w:t xml:space="preserve"> cells/</w:t>
      </w:r>
      <w:r w:rsidR="00F717A4" w:rsidRPr="00847152">
        <w:rPr>
          <w:rFonts w:ascii="Arial" w:hAnsi="Arial" w:cs="Arial"/>
          <w:sz w:val="22"/>
          <w:szCs w:val="22"/>
        </w:rPr>
        <w:t xml:space="preserve">L.  </w:t>
      </w:r>
      <w:r w:rsidR="006C2814" w:rsidRPr="00847152">
        <w:rPr>
          <w:rFonts w:ascii="Arial" w:hAnsi="Arial" w:cs="Arial"/>
          <w:sz w:val="22"/>
          <w:szCs w:val="22"/>
        </w:rPr>
        <w:t xml:space="preserve">Similarly, a record of immunization within two weeks prior to enrollment was also an exclusion criterion.  Lastly, a record of immunosuppressive drug prescription within three months prior to enrollment was also an exclusion criterion.  In total, </w:t>
      </w:r>
      <w:r w:rsidR="00F717A4" w:rsidRPr="00847152">
        <w:rPr>
          <w:rFonts w:ascii="Arial" w:hAnsi="Arial" w:cs="Arial"/>
          <w:sz w:val="22"/>
          <w:szCs w:val="22"/>
        </w:rPr>
        <w:t xml:space="preserve">249 </w:t>
      </w:r>
      <w:r w:rsidR="006C2814" w:rsidRPr="00847152">
        <w:rPr>
          <w:rFonts w:ascii="Arial" w:hAnsi="Arial" w:cs="Arial"/>
          <w:sz w:val="22"/>
          <w:szCs w:val="22"/>
        </w:rPr>
        <w:t xml:space="preserve">individuals satisfied one or more of these exclusion criteria and therefore removed from the study.   </w:t>
      </w:r>
      <w:r w:rsidR="00FF4DD5" w:rsidRPr="00847152">
        <w:rPr>
          <w:rFonts w:ascii="Arial" w:hAnsi="Arial" w:cs="Arial"/>
          <w:sz w:val="22"/>
          <w:szCs w:val="22"/>
        </w:rPr>
        <w:t xml:space="preserve">  </w:t>
      </w:r>
    </w:p>
    <w:p w:rsidR="00665A1F" w:rsidRPr="00847152" w:rsidRDefault="00665A1F" w:rsidP="003172E1">
      <w:pPr>
        <w:jc w:val="both"/>
        <w:rPr>
          <w:rFonts w:ascii="Arial" w:hAnsi="Arial" w:cs="Arial"/>
          <w:sz w:val="22"/>
          <w:szCs w:val="22"/>
        </w:rPr>
      </w:pPr>
    </w:p>
    <w:p w:rsidR="00C8631A" w:rsidRPr="00847152" w:rsidRDefault="00C8631A" w:rsidP="003172E1">
      <w:pPr>
        <w:jc w:val="both"/>
        <w:rPr>
          <w:rFonts w:ascii="Arial" w:hAnsi="Arial" w:cs="Arial"/>
          <w:b/>
          <w:i/>
          <w:sz w:val="22"/>
          <w:szCs w:val="22"/>
        </w:rPr>
      </w:pPr>
      <w:r w:rsidRPr="00847152">
        <w:rPr>
          <w:rFonts w:ascii="Arial" w:hAnsi="Arial" w:cs="Arial"/>
          <w:b/>
          <w:i/>
          <w:sz w:val="22"/>
          <w:szCs w:val="22"/>
        </w:rPr>
        <w:t>Experimental Design</w:t>
      </w:r>
    </w:p>
    <w:p w:rsidR="00C8631A" w:rsidRPr="00847152" w:rsidRDefault="00565A59" w:rsidP="003172E1">
      <w:p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The study </w:t>
      </w:r>
      <w:proofErr w:type="gramStart"/>
      <w:r w:rsidRPr="00847152">
        <w:rPr>
          <w:rFonts w:ascii="Arial" w:hAnsi="Arial" w:cs="Arial"/>
          <w:sz w:val="22"/>
          <w:szCs w:val="22"/>
        </w:rPr>
        <w:t>was conducted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in two phases: a discovery phase with</w:t>
      </w:r>
      <w:r w:rsidR="002C24CF" w:rsidRPr="00847152">
        <w:rPr>
          <w:rFonts w:ascii="Arial" w:hAnsi="Arial" w:cs="Arial"/>
          <w:sz w:val="22"/>
          <w:szCs w:val="22"/>
        </w:rPr>
        <w:t xml:space="preserve"> 1,015 subjects and a replication phase with 1,000 subjects.  All subjects were genotyped on the Illumina 660W-Quad array.  All subjects had plasma concentrations of </w:t>
      </w:r>
      <w:r w:rsidR="000E1CB7" w:rsidRPr="00847152">
        <w:rPr>
          <w:rFonts w:ascii="Arial" w:hAnsi="Arial" w:cs="Arial"/>
          <w:sz w:val="22"/>
          <w:szCs w:val="22"/>
        </w:rPr>
        <w:t xml:space="preserve">IL-23 and </w:t>
      </w:r>
      <w:r w:rsidR="002C24CF" w:rsidRPr="00847152">
        <w:rPr>
          <w:rFonts w:ascii="Arial" w:hAnsi="Arial" w:cs="Arial"/>
          <w:sz w:val="22"/>
          <w:szCs w:val="22"/>
        </w:rPr>
        <w:t xml:space="preserve">IL-17A levels determined on the MSD platform.  </w:t>
      </w:r>
      <w:r w:rsidR="005C1D6C" w:rsidRPr="00847152">
        <w:rPr>
          <w:rFonts w:ascii="Arial" w:hAnsi="Arial" w:cs="Arial"/>
          <w:sz w:val="22"/>
          <w:szCs w:val="22"/>
        </w:rPr>
        <w:t xml:space="preserve">Following the results from </w:t>
      </w:r>
      <w:proofErr w:type="spellStart"/>
      <w:r w:rsidR="005C1D6C" w:rsidRPr="00847152">
        <w:rPr>
          <w:rFonts w:ascii="Arial" w:hAnsi="Arial" w:cs="Arial"/>
          <w:sz w:val="22"/>
          <w:szCs w:val="22"/>
        </w:rPr>
        <w:t>Skol</w:t>
      </w:r>
      <w:proofErr w:type="spellEnd"/>
      <w:r w:rsidR="005C1D6C" w:rsidRPr="00847152">
        <w:rPr>
          <w:rFonts w:ascii="Arial" w:hAnsi="Arial" w:cs="Arial"/>
          <w:sz w:val="22"/>
          <w:szCs w:val="22"/>
        </w:rPr>
        <w:t xml:space="preserve"> at al., a</w:t>
      </w:r>
      <w:r w:rsidR="002C24CF" w:rsidRPr="00847152">
        <w:rPr>
          <w:rFonts w:ascii="Arial" w:hAnsi="Arial" w:cs="Arial"/>
          <w:sz w:val="22"/>
          <w:szCs w:val="22"/>
        </w:rPr>
        <w:t xml:space="preserve"> joint analysis </w:t>
      </w:r>
      <w:proofErr w:type="gramStart"/>
      <w:r w:rsidR="002C24CF" w:rsidRPr="00847152">
        <w:rPr>
          <w:rFonts w:ascii="Arial" w:hAnsi="Arial" w:cs="Arial"/>
          <w:sz w:val="22"/>
          <w:szCs w:val="22"/>
        </w:rPr>
        <w:t>was conducted</w:t>
      </w:r>
      <w:proofErr w:type="gramEnd"/>
      <w:r w:rsidR="005C1D6C" w:rsidRPr="00847152">
        <w:rPr>
          <w:rFonts w:ascii="Arial" w:hAnsi="Arial" w:cs="Arial"/>
          <w:sz w:val="22"/>
          <w:szCs w:val="22"/>
        </w:rPr>
        <w:t xml:space="preserve"> to identify genes associated with </w:t>
      </w:r>
      <w:r w:rsidR="000E1CB7" w:rsidRPr="00847152">
        <w:rPr>
          <w:rFonts w:ascii="Arial" w:hAnsi="Arial" w:cs="Arial"/>
          <w:sz w:val="22"/>
          <w:szCs w:val="22"/>
        </w:rPr>
        <w:t xml:space="preserve">IL-23 and </w:t>
      </w:r>
      <w:r w:rsidR="005C1D6C" w:rsidRPr="00847152">
        <w:rPr>
          <w:rFonts w:ascii="Arial" w:hAnsi="Arial" w:cs="Arial"/>
          <w:sz w:val="22"/>
          <w:szCs w:val="22"/>
        </w:rPr>
        <w:t>IL-17A concentrations.</w:t>
      </w:r>
      <w:r w:rsidR="00550B83" w:rsidRPr="00847152">
        <w:rPr>
          <w:rFonts w:ascii="Arial" w:hAnsi="Arial" w:cs="Arial"/>
          <w:sz w:val="22"/>
          <w:szCs w:val="22"/>
          <w:vertAlign w:val="superscript"/>
        </w:rPr>
        <w:t>50</w:t>
      </w:r>
      <w:r w:rsidR="005C1D6C" w:rsidRPr="00847152">
        <w:rPr>
          <w:rFonts w:ascii="Arial" w:hAnsi="Arial" w:cs="Arial"/>
          <w:sz w:val="22"/>
          <w:szCs w:val="22"/>
        </w:rPr>
        <w:t xml:space="preserve">  </w:t>
      </w:r>
      <w:r w:rsidR="002C24CF" w:rsidRPr="00847152">
        <w:rPr>
          <w:rFonts w:ascii="Arial" w:hAnsi="Arial" w:cs="Arial"/>
          <w:sz w:val="22"/>
          <w:szCs w:val="22"/>
        </w:rPr>
        <w:t xml:space="preserve"> </w:t>
      </w:r>
      <w:r w:rsidRPr="00847152">
        <w:rPr>
          <w:rFonts w:ascii="Arial" w:hAnsi="Arial" w:cs="Arial"/>
          <w:sz w:val="22"/>
          <w:szCs w:val="22"/>
        </w:rPr>
        <w:t xml:space="preserve">   </w:t>
      </w:r>
    </w:p>
    <w:p w:rsidR="00565A59" w:rsidRPr="00847152" w:rsidRDefault="00565A59" w:rsidP="003172E1">
      <w:pPr>
        <w:jc w:val="both"/>
        <w:rPr>
          <w:rFonts w:ascii="Arial" w:hAnsi="Arial" w:cs="Arial"/>
          <w:sz w:val="22"/>
          <w:szCs w:val="22"/>
        </w:rPr>
      </w:pPr>
    </w:p>
    <w:p w:rsidR="0016036D" w:rsidRPr="00847152" w:rsidRDefault="0016036D" w:rsidP="003172E1">
      <w:pPr>
        <w:jc w:val="both"/>
        <w:rPr>
          <w:rFonts w:ascii="Arial" w:hAnsi="Arial" w:cs="Arial"/>
          <w:b/>
          <w:i/>
          <w:sz w:val="22"/>
          <w:szCs w:val="22"/>
        </w:rPr>
      </w:pPr>
      <w:r w:rsidRPr="00847152">
        <w:rPr>
          <w:rFonts w:ascii="Arial" w:hAnsi="Arial" w:cs="Arial"/>
          <w:b/>
          <w:i/>
          <w:sz w:val="22"/>
          <w:szCs w:val="22"/>
        </w:rPr>
        <w:t>Plasma Collection</w:t>
      </w:r>
    </w:p>
    <w:p w:rsidR="0016036D" w:rsidRPr="00847152" w:rsidRDefault="0095183E" w:rsidP="003172E1">
      <w:p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From each PMRP participant, 30mL (3x10mL K</w:t>
      </w:r>
      <w:r w:rsidRPr="00847152">
        <w:rPr>
          <w:rFonts w:ascii="Arial" w:hAnsi="Arial" w:cs="Arial"/>
          <w:sz w:val="22"/>
          <w:szCs w:val="22"/>
          <w:vertAlign w:val="subscript"/>
        </w:rPr>
        <w:t>3</w:t>
      </w:r>
      <w:r w:rsidRPr="00847152">
        <w:rPr>
          <w:rFonts w:ascii="Arial" w:hAnsi="Arial" w:cs="Arial"/>
          <w:sz w:val="22"/>
          <w:szCs w:val="22"/>
        </w:rPr>
        <w:t xml:space="preserve">EDTA purple-top tubes) of blood </w:t>
      </w:r>
      <w:proofErr w:type="gramStart"/>
      <w:r w:rsidRPr="00847152">
        <w:rPr>
          <w:rFonts w:ascii="Arial" w:hAnsi="Arial" w:cs="Arial"/>
          <w:sz w:val="22"/>
          <w:szCs w:val="22"/>
        </w:rPr>
        <w:t>was collected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for plasma.  Tubes </w:t>
      </w:r>
      <w:proofErr w:type="gramStart"/>
      <w:r w:rsidRPr="00847152">
        <w:rPr>
          <w:rFonts w:ascii="Arial" w:hAnsi="Arial" w:cs="Arial"/>
          <w:sz w:val="22"/>
          <w:szCs w:val="22"/>
        </w:rPr>
        <w:t>were immediately placed on ice or refrigerated before processing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.  Within 24 hours, plasma </w:t>
      </w:r>
      <w:proofErr w:type="spellStart"/>
      <w:r w:rsidRPr="00847152">
        <w:rPr>
          <w:rFonts w:ascii="Arial" w:hAnsi="Arial" w:cs="Arial"/>
          <w:sz w:val="22"/>
          <w:szCs w:val="22"/>
        </w:rPr>
        <w:t>cryovials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were stored at -80</w:t>
      </w:r>
      <w:r w:rsidRPr="00847152">
        <w:rPr>
          <w:rFonts w:ascii="Arial" w:hAnsi="Arial" w:cs="Arial"/>
          <w:sz w:val="22"/>
          <w:szCs w:val="22"/>
          <w:vertAlign w:val="superscript"/>
        </w:rPr>
        <w:t>o</w:t>
      </w:r>
      <w:r w:rsidRPr="00847152">
        <w:rPr>
          <w:rFonts w:ascii="Arial" w:hAnsi="Arial" w:cs="Arial"/>
          <w:sz w:val="22"/>
          <w:szCs w:val="22"/>
        </w:rPr>
        <w:t>C.</w:t>
      </w:r>
    </w:p>
    <w:p w:rsidR="00AE513B" w:rsidRDefault="00AE513B" w:rsidP="003172E1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6C2814" w:rsidRPr="00847152" w:rsidRDefault="00054783" w:rsidP="003172E1">
      <w:pPr>
        <w:jc w:val="both"/>
        <w:rPr>
          <w:rFonts w:ascii="Arial" w:hAnsi="Arial" w:cs="Arial"/>
          <w:b/>
          <w:i/>
          <w:sz w:val="22"/>
          <w:szCs w:val="22"/>
        </w:rPr>
      </w:pPr>
      <w:r w:rsidRPr="00847152">
        <w:rPr>
          <w:rFonts w:ascii="Arial" w:hAnsi="Arial" w:cs="Arial"/>
          <w:b/>
          <w:i/>
          <w:sz w:val="22"/>
          <w:szCs w:val="22"/>
        </w:rPr>
        <w:t>GWAS Assay</w:t>
      </w:r>
    </w:p>
    <w:p w:rsidR="00054783" w:rsidRPr="00847152" w:rsidRDefault="004A42EC" w:rsidP="003172E1">
      <w:p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Genomic DNAs from all selected subjects were genotyped on the Illu</w:t>
      </w:r>
      <w:r w:rsidR="00940A18" w:rsidRPr="00847152">
        <w:rPr>
          <w:rFonts w:ascii="Arial" w:hAnsi="Arial" w:cs="Arial"/>
          <w:sz w:val="22"/>
          <w:szCs w:val="22"/>
        </w:rPr>
        <w:t xml:space="preserve">mina Human660W-Quad microarray by the Johns Hopkins University’s Center for Inherited Diseases (CIDR).  In excess of 500,000 SNPs </w:t>
      </w:r>
      <w:proofErr w:type="gramStart"/>
      <w:r w:rsidR="00940A18" w:rsidRPr="00847152">
        <w:rPr>
          <w:rFonts w:ascii="Arial" w:hAnsi="Arial" w:cs="Arial"/>
          <w:sz w:val="22"/>
          <w:szCs w:val="22"/>
        </w:rPr>
        <w:t>were interrogated</w:t>
      </w:r>
      <w:proofErr w:type="gramEnd"/>
      <w:r w:rsidR="00940A18" w:rsidRPr="00847152">
        <w:rPr>
          <w:rFonts w:ascii="Arial" w:hAnsi="Arial" w:cs="Arial"/>
          <w:sz w:val="22"/>
          <w:szCs w:val="22"/>
        </w:rPr>
        <w:t xml:space="preserve"> on this platform.</w:t>
      </w:r>
      <w:r w:rsidR="00AE513B">
        <w:rPr>
          <w:rFonts w:ascii="Arial" w:hAnsi="Arial" w:cs="Arial"/>
          <w:sz w:val="22"/>
          <w:szCs w:val="22"/>
        </w:rPr>
        <w:t xml:space="preserve"> </w:t>
      </w:r>
    </w:p>
    <w:p w:rsidR="00AE513B" w:rsidRDefault="00AE513B" w:rsidP="003172E1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16036D" w:rsidRPr="00847152" w:rsidRDefault="0016036D" w:rsidP="003172E1">
      <w:pPr>
        <w:jc w:val="both"/>
        <w:rPr>
          <w:rFonts w:ascii="Arial" w:hAnsi="Arial" w:cs="Arial"/>
          <w:b/>
          <w:i/>
          <w:sz w:val="22"/>
          <w:szCs w:val="22"/>
        </w:rPr>
      </w:pPr>
      <w:r w:rsidRPr="00847152">
        <w:rPr>
          <w:rFonts w:ascii="Arial" w:hAnsi="Arial" w:cs="Arial"/>
          <w:b/>
          <w:i/>
          <w:sz w:val="22"/>
          <w:szCs w:val="22"/>
        </w:rPr>
        <w:t>Protein Quantification</w:t>
      </w:r>
    </w:p>
    <w:p w:rsidR="0095183E" w:rsidRPr="00847152" w:rsidRDefault="009F0A18" w:rsidP="003172E1">
      <w:p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Endogenous protein quantification </w:t>
      </w:r>
      <w:proofErr w:type="gramStart"/>
      <w:r w:rsidRPr="00847152">
        <w:rPr>
          <w:rFonts w:ascii="Arial" w:hAnsi="Arial" w:cs="Arial"/>
          <w:sz w:val="22"/>
          <w:szCs w:val="22"/>
        </w:rPr>
        <w:t>was performed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on the </w:t>
      </w:r>
      <w:proofErr w:type="spellStart"/>
      <w:r w:rsidRPr="00847152">
        <w:rPr>
          <w:rFonts w:ascii="Arial" w:hAnsi="Arial" w:cs="Arial"/>
          <w:sz w:val="22"/>
          <w:szCs w:val="22"/>
        </w:rPr>
        <w:t>Meso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-Scale Discovery (MSD) platform.  The MSD platform uses preformatted, </w:t>
      </w:r>
      <w:proofErr w:type="gramStart"/>
      <w:r w:rsidRPr="00847152">
        <w:rPr>
          <w:rFonts w:ascii="Arial" w:hAnsi="Arial" w:cs="Arial"/>
          <w:sz w:val="22"/>
          <w:szCs w:val="22"/>
        </w:rPr>
        <w:t>spatially-arrayed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ELISAs in 96-well format.  The technology employs </w:t>
      </w:r>
      <w:proofErr w:type="spellStart"/>
      <w:r w:rsidRPr="00847152">
        <w:rPr>
          <w:rFonts w:ascii="Arial" w:hAnsi="Arial" w:cs="Arial"/>
          <w:sz w:val="22"/>
          <w:szCs w:val="22"/>
        </w:rPr>
        <w:t>electrochemiluminescence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detection of proteins, enabling very high sensitivity (lower limits of detection are typically between 0.5 and 10pg/mL)</w:t>
      </w:r>
      <w:proofErr w:type="gramStart"/>
      <w:r w:rsidRPr="00847152">
        <w:rPr>
          <w:rFonts w:ascii="Arial" w:hAnsi="Arial" w:cs="Arial"/>
          <w:sz w:val="22"/>
          <w:szCs w:val="22"/>
        </w:rPr>
        <w:t>,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low coefficient of variations (CV), and large dynamic ranges (roughly 3-4 logs).  A</w:t>
      </w:r>
      <w:r w:rsidR="00207D4B" w:rsidRPr="00847152">
        <w:rPr>
          <w:rFonts w:ascii="Arial" w:hAnsi="Arial" w:cs="Arial"/>
          <w:sz w:val="22"/>
          <w:szCs w:val="22"/>
        </w:rPr>
        <w:t>n 8-point</w:t>
      </w:r>
      <w:r w:rsidRPr="00847152">
        <w:rPr>
          <w:rFonts w:ascii="Arial" w:hAnsi="Arial" w:cs="Arial"/>
          <w:sz w:val="22"/>
          <w:szCs w:val="22"/>
        </w:rPr>
        <w:t xml:space="preserve"> standard curve dilution series </w:t>
      </w:r>
      <w:proofErr w:type="gramStart"/>
      <w:r w:rsidRPr="00847152">
        <w:rPr>
          <w:rFonts w:ascii="Arial" w:hAnsi="Arial" w:cs="Arial"/>
          <w:sz w:val="22"/>
          <w:szCs w:val="22"/>
        </w:rPr>
        <w:t>was plated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on each run for back-calculation of protein concentration from optical signal intensities.  For another </w:t>
      </w:r>
      <w:r w:rsidR="00FD153A" w:rsidRPr="00847152">
        <w:rPr>
          <w:rFonts w:ascii="Arial" w:hAnsi="Arial" w:cs="Arial"/>
          <w:sz w:val="22"/>
          <w:szCs w:val="22"/>
        </w:rPr>
        <w:t xml:space="preserve">recent </w:t>
      </w:r>
      <w:r w:rsidRPr="00847152">
        <w:rPr>
          <w:rFonts w:ascii="Arial" w:hAnsi="Arial" w:cs="Arial"/>
          <w:sz w:val="22"/>
          <w:szCs w:val="22"/>
        </w:rPr>
        <w:t>study, we observed mean CVs of 1.72% for adiponectin and 2.51% for C-peptide using &gt;600 split samples from PMRP biobank plasmas.</w:t>
      </w:r>
      <w:r w:rsidR="00731A40" w:rsidRPr="00847152">
        <w:rPr>
          <w:rFonts w:ascii="Arial" w:hAnsi="Arial" w:cs="Arial"/>
          <w:sz w:val="22"/>
          <w:szCs w:val="22"/>
          <w:vertAlign w:val="superscript"/>
        </w:rPr>
        <w:t>46</w:t>
      </w:r>
      <w:r w:rsidRPr="00847152">
        <w:rPr>
          <w:rFonts w:ascii="Arial" w:hAnsi="Arial" w:cs="Arial"/>
          <w:sz w:val="22"/>
          <w:szCs w:val="22"/>
        </w:rPr>
        <w:t xml:space="preserve"> </w:t>
      </w:r>
      <w:r w:rsidR="001F1C7A" w:rsidRPr="00847152">
        <w:rPr>
          <w:rFonts w:ascii="Arial" w:hAnsi="Arial" w:cs="Arial"/>
          <w:sz w:val="22"/>
          <w:szCs w:val="22"/>
        </w:rPr>
        <w:t xml:space="preserve">The MSD platform was used to quantify </w:t>
      </w:r>
      <w:r w:rsidR="002C7E1B" w:rsidRPr="00847152">
        <w:rPr>
          <w:rFonts w:ascii="Arial" w:hAnsi="Arial" w:cs="Arial"/>
          <w:sz w:val="22"/>
          <w:szCs w:val="22"/>
        </w:rPr>
        <w:t>cytokine</w:t>
      </w:r>
      <w:r w:rsidR="001F1C7A" w:rsidRPr="00847152">
        <w:rPr>
          <w:rFonts w:ascii="Arial" w:hAnsi="Arial" w:cs="Arial"/>
          <w:sz w:val="22"/>
          <w:szCs w:val="22"/>
        </w:rPr>
        <w:t xml:space="preserve"> proteins levels in plasma from all subjects.</w:t>
      </w:r>
      <w:r w:rsidRPr="00847152">
        <w:rPr>
          <w:rFonts w:ascii="Arial" w:hAnsi="Arial" w:cs="Arial"/>
          <w:sz w:val="22"/>
          <w:szCs w:val="22"/>
        </w:rPr>
        <w:t xml:space="preserve">  </w:t>
      </w:r>
      <w:r w:rsidR="00C8631A" w:rsidRPr="00847152">
        <w:rPr>
          <w:rFonts w:ascii="Arial" w:hAnsi="Arial" w:cs="Arial"/>
          <w:sz w:val="22"/>
          <w:szCs w:val="22"/>
        </w:rPr>
        <w:t xml:space="preserve">For the second phase of the experiment with 1000 individuals, we performed a BSA assay as a method of estimating total protein levels in each sample.  These measurements </w:t>
      </w:r>
      <w:proofErr w:type="gramStart"/>
      <w:r w:rsidR="00C8631A" w:rsidRPr="00847152">
        <w:rPr>
          <w:rFonts w:ascii="Arial" w:hAnsi="Arial" w:cs="Arial"/>
          <w:sz w:val="22"/>
          <w:szCs w:val="22"/>
        </w:rPr>
        <w:t>were used</w:t>
      </w:r>
      <w:proofErr w:type="gramEnd"/>
      <w:r w:rsidR="00C8631A" w:rsidRPr="00847152">
        <w:rPr>
          <w:rFonts w:ascii="Arial" w:hAnsi="Arial" w:cs="Arial"/>
          <w:sz w:val="22"/>
          <w:szCs w:val="22"/>
        </w:rPr>
        <w:t xml:space="preserve"> to adjust the </w:t>
      </w:r>
      <w:r w:rsidR="002C7E1B" w:rsidRPr="00847152">
        <w:rPr>
          <w:rFonts w:ascii="Arial" w:hAnsi="Arial" w:cs="Arial"/>
          <w:sz w:val="22"/>
          <w:szCs w:val="22"/>
        </w:rPr>
        <w:t xml:space="preserve">IL-23 and </w:t>
      </w:r>
      <w:r w:rsidR="00C8631A" w:rsidRPr="00847152">
        <w:rPr>
          <w:rFonts w:ascii="Arial" w:hAnsi="Arial" w:cs="Arial"/>
          <w:sz w:val="22"/>
          <w:szCs w:val="22"/>
        </w:rPr>
        <w:t xml:space="preserve">IL-17A quantifications for total protein levels.    </w:t>
      </w:r>
    </w:p>
    <w:p w:rsidR="00E03594" w:rsidRPr="00847152" w:rsidRDefault="00E03594" w:rsidP="003172E1">
      <w:pPr>
        <w:jc w:val="both"/>
        <w:rPr>
          <w:rFonts w:ascii="Arial" w:hAnsi="Arial" w:cs="Arial"/>
          <w:sz w:val="22"/>
          <w:szCs w:val="22"/>
        </w:rPr>
      </w:pPr>
    </w:p>
    <w:p w:rsidR="001F1C7A" w:rsidRPr="00847152" w:rsidRDefault="001F1C7A" w:rsidP="003172E1">
      <w:pPr>
        <w:jc w:val="both"/>
        <w:rPr>
          <w:rFonts w:ascii="Arial" w:hAnsi="Arial" w:cs="Arial"/>
          <w:b/>
          <w:i/>
          <w:sz w:val="22"/>
          <w:szCs w:val="22"/>
        </w:rPr>
      </w:pPr>
      <w:r w:rsidRPr="00847152">
        <w:rPr>
          <w:rFonts w:ascii="Arial" w:hAnsi="Arial" w:cs="Arial"/>
          <w:b/>
          <w:i/>
          <w:sz w:val="22"/>
          <w:szCs w:val="22"/>
        </w:rPr>
        <w:t>Statistical Methods</w:t>
      </w:r>
    </w:p>
    <w:p w:rsidR="00E85280" w:rsidRPr="00847152" w:rsidRDefault="00207D4B" w:rsidP="003172E1">
      <w:p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The optical quantification of </w:t>
      </w:r>
      <w:r w:rsidR="002C7E1B" w:rsidRPr="00847152">
        <w:rPr>
          <w:rFonts w:ascii="Arial" w:hAnsi="Arial" w:cs="Arial"/>
          <w:sz w:val="22"/>
          <w:szCs w:val="22"/>
        </w:rPr>
        <w:t xml:space="preserve">IL-23 and </w:t>
      </w:r>
      <w:r w:rsidRPr="00847152">
        <w:rPr>
          <w:rFonts w:ascii="Arial" w:hAnsi="Arial" w:cs="Arial"/>
          <w:sz w:val="22"/>
          <w:szCs w:val="22"/>
        </w:rPr>
        <w:t xml:space="preserve">IL-17A levels </w:t>
      </w:r>
      <w:proofErr w:type="gramStart"/>
      <w:r w:rsidRPr="00847152">
        <w:rPr>
          <w:rFonts w:ascii="Arial" w:hAnsi="Arial" w:cs="Arial"/>
          <w:sz w:val="22"/>
          <w:szCs w:val="22"/>
        </w:rPr>
        <w:t>was converted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to protein concentration values using the MSD software package.  The results </w:t>
      </w:r>
      <w:proofErr w:type="gramStart"/>
      <w:r w:rsidRPr="00847152">
        <w:rPr>
          <w:rFonts w:ascii="Arial" w:hAnsi="Arial" w:cs="Arial"/>
          <w:sz w:val="22"/>
          <w:szCs w:val="22"/>
        </w:rPr>
        <w:t>were confirmed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by fitting power curves to the 8-point standard curve data and adju</w:t>
      </w:r>
      <w:r w:rsidR="002C7E1B" w:rsidRPr="00847152">
        <w:rPr>
          <w:rFonts w:ascii="Arial" w:hAnsi="Arial" w:cs="Arial"/>
          <w:sz w:val="22"/>
          <w:szCs w:val="22"/>
        </w:rPr>
        <w:t>sting for plate effects.  Cytokine</w:t>
      </w:r>
      <w:r w:rsidRPr="00847152">
        <w:rPr>
          <w:rFonts w:ascii="Arial" w:hAnsi="Arial" w:cs="Arial"/>
          <w:sz w:val="22"/>
          <w:szCs w:val="22"/>
        </w:rPr>
        <w:t xml:space="preserve"> concentrations </w:t>
      </w:r>
      <w:proofErr w:type="gramStart"/>
      <w:r w:rsidRPr="00847152">
        <w:rPr>
          <w:rFonts w:ascii="Arial" w:hAnsi="Arial" w:cs="Arial"/>
          <w:sz w:val="22"/>
          <w:szCs w:val="22"/>
        </w:rPr>
        <w:t>were then transformed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to an approximate Gaussian distribution using a quantile method.  The resulting values were the endpoint for the statistical genetics tests</w:t>
      </w:r>
      <w:r w:rsidR="00E85280" w:rsidRPr="00847152">
        <w:rPr>
          <w:rFonts w:ascii="Arial" w:hAnsi="Arial" w:cs="Arial"/>
          <w:sz w:val="22"/>
          <w:szCs w:val="22"/>
        </w:rPr>
        <w:t xml:space="preserve"> for the samples analyzed in the first stage of the study</w:t>
      </w:r>
      <w:r w:rsidRPr="00847152">
        <w:rPr>
          <w:rFonts w:ascii="Arial" w:hAnsi="Arial" w:cs="Arial"/>
          <w:sz w:val="22"/>
          <w:szCs w:val="22"/>
        </w:rPr>
        <w:t>.</w:t>
      </w:r>
      <w:r w:rsidR="00E85280" w:rsidRPr="00847152">
        <w:rPr>
          <w:rFonts w:ascii="Arial" w:hAnsi="Arial" w:cs="Arial"/>
          <w:sz w:val="22"/>
          <w:szCs w:val="22"/>
        </w:rPr>
        <w:t xml:space="preserve">  For the second stage analysis, the     </w:t>
      </w:r>
      <w:r w:rsidRPr="00847152">
        <w:rPr>
          <w:rFonts w:ascii="Arial" w:hAnsi="Arial" w:cs="Arial"/>
          <w:sz w:val="22"/>
          <w:szCs w:val="22"/>
        </w:rPr>
        <w:t xml:space="preserve">  </w:t>
      </w:r>
    </w:p>
    <w:p w:rsidR="00207D4B" w:rsidRPr="00847152" w:rsidRDefault="00207D4B" w:rsidP="003172E1">
      <w:p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  </w:t>
      </w:r>
    </w:p>
    <w:p w:rsidR="00E03594" w:rsidRPr="00847152" w:rsidRDefault="00D76C82" w:rsidP="003172E1">
      <w:pPr>
        <w:jc w:val="both"/>
        <w:rPr>
          <w:rFonts w:ascii="Arial" w:hAnsi="Arial" w:cs="Arial"/>
          <w:b/>
          <w:sz w:val="22"/>
          <w:szCs w:val="22"/>
        </w:rPr>
      </w:pPr>
      <w:r w:rsidRPr="00847152">
        <w:rPr>
          <w:rFonts w:ascii="Arial" w:hAnsi="Arial" w:cs="Arial"/>
          <w:b/>
          <w:sz w:val="22"/>
          <w:szCs w:val="22"/>
        </w:rPr>
        <w:t>Results</w:t>
      </w:r>
    </w:p>
    <w:p w:rsidR="00565A59" w:rsidRDefault="00565A59" w:rsidP="003172E1">
      <w:pPr>
        <w:jc w:val="both"/>
        <w:rPr>
          <w:rFonts w:ascii="Arial" w:hAnsi="Arial" w:cs="Arial"/>
          <w:sz w:val="22"/>
          <w:szCs w:val="22"/>
        </w:rPr>
      </w:pPr>
    </w:p>
    <w:p w:rsidR="00AE513B" w:rsidRDefault="00AE513B" w:rsidP="003172E1">
      <w:pPr>
        <w:jc w:val="both"/>
        <w:rPr>
          <w:rFonts w:ascii="Arial" w:hAnsi="Arial" w:cs="Arial"/>
          <w:sz w:val="22"/>
          <w:szCs w:val="22"/>
        </w:rPr>
      </w:pPr>
    </w:p>
    <w:p w:rsidR="00AE513B" w:rsidRDefault="00AE513B" w:rsidP="003172E1">
      <w:pPr>
        <w:jc w:val="both"/>
        <w:rPr>
          <w:rFonts w:ascii="Arial" w:hAnsi="Arial" w:cs="Arial"/>
          <w:sz w:val="22"/>
          <w:szCs w:val="22"/>
        </w:rPr>
      </w:pPr>
    </w:p>
    <w:p w:rsidR="00AE513B" w:rsidRDefault="00AE513B" w:rsidP="003172E1">
      <w:pPr>
        <w:jc w:val="both"/>
        <w:rPr>
          <w:rFonts w:ascii="Arial" w:hAnsi="Arial" w:cs="Arial"/>
          <w:sz w:val="22"/>
          <w:szCs w:val="22"/>
        </w:rPr>
      </w:pPr>
    </w:p>
    <w:p w:rsidR="00AE513B" w:rsidRDefault="00AE513B" w:rsidP="003172E1">
      <w:pPr>
        <w:jc w:val="both"/>
        <w:rPr>
          <w:rFonts w:ascii="Arial" w:hAnsi="Arial" w:cs="Arial"/>
          <w:sz w:val="22"/>
          <w:szCs w:val="22"/>
        </w:rPr>
      </w:pPr>
    </w:p>
    <w:p w:rsidR="00AE513B" w:rsidRDefault="00AE513B" w:rsidP="003172E1">
      <w:pPr>
        <w:jc w:val="both"/>
        <w:rPr>
          <w:rFonts w:ascii="Arial" w:hAnsi="Arial" w:cs="Arial"/>
          <w:sz w:val="22"/>
          <w:szCs w:val="22"/>
        </w:rPr>
      </w:pPr>
    </w:p>
    <w:p w:rsidR="00AE513B" w:rsidRDefault="00AE513B" w:rsidP="003172E1">
      <w:pPr>
        <w:jc w:val="both"/>
        <w:rPr>
          <w:rFonts w:ascii="Arial" w:hAnsi="Arial" w:cs="Arial"/>
          <w:sz w:val="22"/>
          <w:szCs w:val="22"/>
        </w:rPr>
      </w:pPr>
    </w:p>
    <w:p w:rsidR="00AE513B" w:rsidRDefault="00AE513B" w:rsidP="003172E1">
      <w:pPr>
        <w:jc w:val="both"/>
        <w:rPr>
          <w:rFonts w:ascii="Arial" w:hAnsi="Arial" w:cs="Arial"/>
          <w:sz w:val="22"/>
          <w:szCs w:val="22"/>
        </w:rPr>
      </w:pPr>
    </w:p>
    <w:p w:rsidR="00AE513B" w:rsidRDefault="00AE513B" w:rsidP="003172E1">
      <w:pPr>
        <w:jc w:val="both"/>
        <w:rPr>
          <w:rFonts w:ascii="Arial" w:hAnsi="Arial" w:cs="Arial"/>
          <w:sz w:val="22"/>
          <w:szCs w:val="22"/>
        </w:rPr>
      </w:pPr>
    </w:p>
    <w:p w:rsidR="00AE513B" w:rsidRDefault="00AE513B" w:rsidP="003172E1">
      <w:pPr>
        <w:jc w:val="both"/>
        <w:rPr>
          <w:rFonts w:ascii="Arial" w:hAnsi="Arial" w:cs="Arial"/>
          <w:sz w:val="22"/>
          <w:szCs w:val="22"/>
        </w:rPr>
      </w:pPr>
    </w:p>
    <w:p w:rsidR="00AE513B" w:rsidRDefault="00AE513B" w:rsidP="003172E1">
      <w:pPr>
        <w:jc w:val="both"/>
        <w:rPr>
          <w:rFonts w:ascii="Arial" w:hAnsi="Arial" w:cs="Arial"/>
          <w:sz w:val="22"/>
          <w:szCs w:val="22"/>
        </w:rPr>
      </w:pPr>
    </w:p>
    <w:p w:rsidR="00AE513B" w:rsidRDefault="00AE513B" w:rsidP="003172E1">
      <w:pPr>
        <w:jc w:val="both"/>
        <w:rPr>
          <w:rFonts w:ascii="Arial" w:hAnsi="Arial" w:cs="Arial"/>
          <w:sz w:val="22"/>
          <w:szCs w:val="22"/>
        </w:rPr>
      </w:pPr>
    </w:p>
    <w:p w:rsidR="00AE513B" w:rsidRDefault="00AE513B" w:rsidP="003172E1">
      <w:pPr>
        <w:jc w:val="both"/>
        <w:rPr>
          <w:rFonts w:ascii="Arial" w:hAnsi="Arial" w:cs="Arial"/>
          <w:sz w:val="22"/>
          <w:szCs w:val="22"/>
        </w:rPr>
      </w:pPr>
    </w:p>
    <w:p w:rsidR="00AE513B" w:rsidRDefault="00AE513B" w:rsidP="003172E1">
      <w:pPr>
        <w:jc w:val="both"/>
        <w:rPr>
          <w:rFonts w:ascii="Arial" w:hAnsi="Arial" w:cs="Arial"/>
          <w:sz w:val="22"/>
          <w:szCs w:val="22"/>
        </w:rPr>
      </w:pPr>
    </w:p>
    <w:p w:rsidR="00AE513B" w:rsidRPr="00847152" w:rsidRDefault="00AE513B" w:rsidP="003172E1">
      <w:pPr>
        <w:jc w:val="both"/>
        <w:rPr>
          <w:rFonts w:ascii="Arial" w:hAnsi="Arial" w:cs="Arial"/>
          <w:sz w:val="22"/>
          <w:szCs w:val="22"/>
        </w:rPr>
      </w:pPr>
    </w:p>
    <w:p w:rsidR="00D76C82" w:rsidRPr="00847152" w:rsidRDefault="00D76C82" w:rsidP="003172E1">
      <w:pPr>
        <w:jc w:val="both"/>
        <w:rPr>
          <w:rFonts w:ascii="Arial" w:hAnsi="Arial" w:cs="Arial"/>
          <w:b/>
          <w:sz w:val="22"/>
          <w:szCs w:val="22"/>
        </w:rPr>
      </w:pPr>
      <w:r w:rsidRPr="00847152">
        <w:rPr>
          <w:rFonts w:ascii="Arial" w:hAnsi="Arial" w:cs="Arial"/>
          <w:b/>
          <w:sz w:val="22"/>
          <w:szCs w:val="22"/>
        </w:rPr>
        <w:t>Discussion</w:t>
      </w:r>
    </w:p>
    <w:p w:rsidR="00D76C82" w:rsidRPr="00847152" w:rsidRDefault="00D76C82" w:rsidP="003172E1">
      <w:pPr>
        <w:jc w:val="both"/>
        <w:rPr>
          <w:rFonts w:ascii="Arial" w:hAnsi="Arial" w:cs="Arial"/>
          <w:sz w:val="22"/>
          <w:szCs w:val="22"/>
        </w:rPr>
      </w:pPr>
    </w:p>
    <w:p w:rsidR="00B311D9" w:rsidRPr="00847152" w:rsidRDefault="00B311D9" w:rsidP="003172E1">
      <w:pPr>
        <w:jc w:val="both"/>
        <w:rPr>
          <w:rFonts w:ascii="Arial" w:hAnsi="Arial" w:cs="Arial"/>
          <w:b/>
          <w:sz w:val="22"/>
          <w:szCs w:val="22"/>
        </w:rPr>
      </w:pPr>
      <w:r w:rsidRPr="00847152">
        <w:rPr>
          <w:rFonts w:ascii="Arial" w:hAnsi="Arial" w:cs="Arial"/>
          <w:b/>
          <w:sz w:val="22"/>
          <w:szCs w:val="22"/>
        </w:rPr>
        <w:t>Acknowledgments</w:t>
      </w:r>
    </w:p>
    <w:p w:rsidR="00B311D9" w:rsidRPr="00847152" w:rsidRDefault="00B311D9" w:rsidP="003172E1">
      <w:p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This study was supported by the National Institutes of Health (NIH)—Clinical and Translational Award (CTSA) program, previously funded through the National Center for Research Resources (NCRR) [grant 1UL1RR025011], the National Center for Advancing Translational Sciences (NCATS) [grant 9U54TR000021], and now by the NCATS [grant UL1TR000427].  </w:t>
      </w:r>
      <w:proofErr w:type="gramStart"/>
      <w:r w:rsidRPr="00847152">
        <w:rPr>
          <w:rFonts w:ascii="Arial" w:hAnsi="Arial" w:cs="Arial"/>
          <w:sz w:val="22"/>
          <w:szCs w:val="22"/>
        </w:rPr>
        <w:t xml:space="preserve">Additional support was provided by the National Institute of General Medicals Sciences [grant UO1HG004608 to </w:t>
      </w:r>
      <w:proofErr w:type="spellStart"/>
      <w:r w:rsidRPr="00847152">
        <w:rPr>
          <w:rFonts w:ascii="Arial" w:hAnsi="Arial" w:cs="Arial"/>
          <w:sz w:val="22"/>
          <w:szCs w:val="22"/>
        </w:rPr>
        <w:t>Essentia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Institute for Rural Health/Marshfield Clinic Research Foundation], Marshfield Clinic, generous donors in support of medical research at the Marshfield Clinic, and the Wisconsin Genomics Initiative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.  The content is solely the responsibility of the authors and does not necessarily represent the official views of the NIH.     </w:t>
      </w:r>
    </w:p>
    <w:p w:rsidR="00FB627A" w:rsidRPr="00847152" w:rsidRDefault="00FB627A" w:rsidP="003172E1">
      <w:pPr>
        <w:jc w:val="both"/>
        <w:rPr>
          <w:rFonts w:ascii="Arial" w:hAnsi="Arial" w:cs="Arial"/>
          <w:b/>
          <w:sz w:val="22"/>
          <w:szCs w:val="22"/>
        </w:rPr>
      </w:pPr>
    </w:p>
    <w:p w:rsidR="00FB627A" w:rsidRPr="00847152" w:rsidRDefault="00FB627A" w:rsidP="003172E1">
      <w:pPr>
        <w:jc w:val="both"/>
        <w:rPr>
          <w:rFonts w:ascii="Arial" w:hAnsi="Arial" w:cs="Arial"/>
          <w:b/>
          <w:sz w:val="22"/>
          <w:szCs w:val="22"/>
        </w:rPr>
      </w:pPr>
      <w:r w:rsidRPr="00847152">
        <w:rPr>
          <w:rFonts w:ascii="Arial" w:hAnsi="Arial" w:cs="Arial"/>
          <w:b/>
          <w:sz w:val="22"/>
          <w:szCs w:val="22"/>
        </w:rPr>
        <w:t>References</w:t>
      </w:r>
    </w:p>
    <w:p w:rsidR="002F1FB6" w:rsidRPr="00847152" w:rsidRDefault="002F1FB6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Franceschi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C, </w:t>
      </w:r>
      <w:proofErr w:type="spellStart"/>
      <w:r w:rsidRPr="00847152">
        <w:rPr>
          <w:rFonts w:ascii="Arial" w:hAnsi="Arial" w:cs="Arial"/>
          <w:sz w:val="22"/>
          <w:szCs w:val="22"/>
        </w:rPr>
        <w:t>Campisi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J (2014) </w:t>
      </w:r>
      <w:proofErr w:type="gramStart"/>
      <w:r w:rsidRPr="00847152">
        <w:rPr>
          <w:rFonts w:ascii="Arial" w:hAnsi="Arial" w:cs="Arial"/>
          <w:sz w:val="22"/>
          <w:szCs w:val="22"/>
        </w:rPr>
        <w:t>Chronic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inflammation (</w:t>
      </w:r>
      <w:proofErr w:type="spellStart"/>
      <w:r w:rsidRPr="00847152">
        <w:rPr>
          <w:rFonts w:ascii="Arial" w:hAnsi="Arial" w:cs="Arial"/>
          <w:sz w:val="22"/>
          <w:szCs w:val="22"/>
        </w:rPr>
        <w:t>inflammaging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) and its potential contribution to age-associated diseases. J </w:t>
      </w:r>
      <w:proofErr w:type="spellStart"/>
      <w:r w:rsidRPr="00847152">
        <w:rPr>
          <w:rFonts w:ascii="Arial" w:hAnsi="Arial" w:cs="Arial"/>
          <w:sz w:val="22"/>
          <w:szCs w:val="22"/>
        </w:rPr>
        <w:t>Gerontol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A </w:t>
      </w:r>
      <w:proofErr w:type="spellStart"/>
      <w:r w:rsidRPr="00847152">
        <w:rPr>
          <w:rFonts w:ascii="Arial" w:hAnsi="Arial" w:cs="Arial"/>
          <w:sz w:val="22"/>
          <w:szCs w:val="22"/>
        </w:rPr>
        <w:t>Biol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47152">
        <w:rPr>
          <w:rFonts w:ascii="Arial" w:hAnsi="Arial" w:cs="Arial"/>
          <w:sz w:val="22"/>
          <w:szCs w:val="22"/>
        </w:rPr>
        <w:t>Sci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Med </w:t>
      </w:r>
      <w:proofErr w:type="spellStart"/>
      <w:r w:rsidRPr="00847152">
        <w:rPr>
          <w:rFonts w:ascii="Arial" w:hAnsi="Arial" w:cs="Arial"/>
          <w:sz w:val="22"/>
          <w:szCs w:val="22"/>
        </w:rPr>
        <w:t>Sci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69 (</w:t>
      </w:r>
      <w:proofErr w:type="spellStart"/>
      <w:r w:rsidRPr="00847152">
        <w:rPr>
          <w:rFonts w:ascii="Arial" w:hAnsi="Arial" w:cs="Arial"/>
          <w:sz w:val="22"/>
          <w:szCs w:val="22"/>
        </w:rPr>
        <w:t>Suppl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1):S4-S9.</w:t>
      </w:r>
    </w:p>
    <w:p w:rsidR="002F1FB6" w:rsidRPr="00847152" w:rsidRDefault="0065461B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Tabas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I, Glass CK (2013) Anti-inflammatory therapy in chronic disease: challenges and opportunities. Science 339(6116):166-172.</w:t>
      </w:r>
      <w:r w:rsidR="002F1FB6" w:rsidRPr="00847152">
        <w:rPr>
          <w:rFonts w:ascii="Arial" w:hAnsi="Arial" w:cs="Arial"/>
          <w:sz w:val="22"/>
          <w:szCs w:val="22"/>
        </w:rPr>
        <w:t xml:space="preserve"> </w:t>
      </w:r>
    </w:p>
    <w:p w:rsidR="0065461B" w:rsidRPr="00847152" w:rsidRDefault="0065461B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Lumeng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CN, </w:t>
      </w:r>
      <w:proofErr w:type="spellStart"/>
      <w:r w:rsidRPr="00847152">
        <w:rPr>
          <w:rFonts w:ascii="Arial" w:hAnsi="Arial" w:cs="Arial"/>
          <w:sz w:val="22"/>
          <w:szCs w:val="22"/>
        </w:rPr>
        <w:t>Saltiel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AR (2011) Inflammatory links between obesity and metabolic disease. J </w:t>
      </w:r>
      <w:proofErr w:type="spellStart"/>
      <w:r w:rsidRPr="00847152">
        <w:rPr>
          <w:rFonts w:ascii="Arial" w:hAnsi="Arial" w:cs="Arial"/>
          <w:sz w:val="22"/>
          <w:szCs w:val="22"/>
        </w:rPr>
        <w:t>Clin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Invest 121(6):2111-2117.</w:t>
      </w:r>
    </w:p>
    <w:p w:rsidR="0065461B" w:rsidRPr="00847152" w:rsidRDefault="0065461B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Hansson GK, </w:t>
      </w:r>
      <w:proofErr w:type="spellStart"/>
      <w:r w:rsidRPr="00847152">
        <w:rPr>
          <w:rFonts w:ascii="Arial" w:hAnsi="Arial" w:cs="Arial"/>
          <w:sz w:val="22"/>
          <w:szCs w:val="22"/>
        </w:rPr>
        <w:t>Hermansson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A (2011) </w:t>
      </w:r>
      <w:proofErr w:type="gramStart"/>
      <w:r w:rsidRPr="00847152">
        <w:rPr>
          <w:rFonts w:ascii="Arial" w:hAnsi="Arial" w:cs="Arial"/>
          <w:sz w:val="22"/>
          <w:szCs w:val="22"/>
        </w:rPr>
        <w:t>The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immune system in atherosclerosis. Nat </w:t>
      </w:r>
      <w:proofErr w:type="spellStart"/>
      <w:r w:rsidRPr="00847152">
        <w:rPr>
          <w:rFonts w:ascii="Arial" w:hAnsi="Arial" w:cs="Arial"/>
          <w:sz w:val="22"/>
          <w:szCs w:val="22"/>
        </w:rPr>
        <w:t>Immun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12:204-212.</w:t>
      </w:r>
    </w:p>
    <w:p w:rsidR="0065461B" w:rsidRPr="00847152" w:rsidRDefault="0065461B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Grivennikov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SI, </w:t>
      </w:r>
      <w:proofErr w:type="spellStart"/>
      <w:r w:rsidRPr="00847152">
        <w:rPr>
          <w:rFonts w:ascii="Arial" w:hAnsi="Arial" w:cs="Arial"/>
          <w:sz w:val="22"/>
          <w:szCs w:val="22"/>
        </w:rPr>
        <w:t>Greten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FR, Karin M (2010) Immunity, inflammation, and cancer. Cell 140(6):883-899.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Feghali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CA, Wright TM (1997) Cytokines in acute and chronic inflammation. Front </w:t>
      </w:r>
      <w:proofErr w:type="spellStart"/>
      <w:r w:rsidRPr="00847152">
        <w:rPr>
          <w:rFonts w:ascii="Arial" w:hAnsi="Arial" w:cs="Arial"/>
          <w:sz w:val="22"/>
          <w:szCs w:val="22"/>
        </w:rPr>
        <w:t>Biosci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2:d12-26.</w:t>
      </w:r>
    </w:p>
    <w:p w:rsidR="00FB627A" w:rsidRPr="00847152" w:rsidRDefault="00334CF7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Miossec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P, </w:t>
      </w:r>
      <w:proofErr w:type="spellStart"/>
      <w:r w:rsidRPr="00847152">
        <w:rPr>
          <w:rFonts w:ascii="Arial" w:hAnsi="Arial" w:cs="Arial"/>
          <w:sz w:val="22"/>
          <w:szCs w:val="22"/>
        </w:rPr>
        <w:t>Kolls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JK (2012) Targeting IL-17 and T</w:t>
      </w:r>
      <w:r w:rsidRPr="00847152">
        <w:rPr>
          <w:rFonts w:ascii="Arial" w:hAnsi="Arial" w:cs="Arial"/>
          <w:sz w:val="22"/>
          <w:szCs w:val="22"/>
          <w:vertAlign w:val="subscript"/>
        </w:rPr>
        <w:t>H</w:t>
      </w:r>
      <w:r w:rsidRPr="00847152">
        <w:rPr>
          <w:rFonts w:ascii="Arial" w:hAnsi="Arial" w:cs="Arial"/>
          <w:sz w:val="22"/>
          <w:szCs w:val="22"/>
        </w:rPr>
        <w:t>17 cells in chronic inflammation. Nat Rev Drug Discovery 11:763-776.</w:t>
      </w:r>
    </w:p>
    <w:p w:rsidR="00334CF7" w:rsidRPr="00847152" w:rsidRDefault="00334CF7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Schett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G, </w:t>
      </w:r>
      <w:proofErr w:type="spellStart"/>
      <w:r w:rsidRPr="00847152">
        <w:rPr>
          <w:rFonts w:ascii="Arial" w:hAnsi="Arial" w:cs="Arial"/>
          <w:sz w:val="22"/>
          <w:szCs w:val="22"/>
        </w:rPr>
        <w:t>Elewaut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D, </w:t>
      </w:r>
      <w:proofErr w:type="spellStart"/>
      <w:r w:rsidRPr="00847152">
        <w:rPr>
          <w:rFonts w:ascii="Arial" w:hAnsi="Arial" w:cs="Arial"/>
          <w:sz w:val="22"/>
          <w:szCs w:val="22"/>
        </w:rPr>
        <w:t>McInnes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IB, </w:t>
      </w:r>
      <w:proofErr w:type="spellStart"/>
      <w:r w:rsidRPr="00847152">
        <w:rPr>
          <w:rFonts w:ascii="Arial" w:hAnsi="Arial" w:cs="Arial"/>
          <w:sz w:val="22"/>
          <w:szCs w:val="22"/>
        </w:rPr>
        <w:t>Dayer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J-M, </w:t>
      </w:r>
      <w:proofErr w:type="spellStart"/>
      <w:r w:rsidRPr="00847152">
        <w:rPr>
          <w:rFonts w:ascii="Arial" w:hAnsi="Arial" w:cs="Arial"/>
          <w:sz w:val="22"/>
          <w:szCs w:val="22"/>
        </w:rPr>
        <w:t>Neurath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MF (2013) How cytokine networks fuel inflammation: Toward a cytokine-based disease taxonomy. Nat Med 19:822-824.</w:t>
      </w:r>
    </w:p>
    <w:p w:rsidR="00332BD1" w:rsidRPr="00847152" w:rsidRDefault="00332BD1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Civelek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847152">
        <w:rPr>
          <w:rFonts w:ascii="Arial" w:hAnsi="Arial" w:cs="Arial"/>
          <w:sz w:val="22"/>
          <w:szCs w:val="22"/>
        </w:rPr>
        <w:t>Lusis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AJ (2014) Systems genetics approaches to understand complex traits. Nat Rev Genet 15(1):34-48.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Miossec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P, </w:t>
      </w:r>
      <w:proofErr w:type="spellStart"/>
      <w:r w:rsidRPr="00847152">
        <w:rPr>
          <w:rFonts w:ascii="Arial" w:hAnsi="Arial" w:cs="Arial"/>
          <w:sz w:val="22"/>
          <w:szCs w:val="22"/>
        </w:rPr>
        <w:t>Korn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T, </w:t>
      </w:r>
      <w:proofErr w:type="spellStart"/>
      <w:r w:rsidRPr="00847152">
        <w:rPr>
          <w:rFonts w:ascii="Arial" w:hAnsi="Arial" w:cs="Arial"/>
          <w:sz w:val="22"/>
          <w:szCs w:val="22"/>
        </w:rPr>
        <w:t>Kuchroo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VK (2009) Interleukin-17 and type 17 helper T cells. N </w:t>
      </w:r>
      <w:proofErr w:type="spellStart"/>
      <w:r w:rsidRPr="00847152">
        <w:rPr>
          <w:rFonts w:ascii="Arial" w:hAnsi="Arial" w:cs="Arial"/>
          <w:sz w:val="22"/>
          <w:szCs w:val="22"/>
        </w:rPr>
        <w:t>Engl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J Med 361:888-898.</w:t>
      </w:r>
    </w:p>
    <w:p w:rsidR="00046421" w:rsidRPr="00847152" w:rsidRDefault="00046421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Maddur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MS, </w:t>
      </w:r>
      <w:proofErr w:type="spellStart"/>
      <w:r w:rsidRPr="00847152">
        <w:rPr>
          <w:rFonts w:ascii="Arial" w:hAnsi="Arial" w:cs="Arial"/>
          <w:sz w:val="22"/>
          <w:szCs w:val="22"/>
        </w:rPr>
        <w:t>Miossec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P, </w:t>
      </w:r>
      <w:proofErr w:type="spellStart"/>
      <w:r w:rsidRPr="00847152">
        <w:rPr>
          <w:rFonts w:ascii="Arial" w:hAnsi="Arial" w:cs="Arial"/>
          <w:sz w:val="22"/>
          <w:szCs w:val="22"/>
        </w:rPr>
        <w:t>Kaveri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SV, </w:t>
      </w:r>
      <w:proofErr w:type="spellStart"/>
      <w:r w:rsidRPr="00847152">
        <w:rPr>
          <w:rFonts w:ascii="Arial" w:hAnsi="Arial" w:cs="Arial"/>
          <w:sz w:val="22"/>
          <w:szCs w:val="22"/>
        </w:rPr>
        <w:t>Bayry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J (2012) Th17 cells: Biology, pathogenesis of autoimmune and inflammatory diseases, and therapeutic strategies. </w:t>
      </w:r>
      <w:r w:rsidR="003A1F64" w:rsidRPr="00847152">
        <w:rPr>
          <w:rFonts w:ascii="Arial" w:hAnsi="Arial" w:cs="Arial"/>
          <w:sz w:val="22"/>
          <w:szCs w:val="22"/>
        </w:rPr>
        <w:t xml:space="preserve">Am J </w:t>
      </w:r>
      <w:proofErr w:type="spellStart"/>
      <w:r w:rsidR="003A1F64" w:rsidRPr="00847152">
        <w:rPr>
          <w:rFonts w:ascii="Arial" w:hAnsi="Arial" w:cs="Arial"/>
          <w:sz w:val="22"/>
          <w:szCs w:val="22"/>
        </w:rPr>
        <w:t>Pathol</w:t>
      </w:r>
      <w:proofErr w:type="spellEnd"/>
      <w:r w:rsidR="003A1F64" w:rsidRPr="00847152">
        <w:rPr>
          <w:rFonts w:ascii="Arial" w:hAnsi="Arial" w:cs="Arial"/>
          <w:sz w:val="22"/>
          <w:szCs w:val="22"/>
        </w:rPr>
        <w:t xml:space="preserve"> 181(1):8-</w:t>
      </w:r>
      <w:proofErr w:type="gramStart"/>
      <w:r w:rsidR="003A1F64" w:rsidRPr="00847152">
        <w:rPr>
          <w:rFonts w:ascii="Arial" w:hAnsi="Arial" w:cs="Arial"/>
          <w:sz w:val="22"/>
          <w:szCs w:val="22"/>
        </w:rPr>
        <w:t>18.</w:t>
      </w:r>
      <w:proofErr w:type="gramEnd"/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Potekhina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AV, </w:t>
      </w:r>
      <w:proofErr w:type="spellStart"/>
      <w:r w:rsidRPr="00847152">
        <w:rPr>
          <w:rFonts w:ascii="Arial" w:hAnsi="Arial" w:cs="Arial"/>
          <w:sz w:val="22"/>
          <w:szCs w:val="22"/>
        </w:rPr>
        <w:t>Pylaeva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E, </w:t>
      </w:r>
      <w:proofErr w:type="spellStart"/>
      <w:r w:rsidRPr="00847152">
        <w:rPr>
          <w:rFonts w:ascii="Arial" w:hAnsi="Arial" w:cs="Arial"/>
          <w:sz w:val="22"/>
          <w:szCs w:val="22"/>
        </w:rPr>
        <w:t>Provatorov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847152">
        <w:rPr>
          <w:rFonts w:ascii="Arial" w:hAnsi="Arial" w:cs="Arial"/>
          <w:sz w:val="22"/>
          <w:szCs w:val="22"/>
        </w:rPr>
        <w:t>Ruleva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N, et al. (2015) </w:t>
      </w:r>
      <w:proofErr w:type="spellStart"/>
      <w:r w:rsidRPr="00847152">
        <w:rPr>
          <w:rFonts w:ascii="Arial" w:hAnsi="Arial" w:cs="Arial"/>
          <w:sz w:val="22"/>
          <w:szCs w:val="22"/>
        </w:rPr>
        <w:t>Treg</w:t>
      </w:r>
      <w:proofErr w:type="spellEnd"/>
      <w:r w:rsidRPr="00847152">
        <w:rPr>
          <w:rFonts w:ascii="Arial" w:hAnsi="Arial" w:cs="Arial"/>
          <w:sz w:val="22"/>
          <w:szCs w:val="22"/>
        </w:rPr>
        <w:t>/Th17 balance in stable CAD patients with different stages of coronary atherosclerosis. Atherosclerosis 238(1):17-21.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Lee S-J, McLachlan JB, Kurtz JR, Fan D, et al. (2012) </w:t>
      </w:r>
      <w:proofErr w:type="gramStart"/>
      <w:r w:rsidRPr="00847152">
        <w:rPr>
          <w:rFonts w:ascii="Arial" w:hAnsi="Arial" w:cs="Arial"/>
          <w:sz w:val="22"/>
          <w:szCs w:val="22"/>
        </w:rPr>
        <w:t>Temporal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expression of bacterial proteins instructs host CD4 T cell expansion and Th17 development. </w:t>
      </w:r>
      <w:proofErr w:type="spellStart"/>
      <w:r w:rsidRPr="00847152">
        <w:rPr>
          <w:rFonts w:ascii="Arial" w:hAnsi="Arial" w:cs="Arial"/>
          <w:sz w:val="22"/>
          <w:szCs w:val="22"/>
        </w:rPr>
        <w:t>PLoS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47152">
        <w:rPr>
          <w:rFonts w:ascii="Arial" w:hAnsi="Arial" w:cs="Arial"/>
          <w:sz w:val="22"/>
          <w:szCs w:val="22"/>
        </w:rPr>
        <w:t>Pathog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8(1):e1002499.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Tosolini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847152">
        <w:rPr>
          <w:rFonts w:ascii="Arial" w:hAnsi="Arial" w:cs="Arial"/>
          <w:sz w:val="22"/>
          <w:szCs w:val="22"/>
        </w:rPr>
        <w:t>Kirilovsky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A, </w:t>
      </w:r>
      <w:proofErr w:type="spellStart"/>
      <w:r w:rsidRPr="00847152">
        <w:rPr>
          <w:rFonts w:ascii="Arial" w:hAnsi="Arial" w:cs="Arial"/>
          <w:sz w:val="22"/>
          <w:szCs w:val="22"/>
        </w:rPr>
        <w:t>Mlecnik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B, </w:t>
      </w:r>
      <w:proofErr w:type="spellStart"/>
      <w:r w:rsidRPr="00847152">
        <w:rPr>
          <w:rFonts w:ascii="Arial" w:hAnsi="Arial" w:cs="Arial"/>
          <w:sz w:val="22"/>
          <w:szCs w:val="22"/>
        </w:rPr>
        <w:t>Fredriksen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T, et al. (2011) Clinical impact of different classes of infiltrating T cytotoxic and helper cells (Th1, Th2, </w:t>
      </w:r>
      <w:proofErr w:type="spellStart"/>
      <w:r w:rsidRPr="00847152">
        <w:rPr>
          <w:rFonts w:ascii="Arial" w:hAnsi="Arial" w:cs="Arial"/>
          <w:sz w:val="22"/>
          <w:szCs w:val="22"/>
        </w:rPr>
        <w:t>Treg</w:t>
      </w:r>
      <w:proofErr w:type="spellEnd"/>
      <w:r w:rsidRPr="00847152">
        <w:rPr>
          <w:rFonts w:ascii="Arial" w:hAnsi="Arial" w:cs="Arial"/>
          <w:sz w:val="22"/>
          <w:szCs w:val="22"/>
        </w:rPr>
        <w:t>, Th17) in patients with colorectal cancer. Cancer Res 71(4):1263-1271.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Van Hamburg JP, </w:t>
      </w:r>
      <w:proofErr w:type="spellStart"/>
      <w:r w:rsidRPr="00847152">
        <w:rPr>
          <w:rFonts w:ascii="Arial" w:hAnsi="Arial" w:cs="Arial"/>
          <w:sz w:val="22"/>
          <w:szCs w:val="22"/>
        </w:rPr>
        <w:t>Asmawidjaja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PS, </w:t>
      </w:r>
      <w:proofErr w:type="spellStart"/>
      <w:r w:rsidRPr="00847152">
        <w:rPr>
          <w:rFonts w:ascii="Arial" w:hAnsi="Arial" w:cs="Arial"/>
          <w:sz w:val="22"/>
          <w:szCs w:val="22"/>
        </w:rPr>
        <w:t>Davelaar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N, Mus AMC, et al. (2011) Th17 cells, but not Th1 cells, from patients with early rheumatoid arthritis are potent inducers of matrix </w:t>
      </w:r>
      <w:proofErr w:type="spellStart"/>
      <w:r w:rsidRPr="00847152">
        <w:rPr>
          <w:rFonts w:ascii="Arial" w:hAnsi="Arial" w:cs="Arial"/>
          <w:sz w:val="22"/>
          <w:szCs w:val="22"/>
        </w:rPr>
        <w:t>metalloproteinases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847152">
        <w:rPr>
          <w:rFonts w:ascii="Arial" w:hAnsi="Arial" w:cs="Arial"/>
          <w:sz w:val="22"/>
          <w:szCs w:val="22"/>
        </w:rPr>
        <w:t>proinflammatory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cytokines upon synovial fibroblast interaction, including autocrine interleukin-17A production. Arthritis Rheum 63(1):73-83.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Style w:val="articletitle"/>
          <w:rFonts w:ascii="Arial" w:hAnsi="Arial" w:cs="Arial"/>
          <w:sz w:val="22"/>
          <w:szCs w:val="22"/>
        </w:rPr>
      </w:pPr>
      <w:proofErr w:type="spellStart"/>
      <w:r w:rsidRPr="00847152">
        <w:rPr>
          <w:rStyle w:val="author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Brucklacher-Waldert</w:t>
      </w:r>
      <w:proofErr w:type="spellEnd"/>
      <w:r w:rsidRPr="00847152">
        <w:rPr>
          <w:rStyle w:val="author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V</w:t>
      </w:r>
      <w:r w:rsidRPr="00847152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Pr="00847152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847152">
        <w:rPr>
          <w:rStyle w:val="author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Stuerner</w:t>
      </w:r>
      <w:proofErr w:type="spellEnd"/>
      <w:r w:rsidRPr="00847152">
        <w:rPr>
          <w:rStyle w:val="author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K</w:t>
      </w:r>
      <w:r w:rsidRPr="00847152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Pr="00847152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847152">
        <w:rPr>
          <w:rStyle w:val="author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Kolster</w:t>
      </w:r>
      <w:proofErr w:type="spellEnd"/>
      <w:r w:rsidRPr="00847152">
        <w:rPr>
          <w:rStyle w:val="author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M</w:t>
      </w:r>
      <w:r w:rsidRPr="00847152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Pr="00847152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847152">
        <w:rPr>
          <w:rStyle w:val="author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Wolthausen</w:t>
      </w:r>
      <w:proofErr w:type="spellEnd"/>
      <w:r w:rsidRPr="00847152">
        <w:rPr>
          <w:rStyle w:val="author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J</w:t>
      </w:r>
      <w:r w:rsidRPr="00847152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Pr="00847152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proofErr w:type="spellStart"/>
      <w:r w:rsidRPr="00847152">
        <w:rPr>
          <w:rStyle w:val="author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Tolosa</w:t>
      </w:r>
      <w:proofErr w:type="spellEnd"/>
      <w:r w:rsidRPr="00847152">
        <w:rPr>
          <w:rStyle w:val="author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E</w:t>
      </w:r>
      <w:r w:rsidRPr="00847152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  <w:r w:rsidRPr="00847152">
        <w:rPr>
          <w:rStyle w:val="apple-converted-space"/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  (2009) </w:t>
      </w:r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Phenotypical and functional characterization of T helper 17 cells in multiple sclerosis. Brain 132(Pt 12):3329-3341.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Style w:val="articletitle"/>
          <w:rFonts w:ascii="Arial" w:hAnsi="Arial" w:cs="Arial"/>
          <w:sz w:val="22"/>
          <w:szCs w:val="22"/>
        </w:rPr>
      </w:pPr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Martin JC, </w:t>
      </w:r>
      <w:proofErr w:type="spellStart"/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Baeten</w:t>
      </w:r>
      <w:proofErr w:type="spellEnd"/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DL, </w:t>
      </w:r>
      <w:proofErr w:type="spellStart"/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Josien</w:t>
      </w:r>
      <w:proofErr w:type="spellEnd"/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R (2014) Emerging role of IL-17 and Th17 cells in systemic lupus erythematosus. Clinical </w:t>
      </w:r>
      <w:proofErr w:type="spellStart"/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Immunol</w:t>
      </w:r>
      <w:proofErr w:type="spellEnd"/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154(1):1-12.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Style w:val="articletitle"/>
          <w:rFonts w:ascii="Arial" w:hAnsi="Arial" w:cs="Arial"/>
          <w:sz w:val="22"/>
          <w:szCs w:val="22"/>
        </w:rPr>
      </w:pPr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Di Cesare A, Di </w:t>
      </w:r>
      <w:proofErr w:type="spellStart"/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Meglio</w:t>
      </w:r>
      <w:proofErr w:type="spellEnd"/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P, Nestle FO (2009) The IL-23/Th17 axis in the </w:t>
      </w:r>
      <w:proofErr w:type="spellStart"/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immunopathogenesis</w:t>
      </w:r>
      <w:proofErr w:type="spellEnd"/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of psoriasis. J Invest </w:t>
      </w:r>
      <w:proofErr w:type="spellStart"/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Dermatol</w:t>
      </w:r>
      <w:proofErr w:type="spellEnd"/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129(6):1339-1350.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Style w:val="articletitle"/>
          <w:rFonts w:ascii="Arial" w:hAnsi="Arial" w:cs="Arial"/>
          <w:sz w:val="22"/>
          <w:szCs w:val="22"/>
        </w:rPr>
      </w:pPr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Brand S (2009) Crohn’s </w:t>
      </w:r>
      <w:proofErr w:type="gramStart"/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>disease:</w:t>
      </w:r>
      <w:proofErr w:type="gramEnd"/>
      <w:r w:rsidRPr="00847152">
        <w:rPr>
          <w:rStyle w:val="articletitle"/>
          <w:rFonts w:ascii="Arial" w:hAnsi="Arial" w:cs="Arial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Th1, Th17 or both? The change of a paradigm: new immunological and genetic insights implicate Th17 cells in the pathogenesis of Crohn’s disease. Gut 58(8):1152-1167.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lastRenderedPageBreak/>
        <w:t xml:space="preserve">Mei Y, Pan F, Gao J, Ge R, et al. (2011) Increased serum IL-17 and IL-23 in the patient with ankylosing spondylitis. </w:t>
      </w:r>
      <w:proofErr w:type="spellStart"/>
      <w:r w:rsidRPr="00847152">
        <w:rPr>
          <w:rFonts w:ascii="Arial" w:hAnsi="Arial" w:cs="Arial"/>
          <w:sz w:val="22"/>
          <w:szCs w:val="22"/>
        </w:rPr>
        <w:t>Clin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47152">
        <w:rPr>
          <w:rFonts w:ascii="Arial" w:hAnsi="Arial" w:cs="Arial"/>
          <w:sz w:val="22"/>
          <w:szCs w:val="22"/>
        </w:rPr>
        <w:t>Rheumatol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30(2):269-273.</w:t>
      </w:r>
    </w:p>
    <w:p w:rsidR="00EB3A97" w:rsidRPr="00847152" w:rsidRDefault="00EB3A97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Aggarwal S, </w:t>
      </w:r>
      <w:proofErr w:type="spellStart"/>
      <w:r w:rsidRPr="00847152">
        <w:rPr>
          <w:rFonts w:ascii="Arial" w:hAnsi="Arial" w:cs="Arial"/>
          <w:sz w:val="22"/>
          <w:szCs w:val="22"/>
        </w:rPr>
        <w:t>Ghilardi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N, </w:t>
      </w:r>
      <w:proofErr w:type="spellStart"/>
      <w:r w:rsidRPr="00847152">
        <w:rPr>
          <w:rFonts w:ascii="Arial" w:hAnsi="Arial" w:cs="Arial"/>
          <w:sz w:val="22"/>
          <w:szCs w:val="22"/>
        </w:rPr>
        <w:t>Xie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MH, de </w:t>
      </w:r>
      <w:proofErr w:type="spellStart"/>
      <w:r w:rsidRPr="00847152">
        <w:rPr>
          <w:rFonts w:ascii="Arial" w:hAnsi="Arial" w:cs="Arial"/>
          <w:sz w:val="22"/>
          <w:szCs w:val="22"/>
        </w:rPr>
        <w:t>Sauvage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FJ, Gurney AL (2003) Interleukin-23 promotes a distinct CD4 T cell activation state characterized by the production of interleukin-17. J </w:t>
      </w:r>
      <w:proofErr w:type="spellStart"/>
      <w:r w:rsidRPr="00847152">
        <w:rPr>
          <w:rFonts w:ascii="Arial" w:hAnsi="Arial" w:cs="Arial"/>
          <w:sz w:val="22"/>
          <w:szCs w:val="22"/>
        </w:rPr>
        <w:t>Biol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47152">
        <w:rPr>
          <w:rFonts w:ascii="Arial" w:hAnsi="Arial" w:cs="Arial"/>
          <w:sz w:val="22"/>
          <w:szCs w:val="22"/>
        </w:rPr>
        <w:t>Chem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278(3):1910-1914. </w:t>
      </w:r>
    </w:p>
    <w:p w:rsidR="00EB3A97" w:rsidRPr="00847152" w:rsidRDefault="00EB3A97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Haines CJ, Chen Y, Blumenschein WM, Jain R, et al. (2013) </w:t>
      </w:r>
      <w:proofErr w:type="gramStart"/>
      <w:r w:rsidRPr="00847152">
        <w:rPr>
          <w:rFonts w:ascii="Arial" w:hAnsi="Arial" w:cs="Arial"/>
          <w:sz w:val="22"/>
          <w:szCs w:val="22"/>
        </w:rPr>
        <w:t>Autoimmune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memory T helper 17 cell function and expansion are dependent on interleukin-23. Cell Rep 3(5):1378-1388. </w:t>
      </w:r>
    </w:p>
    <w:p w:rsidR="00B3658E" w:rsidRPr="00847152" w:rsidRDefault="00B3658E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Aggarwal S, </w:t>
      </w:r>
      <w:proofErr w:type="spellStart"/>
      <w:r w:rsidRPr="00847152">
        <w:rPr>
          <w:rFonts w:ascii="Arial" w:hAnsi="Arial" w:cs="Arial"/>
          <w:sz w:val="22"/>
          <w:szCs w:val="22"/>
        </w:rPr>
        <w:t>Ghilardi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N, </w:t>
      </w:r>
      <w:proofErr w:type="spellStart"/>
      <w:r w:rsidRPr="00847152">
        <w:rPr>
          <w:rFonts w:ascii="Arial" w:hAnsi="Arial" w:cs="Arial"/>
          <w:sz w:val="22"/>
          <w:szCs w:val="22"/>
        </w:rPr>
        <w:t>Xie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MH, de </w:t>
      </w:r>
      <w:proofErr w:type="spellStart"/>
      <w:r w:rsidRPr="00847152">
        <w:rPr>
          <w:rFonts w:ascii="Arial" w:hAnsi="Arial" w:cs="Arial"/>
          <w:sz w:val="22"/>
          <w:szCs w:val="22"/>
        </w:rPr>
        <w:t>Sauvage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FJ, Gurney AL (2003) Interleuking-23 promotes a distinct CD4 T cell activation state characterized by the production of interleukin-17. J </w:t>
      </w:r>
      <w:proofErr w:type="spellStart"/>
      <w:r w:rsidRPr="00847152">
        <w:rPr>
          <w:rFonts w:ascii="Arial" w:hAnsi="Arial" w:cs="Arial"/>
          <w:sz w:val="22"/>
          <w:szCs w:val="22"/>
        </w:rPr>
        <w:t>Biol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47152">
        <w:rPr>
          <w:rFonts w:ascii="Arial" w:hAnsi="Arial" w:cs="Arial"/>
          <w:sz w:val="22"/>
          <w:szCs w:val="22"/>
        </w:rPr>
        <w:t>Chem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278(3):1910-1914.</w:t>
      </w:r>
    </w:p>
    <w:p w:rsidR="00355C21" w:rsidRPr="00847152" w:rsidRDefault="00355C21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Gaffen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SL, Jain R, Garg AV, </w:t>
      </w:r>
      <w:proofErr w:type="spellStart"/>
      <w:proofErr w:type="gramStart"/>
      <w:r w:rsidRPr="00847152">
        <w:rPr>
          <w:rFonts w:ascii="Arial" w:hAnsi="Arial" w:cs="Arial"/>
          <w:sz w:val="22"/>
          <w:szCs w:val="22"/>
        </w:rPr>
        <w:t>Cua</w:t>
      </w:r>
      <w:proofErr w:type="spellEnd"/>
      <w:proofErr w:type="gramEnd"/>
      <w:r w:rsidRPr="00847152">
        <w:rPr>
          <w:rFonts w:ascii="Arial" w:hAnsi="Arial" w:cs="Arial"/>
          <w:sz w:val="22"/>
          <w:szCs w:val="22"/>
        </w:rPr>
        <w:t xml:space="preserve"> DJ (2014) The IL-23—IL-17 immune axis: </w:t>
      </w:r>
      <w:r w:rsidR="0071469A" w:rsidRPr="00847152">
        <w:rPr>
          <w:rFonts w:ascii="Arial" w:hAnsi="Arial" w:cs="Arial"/>
          <w:sz w:val="22"/>
          <w:szCs w:val="22"/>
        </w:rPr>
        <w:t>Discovery, mechanistic understanding, and clinical testing.</w:t>
      </w:r>
      <w:r w:rsidRPr="00847152">
        <w:rPr>
          <w:rFonts w:ascii="Arial" w:hAnsi="Arial" w:cs="Arial"/>
          <w:sz w:val="22"/>
          <w:szCs w:val="22"/>
        </w:rPr>
        <w:t xml:space="preserve"> Nat Rev </w:t>
      </w:r>
      <w:proofErr w:type="spellStart"/>
      <w:r w:rsidRPr="00847152">
        <w:rPr>
          <w:rFonts w:ascii="Arial" w:hAnsi="Arial" w:cs="Arial"/>
          <w:sz w:val="22"/>
          <w:szCs w:val="22"/>
        </w:rPr>
        <w:t>Immunol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14:585-600.</w:t>
      </w:r>
    </w:p>
    <w:p w:rsidR="00355C21" w:rsidRPr="00847152" w:rsidRDefault="0071469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Bulek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K, Liu C, </w:t>
      </w:r>
      <w:proofErr w:type="spellStart"/>
      <w:r w:rsidRPr="00847152">
        <w:rPr>
          <w:rFonts w:ascii="Arial" w:hAnsi="Arial" w:cs="Arial"/>
          <w:sz w:val="22"/>
          <w:szCs w:val="22"/>
        </w:rPr>
        <w:t>Swaidani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S, Wang L, et al. (2011) </w:t>
      </w:r>
      <w:proofErr w:type="gramStart"/>
      <w:r w:rsidRPr="00847152">
        <w:rPr>
          <w:rFonts w:ascii="Arial" w:hAnsi="Arial" w:cs="Arial"/>
          <w:sz w:val="22"/>
          <w:szCs w:val="22"/>
        </w:rPr>
        <w:t>The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inducible </w:t>
      </w:r>
      <w:proofErr w:type="spellStart"/>
      <w:r w:rsidRPr="00847152">
        <w:rPr>
          <w:rFonts w:ascii="Arial" w:hAnsi="Arial" w:cs="Arial"/>
          <w:sz w:val="22"/>
          <w:szCs w:val="22"/>
        </w:rPr>
        <w:t>IKKi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is required for IL-17-dependent signaling associated with </w:t>
      </w:r>
      <w:proofErr w:type="spellStart"/>
      <w:r w:rsidRPr="00847152">
        <w:rPr>
          <w:rFonts w:ascii="Arial" w:hAnsi="Arial" w:cs="Arial"/>
          <w:sz w:val="22"/>
          <w:szCs w:val="22"/>
        </w:rPr>
        <w:t>neutophilia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and pulmonary inflammation. Nat </w:t>
      </w:r>
      <w:proofErr w:type="spellStart"/>
      <w:r w:rsidRPr="00847152">
        <w:rPr>
          <w:rFonts w:ascii="Arial" w:hAnsi="Arial" w:cs="Arial"/>
          <w:sz w:val="22"/>
          <w:szCs w:val="22"/>
        </w:rPr>
        <w:t>Immunol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12:844-852.</w:t>
      </w:r>
    </w:p>
    <w:p w:rsidR="0071469A" w:rsidRPr="00847152" w:rsidRDefault="00C35B88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Zhu S, Qian Y (2012) IL-17/IL-17 receptor system in autoimmune disease: mechanisms and therapeutic potential. </w:t>
      </w:r>
      <w:proofErr w:type="spellStart"/>
      <w:r w:rsidRPr="00847152">
        <w:rPr>
          <w:rFonts w:ascii="Arial" w:hAnsi="Arial" w:cs="Arial"/>
          <w:sz w:val="22"/>
          <w:szCs w:val="22"/>
        </w:rPr>
        <w:t>Clin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47152">
        <w:rPr>
          <w:rFonts w:ascii="Arial" w:hAnsi="Arial" w:cs="Arial"/>
          <w:sz w:val="22"/>
          <w:szCs w:val="22"/>
        </w:rPr>
        <w:t>Sci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122:487-511.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Iwakura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Y, </w:t>
      </w:r>
      <w:proofErr w:type="spellStart"/>
      <w:r w:rsidRPr="00847152">
        <w:rPr>
          <w:rFonts w:ascii="Arial" w:hAnsi="Arial" w:cs="Arial"/>
          <w:sz w:val="22"/>
          <w:szCs w:val="22"/>
        </w:rPr>
        <w:t>Ishigame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H (2006) The IL-23/IL-17 axis in inflammation. J </w:t>
      </w:r>
      <w:proofErr w:type="spellStart"/>
      <w:r w:rsidRPr="00847152">
        <w:rPr>
          <w:rFonts w:ascii="Arial" w:hAnsi="Arial" w:cs="Arial"/>
          <w:sz w:val="22"/>
          <w:szCs w:val="22"/>
        </w:rPr>
        <w:t>Clin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Invest 116(5):1218-1222.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Yang L, Anderson DE, </w:t>
      </w:r>
      <w:proofErr w:type="spellStart"/>
      <w:r w:rsidRPr="00847152">
        <w:rPr>
          <w:rFonts w:ascii="Arial" w:hAnsi="Arial" w:cs="Arial"/>
          <w:sz w:val="22"/>
          <w:szCs w:val="22"/>
        </w:rPr>
        <w:t>Baecher</w:t>
      </w:r>
      <w:proofErr w:type="spellEnd"/>
      <w:r w:rsidRPr="00847152">
        <w:rPr>
          <w:rFonts w:ascii="Arial" w:hAnsi="Arial" w:cs="Arial"/>
          <w:sz w:val="22"/>
          <w:szCs w:val="22"/>
        </w:rPr>
        <w:t>-Allan C, Hastings WD, et al. (2008) IL-21 and TGF-b are required for differentiation of human Th17 cells. Nature 454:350-352.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Komatsu N, Okamoto K, </w:t>
      </w:r>
      <w:proofErr w:type="spellStart"/>
      <w:r w:rsidRPr="00847152">
        <w:rPr>
          <w:rFonts w:ascii="Arial" w:hAnsi="Arial" w:cs="Arial"/>
          <w:sz w:val="22"/>
          <w:szCs w:val="22"/>
        </w:rPr>
        <w:t>Sawa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S, Nakashima T, et al. (2014) Pathogenic conversion of Foxp3+ T cells into Th17 cells in autoimmune arthritis. Nat Med 20:62-68.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Kleinewietfeld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M, </w:t>
      </w:r>
      <w:proofErr w:type="spellStart"/>
      <w:r w:rsidRPr="00847152">
        <w:rPr>
          <w:rFonts w:ascii="Arial" w:hAnsi="Arial" w:cs="Arial"/>
          <w:sz w:val="22"/>
          <w:szCs w:val="22"/>
        </w:rPr>
        <w:t>Hafler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DA (2013) </w:t>
      </w:r>
      <w:proofErr w:type="gramStart"/>
      <w:r w:rsidRPr="00847152">
        <w:rPr>
          <w:rFonts w:ascii="Arial" w:hAnsi="Arial" w:cs="Arial"/>
          <w:sz w:val="22"/>
          <w:szCs w:val="22"/>
        </w:rPr>
        <w:t>The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plasticity of human </w:t>
      </w:r>
      <w:proofErr w:type="spellStart"/>
      <w:r w:rsidRPr="00847152">
        <w:rPr>
          <w:rFonts w:ascii="Arial" w:hAnsi="Arial" w:cs="Arial"/>
          <w:sz w:val="22"/>
          <w:szCs w:val="22"/>
        </w:rPr>
        <w:t>Treg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and Th17 cells and its role in autoimmunity. </w:t>
      </w:r>
      <w:proofErr w:type="spellStart"/>
      <w:r w:rsidRPr="00847152">
        <w:rPr>
          <w:rFonts w:ascii="Arial" w:hAnsi="Arial" w:cs="Arial"/>
          <w:sz w:val="22"/>
          <w:szCs w:val="22"/>
        </w:rPr>
        <w:t>Semin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47152">
        <w:rPr>
          <w:rFonts w:ascii="Arial" w:hAnsi="Arial" w:cs="Arial"/>
          <w:sz w:val="22"/>
          <w:szCs w:val="22"/>
        </w:rPr>
        <w:t>Immunol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25(4):305-312. 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Duerr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RH, Taylor KD, Brant SR, </w:t>
      </w:r>
      <w:proofErr w:type="spellStart"/>
      <w:r w:rsidRPr="00847152">
        <w:rPr>
          <w:rFonts w:ascii="Arial" w:hAnsi="Arial" w:cs="Arial"/>
          <w:sz w:val="22"/>
          <w:szCs w:val="22"/>
        </w:rPr>
        <w:t>Rioux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JD, et al. (2006) </w:t>
      </w:r>
      <w:proofErr w:type="gramStart"/>
      <w:r w:rsidRPr="00847152">
        <w:rPr>
          <w:rFonts w:ascii="Arial" w:hAnsi="Arial" w:cs="Arial"/>
          <w:sz w:val="22"/>
          <w:szCs w:val="22"/>
        </w:rPr>
        <w:t>A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genome-wide association study identifies IL23R as an inflammatory bowel disease gene. Science 314(5804):1461-1463.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Cargill M, Schrodi SJ, Chang M, Garcia VE, et al. (2007) A large-scale genetic association study confirms IL12B and leads to the identification of IL23R as psoriasis-risk genes. Am J Hum Genet 80(2):273-</w:t>
      </w:r>
      <w:proofErr w:type="gramStart"/>
      <w:r w:rsidRPr="00847152">
        <w:rPr>
          <w:rFonts w:ascii="Arial" w:hAnsi="Arial" w:cs="Arial"/>
          <w:sz w:val="22"/>
          <w:szCs w:val="22"/>
        </w:rPr>
        <w:t>290.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Nair RP, </w:t>
      </w:r>
      <w:proofErr w:type="spellStart"/>
      <w:r w:rsidRPr="00847152">
        <w:rPr>
          <w:rFonts w:ascii="Arial" w:hAnsi="Arial" w:cs="Arial"/>
          <w:sz w:val="22"/>
          <w:szCs w:val="22"/>
        </w:rPr>
        <w:t>Duffin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KC, Helms C, Ding J, et al. (2009) Genome-wide scan reveals association of psoriasis with IL-23 and NF-</w:t>
      </w:r>
      <w:proofErr w:type="spellStart"/>
      <w:r w:rsidRPr="00847152">
        <w:rPr>
          <w:rFonts w:ascii="Arial" w:hAnsi="Arial" w:cs="Arial"/>
          <w:sz w:val="22"/>
          <w:szCs w:val="22"/>
        </w:rPr>
        <w:t>kappaB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pathways. Nat Genet 41(2):199-204.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Tsoi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LC, Spain SL, Knight J, </w:t>
      </w:r>
      <w:proofErr w:type="spellStart"/>
      <w:r w:rsidRPr="00847152">
        <w:rPr>
          <w:rFonts w:ascii="Arial" w:hAnsi="Arial" w:cs="Arial"/>
          <w:sz w:val="22"/>
          <w:szCs w:val="22"/>
        </w:rPr>
        <w:t>Ellinghaus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E, et al. (2012) Identification of 15 new psoriasis susceptibility loci highlights the role of innate immunity. Nat Genet 44(12):1341-1348.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Australo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-Anglo-American </w:t>
      </w:r>
      <w:proofErr w:type="spellStart"/>
      <w:r w:rsidRPr="00847152">
        <w:rPr>
          <w:rFonts w:ascii="Arial" w:hAnsi="Arial" w:cs="Arial"/>
          <w:sz w:val="22"/>
          <w:szCs w:val="22"/>
        </w:rPr>
        <w:t>Spondyloarthritis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Consortium (TASC), Reveille JD, Sims AM, </w:t>
      </w:r>
      <w:proofErr w:type="spellStart"/>
      <w:r w:rsidRPr="00847152">
        <w:rPr>
          <w:rFonts w:ascii="Arial" w:hAnsi="Arial" w:cs="Arial"/>
          <w:sz w:val="22"/>
          <w:szCs w:val="22"/>
        </w:rPr>
        <w:t>Danoy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P, et al. (2010) Genome-wide association study of ankylosing spondylitis identifies non-MHC susceptibility loci. Nat Genet 42(2):123-127.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Barrett JC, </w:t>
      </w:r>
      <w:proofErr w:type="spellStart"/>
      <w:r w:rsidRPr="00847152">
        <w:rPr>
          <w:rFonts w:ascii="Arial" w:hAnsi="Arial" w:cs="Arial"/>
          <w:sz w:val="22"/>
          <w:szCs w:val="22"/>
        </w:rPr>
        <w:t>Hansoul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S, </w:t>
      </w:r>
      <w:proofErr w:type="spellStart"/>
      <w:r w:rsidRPr="00847152">
        <w:rPr>
          <w:rFonts w:ascii="Arial" w:hAnsi="Arial" w:cs="Arial"/>
          <w:sz w:val="22"/>
          <w:szCs w:val="22"/>
        </w:rPr>
        <w:t>Nicolae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DL, Cho JH, et al. (2008) Genome-wide association defines more than 30 distinct susceptibility loci for Crohn’s disease. Nat Genet 40(8):955-962.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Franke A, </w:t>
      </w:r>
      <w:proofErr w:type="spellStart"/>
      <w:r w:rsidRPr="00847152">
        <w:rPr>
          <w:rFonts w:ascii="Arial" w:hAnsi="Arial" w:cs="Arial"/>
          <w:sz w:val="22"/>
          <w:szCs w:val="22"/>
        </w:rPr>
        <w:t>Balschun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T, </w:t>
      </w:r>
      <w:proofErr w:type="spellStart"/>
      <w:r w:rsidRPr="00847152">
        <w:rPr>
          <w:rFonts w:ascii="Arial" w:hAnsi="Arial" w:cs="Arial"/>
          <w:sz w:val="22"/>
          <w:szCs w:val="22"/>
        </w:rPr>
        <w:t>Sina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C, </w:t>
      </w:r>
      <w:proofErr w:type="spellStart"/>
      <w:r w:rsidRPr="00847152">
        <w:rPr>
          <w:rFonts w:ascii="Arial" w:hAnsi="Arial" w:cs="Arial"/>
          <w:sz w:val="22"/>
          <w:szCs w:val="22"/>
        </w:rPr>
        <w:t>Ellinghaus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D, et al. (2010) Genome-wide association study for ulcerative colitis identifies risk loci at 7q22 and 22q13 (IL17REL). Nat Genet 42(4):292-294.</w:t>
      </w:r>
    </w:p>
    <w:p w:rsidR="00FB627A" w:rsidRPr="00847152" w:rsidRDefault="00FB627A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Toussirot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E (2012) The IL23/Th17 pathway as a therapeutic target in chronic inflammatory diseases. </w:t>
      </w:r>
      <w:proofErr w:type="spellStart"/>
      <w:r w:rsidRPr="00847152">
        <w:rPr>
          <w:rFonts w:ascii="Arial" w:hAnsi="Arial" w:cs="Arial"/>
          <w:sz w:val="22"/>
          <w:szCs w:val="22"/>
        </w:rPr>
        <w:t>Inflamm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Allergy Drug Targets 11:159-168.</w:t>
      </w:r>
    </w:p>
    <w:p w:rsidR="00A77A99" w:rsidRPr="00847152" w:rsidRDefault="00A77A99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Patel DD, Lee DM, </w:t>
      </w:r>
      <w:proofErr w:type="spellStart"/>
      <w:r w:rsidRPr="00847152">
        <w:rPr>
          <w:rFonts w:ascii="Arial" w:hAnsi="Arial" w:cs="Arial"/>
          <w:sz w:val="22"/>
          <w:szCs w:val="22"/>
        </w:rPr>
        <w:t>Kolbinger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F, Antoni C (2013) Effect of IL-17A blockade with </w:t>
      </w:r>
      <w:proofErr w:type="spellStart"/>
      <w:r w:rsidRPr="00847152">
        <w:rPr>
          <w:rFonts w:ascii="Arial" w:hAnsi="Arial" w:cs="Arial"/>
          <w:sz w:val="22"/>
          <w:szCs w:val="22"/>
        </w:rPr>
        <w:t>secukinumab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in autoimmune diseases. Ann Rheum Dis 72 </w:t>
      </w:r>
      <w:proofErr w:type="spellStart"/>
      <w:r w:rsidRPr="00847152">
        <w:rPr>
          <w:rFonts w:ascii="Arial" w:hAnsi="Arial" w:cs="Arial"/>
          <w:sz w:val="22"/>
          <w:szCs w:val="22"/>
        </w:rPr>
        <w:t>Suppl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2:ii116-123.</w:t>
      </w:r>
    </w:p>
    <w:p w:rsidR="00FB627A" w:rsidRPr="00847152" w:rsidRDefault="007C6427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Reddy M, Davis C, Wong J, </w:t>
      </w:r>
      <w:proofErr w:type="spellStart"/>
      <w:r w:rsidRPr="00847152">
        <w:rPr>
          <w:rFonts w:ascii="Arial" w:hAnsi="Arial" w:cs="Arial"/>
          <w:sz w:val="22"/>
          <w:szCs w:val="22"/>
        </w:rPr>
        <w:t>Marsters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P, </w:t>
      </w:r>
      <w:proofErr w:type="spellStart"/>
      <w:r w:rsidRPr="00847152">
        <w:rPr>
          <w:rFonts w:ascii="Arial" w:hAnsi="Arial" w:cs="Arial"/>
          <w:sz w:val="22"/>
          <w:szCs w:val="22"/>
        </w:rPr>
        <w:t>Pendley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C, </w:t>
      </w:r>
      <w:proofErr w:type="spellStart"/>
      <w:r w:rsidRPr="00847152">
        <w:rPr>
          <w:rFonts w:ascii="Arial" w:hAnsi="Arial" w:cs="Arial"/>
          <w:sz w:val="22"/>
          <w:szCs w:val="22"/>
        </w:rPr>
        <w:t>Prabhakar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U (2007) Modulation of CLA, IL-12R, CD40L, and IL-2Ralpha expression and inhibition of IL-12- and IL-23-induced cytokine secretion by CNTO 1275. Cell </w:t>
      </w:r>
      <w:proofErr w:type="spellStart"/>
      <w:r w:rsidRPr="00847152">
        <w:rPr>
          <w:rFonts w:ascii="Arial" w:hAnsi="Arial" w:cs="Arial"/>
          <w:sz w:val="22"/>
          <w:szCs w:val="22"/>
        </w:rPr>
        <w:t>Immunol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247(1):1-11.</w:t>
      </w:r>
    </w:p>
    <w:p w:rsidR="007C6427" w:rsidRPr="00847152" w:rsidRDefault="007C6427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847152">
        <w:rPr>
          <w:rFonts w:ascii="Arial" w:hAnsi="Arial" w:cs="Arial"/>
          <w:sz w:val="22"/>
          <w:szCs w:val="22"/>
        </w:rPr>
        <w:t>Mannon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PJ, Fuss IJ, Mayer L, Elson CO, et al. (2004) </w:t>
      </w:r>
      <w:r w:rsidR="00A77A99" w:rsidRPr="00847152">
        <w:rPr>
          <w:rFonts w:ascii="Arial" w:hAnsi="Arial" w:cs="Arial"/>
          <w:sz w:val="22"/>
          <w:szCs w:val="22"/>
        </w:rPr>
        <w:t xml:space="preserve">Anti-interleukin-12 antibody for active Crohn’s disease. N </w:t>
      </w:r>
      <w:proofErr w:type="spellStart"/>
      <w:r w:rsidR="00A77A99" w:rsidRPr="00847152">
        <w:rPr>
          <w:rFonts w:ascii="Arial" w:hAnsi="Arial" w:cs="Arial"/>
          <w:sz w:val="22"/>
          <w:szCs w:val="22"/>
        </w:rPr>
        <w:t>Engl</w:t>
      </w:r>
      <w:proofErr w:type="spellEnd"/>
      <w:r w:rsidR="00A77A99" w:rsidRPr="00847152">
        <w:rPr>
          <w:rFonts w:ascii="Arial" w:hAnsi="Arial" w:cs="Arial"/>
          <w:sz w:val="22"/>
          <w:szCs w:val="22"/>
        </w:rPr>
        <w:t xml:space="preserve"> J Med 351(20):2069-2079.</w:t>
      </w:r>
    </w:p>
    <w:p w:rsidR="007C6427" w:rsidRPr="00847152" w:rsidRDefault="007C6427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Milner JD, </w:t>
      </w:r>
      <w:proofErr w:type="spellStart"/>
      <w:r w:rsidRPr="00847152">
        <w:rPr>
          <w:rFonts w:ascii="Arial" w:hAnsi="Arial" w:cs="Arial"/>
          <w:sz w:val="22"/>
          <w:szCs w:val="22"/>
        </w:rPr>
        <w:t>Brenchley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JM, Laurence A, Freeman A, et al. (2008) Impaired TH17 cell differentiation in subjects with autosomal dominant hyper-</w:t>
      </w:r>
      <w:proofErr w:type="spellStart"/>
      <w:r w:rsidRPr="00847152">
        <w:rPr>
          <w:rFonts w:ascii="Arial" w:hAnsi="Arial" w:cs="Arial"/>
          <w:sz w:val="22"/>
          <w:szCs w:val="22"/>
        </w:rPr>
        <w:t>IgE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syndrome. Nature 452:773-776.</w:t>
      </w:r>
    </w:p>
    <w:p w:rsidR="007C6427" w:rsidRPr="00847152" w:rsidRDefault="007C6427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gramStart"/>
      <w:r w:rsidRPr="00847152">
        <w:rPr>
          <w:rFonts w:ascii="Arial" w:hAnsi="Arial" w:cs="Arial"/>
          <w:sz w:val="22"/>
          <w:szCs w:val="22"/>
        </w:rPr>
        <w:t>van</w:t>
      </w:r>
      <w:proofErr w:type="gramEnd"/>
      <w:r w:rsidRPr="00847152">
        <w:rPr>
          <w:rFonts w:ascii="Arial" w:hAnsi="Arial" w:cs="Arial"/>
          <w:sz w:val="22"/>
          <w:szCs w:val="22"/>
        </w:rPr>
        <w:t xml:space="preserve"> de </w:t>
      </w:r>
      <w:proofErr w:type="spellStart"/>
      <w:r w:rsidRPr="00847152">
        <w:rPr>
          <w:rFonts w:ascii="Arial" w:hAnsi="Arial" w:cs="Arial"/>
          <w:sz w:val="22"/>
          <w:szCs w:val="22"/>
        </w:rPr>
        <w:t>Veerdonk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FL, </w:t>
      </w:r>
      <w:proofErr w:type="spellStart"/>
      <w:r w:rsidRPr="00847152">
        <w:rPr>
          <w:rFonts w:ascii="Arial" w:hAnsi="Arial" w:cs="Arial"/>
          <w:sz w:val="22"/>
          <w:szCs w:val="22"/>
        </w:rPr>
        <w:t>Netea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MG (2016) Treatment options for chronic </w:t>
      </w:r>
      <w:proofErr w:type="spellStart"/>
      <w:r w:rsidRPr="00847152">
        <w:rPr>
          <w:rFonts w:ascii="Arial" w:hAnsi="Arial" w:cs="Arial"/>
          <w:sz w:val="22"/>
          <w:szCs w:val="22"/>
        </w:rPr>
        <w:t>mucocutaneous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candidiasis. J Infect 72 Suppl</w:t>
      </w:r>
      <w:proofErr w:type="gramStart"/>
      <w:r w:rsidRPr="00847152">
        <w:rPr>
          <w:rFonts w:ascii="Arial" w:hAnsi="Arial" w:cs="Arial"/>
          <w:sz w:val="22"/>
          <w:szCs w:val="22"/>
        </w:rPr>
        <w:t>:S56</w:t>
      </w:r>
      <w:proofErr w:type="gramEnd"/>
      <w:r w:rsidRPr="00847152">
        <w:rPr>
          <w:rFonts w:ascii="Arial" w:hAnsi="Arial" w:cs="Arial"/>
          <w:sz w:val="22"/>
          <w:szCs w:val="22"/>
        </w:rPr>
        <w:t>-60.</w:t>
      </w:r>
    </w:p>
    <w:p w:rsidR="00BD4213" w:rsidRPr="00847152" w:rsidRDefault="00BD4213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McCarty CA, Wilke RA, </w:t>
      </w:r>
      <w:proofErr w:type="spellStart"/>
      <w:r w:rsidRPr="00847152">
        <w:rPr>
          <w:rFonts w:ascii="Arial" w:hAnsi="Arial" w:cs="Arial"/>
          <w:sz w:val="22"/>
          <w:szCs w:val="22"/>
        </w:rPr>
        <w:t>Giampietro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PF, </w:t>
      </w:r>
      <w:proofErr w:type="spellStart"/>
      <w:r w:rsidRPr="00847152">
        <w:rPr>
          <w:rFonts w:ascii="Arial" w:hAnsi="Arial" w:cs="Arial"/>
          <w:sz w:val="22"/>
          <w:szCs w:val="22"/>
        </w:rPr>
        <w:t>Wesbrook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SD, Caldwell MD (2005) Marshfield Clinic Personalized Medicine Research Project (PMRP): design, methods and recruitment for a large population-based biobank. Per Med 2:49-79.</w:t>
      </w:r>
    </w:p>
    <w:p w:rsidR="00456721" w:rsidRPr="00847152" w:rsidRDefault="00456721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lastRenderedPageBreak/>
        <w:t xml:space="preserve">O’Brien SE, Schrodi SJ, Ye Z, Brilliant MH, Virani SS, Brautbar A (2015) Differential lipid response to statins is associated with variants in the BUD13-APOA5 gene region. J </w:t>
      </w:r>
      <w:proofErr w:type="spellStart"/>
      <w:r w:rsidRPr="00847152">
        <w:rPr>
          <w:rFonts w:ascii="Arial" w:hAnsi="Arial" w:cs="Arial"/>
          <w:sz w:val="22"/>
          <w:szCs w:val="22"/>
        </w:rPr>
        <w:t>Cardiovasc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47152">
        <w:rPr>
          <w:rFonts w:ascii="Arial" w:hAnsi="Arial" w:cs="Arial"/>
          <w:sz w:val="22"/>
          <w:szCs w:val="22"/>
        </w:rPr>
        <w:t>Pharmacol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66(2):183-188.</w:t>
      </w:r>
    </w:p>
    <w:p w:rsidR="00456721" w:rsidRPr="00847152" w:rsidRDefault="00456721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Carter TC, Rein D, </w:t>
      </w:r>
      <w:proofErr w:type="spellStart"/>
      <w:r w:rsidRPr="00847152">
        <w:rPr>
          <w:rFonts w:ascii="Arial" w:hAnsi="Arial" w:cs="Arial"/>
          <w:sz w:val="22"/>
          <w:szCs w:val="22"/>
        </w:rPr>
        <w:t>Padberg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I, Peter E, et al. (2016) Validation of a metabolite panel for early diagnosis of type 2 diabetes. Metabolism 65(9):1399-1408.</w:t>
      </w:r>
    </w:p>
    <w:p w:rsidR="00456721" w:rsidRPr="00847152" w:rsidRDefault="00456721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>Ye Z, Vasco DA, Carter TC, Brilliant MH, Schrodi SJ, Shukla SK (2014) Genome wide association study of SNP-, gene-, and pathway-based approaches to identify genes influencing susceptibility to Staphylococcus aureus infections. Front Gene 5:125.</w:t>
      </w:r>
    </w:p>
    <w:p w:rsidR="00456721" w:rsidRPr="00847152" w:rsidRDefault="00456721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Hebbring SJ, </w:t>
      </w:r>
      <w:proofErr w:type="spellStart"/>
      <w:r w:rsidRPr="00847152">
        <w:rPr>
          <w:rFonts w:ascii="Arial" w:hAnsi="Arial" w:cs="Arial"/>
          <w:sz w:val="22"/>
          <w:szCs w:val="22"/>
        </w:rPr>
        <w:t>Slager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SL, </w:t>
      </w:r>
      <w:proofErr w:type="spellStart"/>
      <w:r w:rsidRPr="00847152">
        <w:rPr>
          <w:rFonts w:ascii="Arial" w:hAnsi="Arial" w:cs="Arial"/>
          <w:sz w:val="22"/>
          <w:szCs w:val="22"/>
        </w:rPr>
        <w:t>Epperla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N, Mazza JJ, et al. (2013) Genetic evidence of PTPN22 effects on chronic lymphocytic leukemia. Blood 121(1):237-238.</w:t>
      </w:r>
    </w:p>
    <w:p w:rsidR="00456721" w:rsidRPr="00847152" w:rsidRDefault="00DC010D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847152">
        <w:rPr>
          <w:rFonts w:ascii="Arial" w:hAnsi="Arial" w:cs="Arial"/>
          <w:sz w:val="22"/>
          <w:szCs w:val="22"/>
        </w:rPr>
        <w:t xml:space="preserve">Hall MA, Verma SS, Wallace J, Lucas A, et al. (2015) Biology-driven gene-gene interaction analysis of age-related cataract in the </w:t>
      </w:r>
      <w:proofErr w:type="spellStart"/>
      <w:r w:rsidRPr="00847152">
        <w:rPr>
          <w:rFonts w:ascii="Arial" w:hAnsi="Arial" w:cs="Arial"/>
          <w:sz w:val="22"/>
          <w:szCs w:val="22"/>
        </w:rPr>
        <w:t>eMERGE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Network. Genet </w:t>
      </w:r>
      <w:proofErr w:type="spellStart"/>
      <w:r w:rsidRPr="00847152">
        <w:rPr>
          <w:rFonts w:ascii="Arial" w:hAnsi="Arial" w:cs="Arial"/>
          <w:sz w:val="22"/>
          <w:szCs w:val="22"/>
        </w:rPr>
        <w:t>Epidemiol</w:t>
      </w:r>
      <w:proofErr w:type="spellEnd"/>
      <w:r w:rsidRPr="00847152">
        <w:rPr>
          <w:rFonts w:ascii="Arial" w:hAnsi="Arial" w:cs="Arial"/>
          <w:sz w:val="22"/>
          <w:szCs w:val="22"/>
        </w:rPr>
        <w:t xml:space="preserve"> 39(5):376-384.</w:t>
      </w:r>
    </w:p>
    <w:p w:rsidR="00FB627A" w:rsidRPr="000137B8" w:rsidRDefault="005C1D6C" w:rsidP="003172E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0137B8">
        <w:rPr>
          <w:rFonts w:ascii="Arial" w:hAnsi="Arial" w:cs="Arial"/>
          <w:sz w:val="22"/>
          <w:szCs w:val="22"/>
        </w:rPr>
        <w:t>Skol</w:t>
      </w:r>
      <w:proofErr w:type="spellEnd"/>
      <w:r w:rsidRPr="000137B8">
        <w:rPr>
          <w:rFonts w:ascii="Arial" w:hAnsi="Arial" w:cs="Arial"/>
          <w:sz w:val="22"/>
          <w:szCs w:val="22"/>
        </w:rPr>
        <w:t xml:space="preserve"> AD, Scott LJ, </w:t>
      </w:r>
      <w:proofErr w:type="spellStart"/>
      <w:r w:rsidRPr="000137B8">
        <w:rPr>
          <w:rFonts w:ascii="Arial" w:hAnsi="Arial" w:cs="Arial"/>
          <w:sz w:val="22"/>
          <w:szCs w:val="22"/>
        </w:rPr>
        <w:t>Abecassis</w:t>
      </w:r>
      <w:proofErr w:type="spellEnd"/>
      <w:r w:rsidRPr="000137B8">
        <w:rPr>
          <w:rFonts w:ascii="Arial" w:hAnsi="Arial" w:cs="Arial"/>
          <w:sz w:val="22"/>
          <w:szCs w:val="22"/>
        </w:rPr>
        <w:t xml:space="preserve"> GR, </w:t>
      </w:r>
      <w:proofErr w:type="spellStart"/>
      <w:r w:rsidRPr="000137B8">
        <w:rPr>
          <w:rFonts w:ascii="Arial" w:hAnsi="Arial" w:cs="Arial"/>
          <w:sz w:val="22"/>
          <w:szCs w:val="22"/>
        </w:rPr>
        <w:t>Boehnke</w:t>
      </w:r>
      <w:proofErr w:type="spellEnd"/>
      <w:r w:rsidRPr="000137B8">
        <w:rPr>
          <w:rFonts w:ascii="Arial" w:hAnsi="Arial" w:cs="Arial"/>
          <w:sz w:val="22"/>
          <w:szCs w:val="22"/>
        </w:rPr>
        <w:t xml:space="preserve"> M (2006) Joint analysis is more efficient than replicated-based analysis for two-stage genome-wide association studies. Am J Hum Genet 38(2):209-</w:t>
      </w:r>
      <w:proofErr w:type="gramStart"/>
      <w:r w:rsidRPr="000137B8">
        <w:rPr>
          <w:rFonts w:ascii="Arial" w:hAnsi="Arial" w:cs="Arial"/>
          <w:sz w:val="22"/>
          <w:szCs w:val="22"/>
        </w:rPr>
        <w:t>213.</w:t>
      </w:r>
      <w:proofErr w:type="gramEnd"/>
    </w:p>
    <w:sectPr w:rsidR="00FB627A" w:rsidRPr="000137B8" w:rsidSect="00441E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C2948"/>
    <w:multiLevelType w:val="hybridMultilevel"/>
    <w:tmpl w:val="E9305BF8"/>
    <w:lvl w:ilvl="0" w:tplc="D25A74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705"/>
    <w:rsid w:val="000137B8"/>
    <w:rsid w:val="000207DF"/>
    <w:rsid w:val="00034B6C"/>
    <w:rsid w:val="00046421"/>
    <w:rsid w:val="00054783"/>
    <w:rsid w:val="00074C7B"/>
    <w:rsid w:val="00093D40"/>
    <w:rsid w:val="000D2972"/>
    <w:rsid w:val="000D5E4F"/>
    <w:rsid w:val="000E1CB7"/>
    <w:rsid w:val="00103593"/>
    <w:rsid w:val="001303F0"/>
    <w:rsid w:val="00133E4E"/>
    <w:rsid w:val="0016036D"/>
    <w:rsid w:val="001A2C91"/>
    <w:rsid w:val="001A5EA4"/>
    <w:rsid w:val="001D1D99"/>
    <w:rsid w:val="001F0E17"/>
    <w:rsid w:val="001F1C7A"/>
    <w:rsid w:val="00207D4B"/>
    <w:rsid w:val="0026087D"/>
    <w:rsid w:val="002804D8"/>
    <w:rsid w:val="002C24CF"/>
    <w:rsid w:val="002C7E1B"/>
    <w:rsid w:val="002F1FB6"/>
    <w:rsid w:val="00316ACA"/>
    <w:rsid w:val="003172E1"/>
    <w:rsid w:val="00332BD1"/>
    <w:rsid w:val="00334CF7"/>
    <w:rsid w:val="00343F60"/>
    <w:rsid w:val="00355C21"/>
    <w:rsid w:val="003A1F64"/>
    <w:rsid w:val="003D1E7D"/>
    <w:rsid w:val="003D200C"/>
    <w:rsid w:val="00431449"/>
    <w:rsid w:val="00441E3D"/>
    <w:rsid w:val="00456721"/>
    <w:rsid w:val="00481B52"/>
    <w:rsid w:val="004A42EC"/>
    <w:rsid w:val="004F008E"/>
    <w:rsid w:val="00536EA7"/>
    <w:rsid w:val="0054123F"/>
    <w:rsid w:val="00550B83"/>
    <w:rsid w:val="00565A59"/>
    <w:rsid w:val="00576384"/>
    <w:rsid w:val="0058084C"/>
    <w:rsid w:val="00596705"/>
    <w:rsid w:val="005A4C8C"/>
    <w:rsid w:val="005B562E"/>
    <w:rsid w:val="005C1D6C"/>
    <w:rsid w:val="005D5551"/>
    <w:rsid w:val="005E29F1"/>
    <w:rsid w:val="005F4166"/>
    <w:rsid w:val="0065461B"/>
    <w:rsid w:val="00665A1F"/>
    <w:rsid w:val="00687DC4"/>
    <w:rsid w:val="00693750"/>
    <w:rsid w:val="00694E46"/>
    <w:rsid w:val="006C2814"/>
    <w:rsid w:val="0071469A"/>
    <w:rsid w:val="00731A40"/>
    <w:rsid w:val="0073389A"/>
    <w:rsid w:val="00737AEA"/>
    <w:rsid w:val="00767BB9"/>
    <w:rsid w:val="00774F33"/>
    <w:rsid w:val="007753D2"/>
    <w:rsid w:val="00780FF0"/>
    <w:rsid w:val="007C6427"/>
    <w:rsid w:val="00802724"/>
    <w:rsid w:val="00802AFD"/>
    <w:rsid w:val="00847152"/>
    <w:rsid w:val="00854BBA"/>
    <w:rsid w:val="008668AF"/>
    <w:rsid w:val="00871817"/>
    <w:rsid w:val="008A3E7D"/>
    <w:rsid w:val="008A5964"/>
    <w:rsid w:val="008D5BC9"/>
    <w:rsid w:val="008F25B9"/>
    <w:rsid w:val="00914B44"/>
    <w:rsid w:val="00933B8F"/>
    <w:rsid w:val="00940A18"/>
    <w:rsid w:val="0095183E"/>
    <w:rsid w:val="00955FB4"/>
    <w:rsid w:val="009C5E4A"/>
    <w:rsid w:val="009D19AF"/>
    <w:rsid w:val="009F0A18"/>
    <w:rsid w:val="00A375A1"/>
    <w:rsid w:val="00A533B9"/>
    <w:rsid w:val="00A77A99"/>
    <w:rsid w:val="00AE513B"/>
    <w:rsid w:val="00AF49F5"/>
    <w:rsid w:val="00B16C8B"/>
    <w:rsid w:val="00B311D9"/>
    <w:rsid w:val="00B3658E"/>
    <w:rsid w:val="00B4571F"/>
    <w:rsid w:val="00BD4213"/>
    <w:rsid w:val="00BE29FC"/>
    <w:rsid w:val="00C31E42"/>
    <w:rsid w:val="00C35B88"/>
    <w:rsid w:val="00C5798D"/>
    <w:rsid w:val="00C8631A"/>
    <w:rsid w:val="00CD395E"/>
    <w:rsid w:val="00D5457D"/>
    <w:rsid w:val="00D70C1B"/>
    <w:rsid w:val="00D76C82"/>
    <w:rsid w:val="00DC010D"/>
    <w:rsid w:val="00E03594"/>
    <w:rsid w:val="00E0402C"/>
    <w:rsid w:val="00E06F02"/>
    <w:rsid w:val="00E176AF"/>
    <w:rsid w:val="00E82F51"/>
    <w:rsid w:val="00E85280"/>
    <w:rsid w:val="00E86003"/>
    <w:rsid w:val="00E93A20"/>
    <w:rsid w:val="00EB3A97"/>
    <w:rsid w:val="00EE4DF5"/>
    <w:rsid w:val="00F51CD3"/>
    <w:rsid w:val="00F717A4"/>
    <w:rsid w:val="00FB627A"/>
    <w:rsid w:val="00FD153A"/>
    <w:rsid w:val="00FE3A02"/>
    <w:rsid w:val="00FF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8249C5"/>
  <w15:docId w15:val="{07DED061-A459-4D67-B91F-B5E6EA019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27A"/>
    <w:pPr>
      <w:ind w:left="720"/>
      <w:contextualSpacing/>
    </w:pPr>
  </w:style>
  <w:style w:type="character" w:customStyle="1" w:styleId="author">
    <w:name w:val="author"/>
    <w:basedOn w:val="DefaultParagraphFont"/>
    <w:rsid w:val="00FB627A"/>
  </w:style>
  <w:style w:type="character" w:customStyle="1" w:styleId="apple-converted-space">
    <w:name w:val="apple-converted-space"/>
    <w:basedOn w:val="DefaultParagraphFont"/>
    <w:rsid w:val="00FB627A"/>
  </w:style>
  <w:style w:type="character" w:customStyle="1" w:styleId="articletitle">
    <w:name w:val="articletitle"/>
    <w:basedOn w:val="DefaultParagraphFont"/>
    <w:rsid w:val="00FB627A"/>
  </w:style>
  <w:style w:type="paragraph" w:styleId="BalloonText">
    <w:name w:val="Balloon Text"/>
    <w:basedOn w:val="Normal"/>
    <w:link w:val="BalloonTextChar"/>
    <w:rsid w:val="00694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94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3BF6DF76.dotm</Template>
  <TotalTime>598</TotalTime>
  <Pages>6</Pages>
  <Words>2935</Words>
  <Characters>17970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Schrodi, Steven J PHD</dc:creator>
  <cp:lastModifiedBy>Guo, Shicheng</cp:lastModifiedBy>
  <cp:revision>16</cp:revision>
  <cp:lastPrinted>2019-11-07T23:26:00Z</cp:lastPrinted>
  <dcterms:created xsi:type="dcterms:W3CDTF">2019-11-06T22:09:00Z</dcterms:created>
  <dcterms:modified xsi:type="dcterms:W3CDTF">2019-11-12T03:17:00Z</dcterms:modified>
</cp:coreProperties>
</file>