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5D6" w:rsidRPr="00DE051F" w:rsidRDefault="00A565D6" w:rsidP="00A565D6">
      <w:pPr>
        <w:rPr>
          <w:rFonts w:ascii="Times New Roman" w:hAnsi="Times New Roman" w:cs="Times New Roman"/>
          <w:szCs w:val="21"/>
        </w:rPr>
      </w:pPr>
      <w:r w:rsidRPr="00DE051F">
        <w:rPr>
          <w:rFonts w:ascii="Times New Roman" w:hAnsi="Times New Roman" w:cs="Times New Roman"/>
          <w:szCs w:val="21"/>
        </w:rPr>
        <w:t>Materials and Methods</w:t>
      </w:r>
    </w:p>
    <w:p w:rsidR="00097F66" w:rsidRDefault="00097F66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8327D" w:rsidRDefault="00A565D6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E051F">
        <w:rPr>
          <w:rFonts w:ascii="Times New Roman" w:hAnsi="Times New Roman" w:cs="Times New Roman"/>
          <w:kern w:val="0"/>
          <w:szCs w:val="21"/>
        </w:rPr>
        <w:t xml:space="preserve">412 </w:t>
      </w:r>
      <w:proofErr w:type="spellStart"/>
      <w:r w:rsidRPr="00DE051F">
        <w:rPr>
          <w:rFonts w:ascii="Times New Roman" w:hAnsi="Times New Roman" w:cs="Times New Roman"/>
          <w:kern w:val="0"/>
          <w:szCs w:val="21"/>
        </w:rPr>
        <w:t>OvCa</w:t>
      </w:r>
      <w:proofErr w:type="spellEnd"/>
      <w:r w:rsidRPr="00DE051F">
        <w:rPr>
          <w:rFonts w:ascii="Times New Roman" w:hAnsi="Times New Roman" w:cs="Times New Roman"/>
          <w:kern w:val="0"/>
          <w:szCs w:val="21"/>
        </w:rPr>
        <w:t xml:space="preserve"> patients in the TCGA database with raw Bam dataset [22] are obtained </w:t>
      </w:r>
      <w:r w:rsidR="00A03AE5">
        <w:rPr>
          <w:rFonts w:ascii="Times New Roman" w:hAnsi="Times New Roman" w:cs="Times New Roman" w:hint="eastAsia"/>
          <w:kern w:val="0"/>
          <w:szCs w:val="21"/>
        </w:rPr>
        <w:t xml:space="preserve">to </w:t>
      </w:r>
      <w:r w:rsidR="00A03AE5">
        <w:rPr>
          <w:rFonts w:ascii="Times New Roman" w:hAnsi="Times New Roman" w:cs="Times New Roman"/>
          <w:kern w:val="0"/>
          <w:szCs w:val="21"/>
        </w:rPr>
        <w:t>gener</w:t>
      </w:r>
      <w:r w:rsidR="00A03AE5">
        <w:rPr>
          <w:rFonts w:ascii="Times New Roman" w:hAnsi="Times New Roman" w:cs="Times New Roman" w:hint="eastAsia"/>
          <w:kern w:val="0"/>
          <w:szCs w:val="21"/>
        </w:rPr>
        <w:t xml:space="preserve">ate </w:t>
      </w:r>
      <w:r w:rsidR="000F69AA">
        <w:rPr>
          <w:rFonts w:ascii="Times New Roman" w:hAnsi="Times New Roman" w:cs="Times New Roman" w:hint="eastAsia"/>
          <w:kern w:val="0"/>
          <w:szCs w:val="21"/>
        </w:rPr>
        <w:t xml:space="preserve">the </w:t>
      </w:r>
      <w:r w:rsidRPr="00DE051F">
        <w:rPr>
          <w:rFonts w:ascii="Times New Roman" w:hAnsi="Times New Roman" w:cs="Times New Roman"/>
          <w:kern w:val="0"/>
          <w:szCs w:val="21"/>
        </w:rPr>
        <w:t>expression curve profile</w:t>
      </w:r>
      <w:r w:rsidR="00A5474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03157B">
        <w:rPr>
          <w:rFonts w:ascii="Times New Roman" w:hAnsi="Times New Roman" w:cs="Times New Roman" w:hint="eastAsia"/>
          <w:kern w:val="0"/>
          <w:szCs w:val="21"/>
        </w:rPr>
        <w:t>(</w:t>
      </w:r>
      <w:r w:rsidR="0003157B" w:rsidRPr="00CA4C42">
        <w:rPr>
          <w:rFonts w:ascii="Times New Roman" w:hAnsi="Times New Roman" w:cs="Times New Roman"/>
        </w:rPr>
        <w:t>TCGA-23-1023-01</w:t>
      </w:r>
      <w:r w:rsidR="0003157B">
        <w:rPr>
          <w:rFonts w:ascii="Times New Roman" w:hAnsi="Times New Roman" w:cs="Times New Roman" w:hint="eastAsia"/>
        </w:rPr>
        <w:t xml:space="preserve"> have two bam files</w:t>
      </w:r>
      <w:r w:rsidR="0003157B">
        <w:rPr>
          <w:rFonts w:ascii="Times New Roman" w:hAnsi="Times New Roman" w:cs="Times New Roman" w:hint="eastAsia"/>
          <w:kern w:val="0"/>
          <w:szCs w:val="21"/>
        </w:rPr>
        <w:t>)</w:t>
      </w:r>
      <w:r w:rsidRPr="00DE051F">
        <w:rPr>
          <w:rFonts w:ascii="Times New Roman" w:hAnsi="Times New Roman" w:cs="Times New Roman"/>
          <w:kern w:val="0"/>
          <w:szCs w:val="21"/>
        </w:rPr>
        <w:t xml:space="preserve">, among which </w:t>
      </w:r>
      <w:r w:rsidR="007437F7">
        <w:rPr>
          <w:rFonts w:ascii="Times New Roman" w:hAnsi="Times New Roman" w:cs="Times New Roman"/>
          <w:kern w:val="0"/>
          <w:szCs w:val="21"/>
        </w:rPr>
        <w:t>163</w:t>
      </w:r>
      <w:r w:rsidRPr="00DE051F">
        <w:rPr>
          <w:rFonts w:ascii="Times New Roman" w:hAnsi="Times New Roman" w:cs="Times New Roman"/>
          <w:kern w:val="0"/>
          <w:szCs w:val="21"/>
        </w:rPr>
        <w:t xml:space="preserve"> patients are sensitive to chemotherapy, and </w:t>
      </w:r>
      <w:r w:rsidR="001453BB" w:rsidRPr="001453BB">
        <w:rPr>
          <w:rFonts w:ascii="Times New Roman" w:hAnsi="Times New Roman" w:cs="Times New Roman"/>
          <w:kern w:val="0"/>
          <w:szCs w:val="21"/>
        </w:rPr>
        <w:t>70</w:t>
      </w:r>
      <w:r w:rsidRPr="00DE051F">
        <w:rPr>
          <w:rFonts w:ascii="Times New Roman" w:hAnsi="Times New Roman" w:cs="Times New Roman"/>
          <w:kern w:val="0"/>
          <w:szCs w:val="21"/>
        </w:rPr>
        <w:t xml:space="preserve"> are </w:t>
      </w:r>
      <w:proofErr w:type="spellStart"/>
      <w:r w:rsidRPr="00DE051F">
        <w:rPr>
          <w:rFonts w:ascii="Times New Roman" w:hAnsi="Times New Roman" w:cs="Times New Roman"/>
          <w:kern w:val="0"/>
          <w:szCs w:val="21"/>
        </w:rPr>
        <w:t>chemoresistant</w:t>
      </w:r>
      <w:proofErr w:type="spellEnd"/>
      <w:r w:rsidRPr="00DE051F">
        <w:rPr>
          <w:rFonts w:ascii="Times New Roman" w:hAnsi="Times New Roman" w:cs="Times New Roman"/>
          <w:kern w:val="0"/>
          <w:szCs w:val="21"/>
        </w:rPr>
        <w:t>. Platinum status is</w:t>
      </w:r>
      <w:r w:rsidR="000A723B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E051F">
        <w:rPr>
          <w:rFonts w:ascii="Times New Roman" w:hAnsi="Times New Roman" w:cs="Times New Roman"/>
          <w:kern w:val="0"/>
          <w:szCs w:val="21"/>
        </w:rPr>
        <w:t>defined as resistant if the pat</w:t>
      </w:r>
      <w:r w:rsidR="002D7446">
        <w:rPr>
          <w:rFonts w:ascii="Times New Roman" w:hAnsi="Times New Roman" w:cs="Times New Roman"/>
          <w:kern w:val="0"/>
          <w:szCs w:val="21"/>
        </w:rPr>
        <w:t>ient recurred within six months</w:t>
      </w:r>
      <w:r w:rsidR="002D7446">
        <w:rPr>
          <w:rFonts w:ascii="Times New Roman" w:hAnsi="Times New Roman" w:cs="Times New Roman" w:hint="eastAsia"/>
          <w:kern w:val="0"/>
          <w:szCs w:val="21"/>
        </w:rPr>
        <w:t xml:space="preserve"> or else </w:t>
      </w:r>
      <w:r w:rsidRPr="00DE051F">
        <w:rPr>
          <w:rFonts w:ascii="Times New Roman" w:hAnsi="Times New Roman" w:cs="Times New Roman"/>
          <w:kern w:val="0"/>
          <w:szCs w:val="21"/>
        </w:rPr>
        <w:t xml:space="preserve">sensitive if the platinum free interval is six months or greater, there is no evidence of progression or recurrence, and the follow-up interval is at least six months from the date of last primary platinum treatment </w:t>
      </w:r>
      <w:r w:rsidR="0018327D">
        <w:rPr>
          <w:rFonts w:ascii="Times New Roman" w:hAnsi="Times New Roman" w:cs="Times New Roman" w:hint="eastAsia"/>
          <w:kern w:val="0"/>
          <w:szCs w:val="21"/>
        </w:rPr>
        <w:t xml:space="preserve">defined by TCGA </w:t>
      </w:r>
      <w:r w:rsidR="0018327D" w:rsidRPr="0018327D">
        <w:rPr>
          <w:rFonts w:ascii="Times New Roman" w:hAnsi="Times New Roman" w:cs="Times New Roman"/>
          <w:kern w:val="0"/>
          <w:szCs w:val="21"/>
        </w:rPr>
        <w:t xml:space="preserve">committee </w:t>
      </w:r>
      <w:r w:rsidRPr="00DE051F">
        <w:rPr>
          <w:rFonts w:ascii="Times New Roman" w:hAnsi="Times New Roman" w:cs="Times New Roman"/>
          <w:kern w:val="0"/>
          <w:szCs w:val="21"/>
        </w:rPr>
        <w:t xml:space="preserve">[22]. </w:t>
      </w:r>
      <w:r w:rsidR="00D431EC" w:rsidRPr="00D431EC">
        <w:rPr>
          <w:rFonts w:ascii="Times New Roman" w:hAnsi="Times New Roman" w:cs="Times New Roman" w:hint="eastAsia"/>
          <w:kern w:val="0"/>
          <w:szCs w:val="21"/>
          <w:highlight w:val="yellow"/>
        </w:rPr>
        <w:t>[</w:t>
      </w:r>
      <w:proofErr w:type="gramStart"/>
      <w:r w:rsidR="00D431EC" w:rsidRPr="00D431EC">
        <w:rPr>
          <w:rFonts w:ascii="Times New Roman" w:hAnsi="Times New Roman" w:cs="Times New Roman" w:hint="eastAsia"/>
          <w:kern w:val="0"/>
          <w:szCs w:val="21"/>
          <w:highlight w:val="yellow"/>
        </w:rPr>
        <w:t>table</w:t>
      </w:r>
      <w:proofErr w:type="gramEnd"/>
      <w:r w:rsidR="00D431EC" w:rsidRPr="00D431EC">
        <w:rPr>
          <w:rFonts w:ascii="Times New Roman" w:hAnsi="Times New Roman" w:cs="Times New Roman" w:hint="eastAsia"/>
          <w:kern w:val="0"/>
          <w:szCs w:val="21"/>
          <w:highlight w:val="yellow"/>
        </w:rPr>
        <w:t xml:space="preserve">, </w:t>
      </w:r>
      <w:r w:rsidR="00D431EC" w:rsidRPr="00D431EC">
        <w:rPr>
          <w:rFonts w:ascii="Times New Roman" w:hAnsi="Times New Roman" w:cs="Times New Roman"/>
          <w:kern w:val="0"/>
          <w:szCs w:val="21"/>
          <w:highlight w:val="yellow"/>
        </w:rPr>
        <w:t>clinical</w:t>
      </w:r>
      <w:r w:rsidR="00D431EC" w:rsidRPr="00D431EC">
        <w:rPr>
          <w:rFonts w:ascii="Times New Roman" w:hAnsi="Times New Roman" w:cs="Times New Roman" w:hint="eastAsia"/>
          <w:kern w:val="0"/>
          <w:szCs w:val="21"/>
          <w:highlight w:val="yellow"/>
        </w:rPr>
        <w:t xml:space="preserve"> information]</w:t>
      </w:r>
      <w:r w:rsidR="00144B89">
        <w:rPr>
          <w:rFonts w:ascii="Times New Roman" w:hAnsi="Times New Roman" w:cs="Times New Roman" w:hint="eastAsia"/>
          <w:kern w:val="0"/>
          <w:szCs w:val="21"/>
        </w:rPr>
        <w:t xml:space="preserve">. Then we get gene </w:t>
      </w:r>
      <w:proofErr w:type="gramStart"/>
      <w:r w:rsidR="00144B89">
        <w:rPr>
          <w:rFonts w:ascii="Times New Roman" w:hAnsi="Times New Roman" w:cs="Times New Roman" w:hint="eastAsia"/>
          <w:kern w:val="0"/>
          <w:szCs w:val="21"/>
        </w:rPr>
        <w:t>expression</w:t>
      </w:r>
      <w:r w:rsidR="002B5261" w:rsidRPr="002B5261">
        <w:rPr>
          <w:rFonts w:ascii="Times New Roman" w:hAnsi="Times New Roman" w:cs="Times New Roman" w:hint="eastAsia"/>
          <w:kern w:val="0"/>
          <w:szCs w:val="21"/>
          <w:highlight w:val="yellow"/>
        </w:rPr>
        <w:t>[</w:t>
      </w:r>
      <w:proofErr w:type="gramEnd"/>
      <w:r w:rsidR="009E1CA5">
        <w:rPr>
          <w:rFonts w:ascii="Times New Roman" w:hAnsi="Times New Roman" w:cs="Times New Roman" w:hint="eastAsia"/>
          <w:kern w:val="0"/>
          <w:szCs w:val="21"/>
          <w:highlight w:val="yellow"/>
        </w:rPr>
        <w:t>233</w:t>
      </w:r>
      <w:r w:rsidR="002B5261" w:rsidRPr="002B5261">
        <w:rPr>
          <w:rFonts w:ascii="Times New Roman" w:hAnsi="Times New Roman" w:cs="Times New Roman" w:hint="eastAsia"/>
          <w:kern w:val="0"/>
          <w:szCs w:val="21"/>
          <w:highlight w:val="yellow"/>
        </w:rPr>
        <w:t>]</w:t>
      </w:r>
      <w:r w:rsidR="00144B89">
        <w:rPr>
          <w:rFonts w:ascii="Times New Roman" w:hAnsi="Times New Roman" w:cs="Times New Roman" w:hint="eastAsia"/>
          <w:kern w:val="0"/>
          <w:szCs w:val="21"/>
        </w:rPr>
        <w:t>, methylation</w:t>
      </w:r>
      <w:r w:rsidR="002B5261" w:rsidRPr="002B5261">
        <w:rPr>
          <w:rFonts w:ascii="Times New Roman" w:hAnsi="Times New Roman" w:cs="Times New Roman" w:hint="eastAsia"/>
          <w:kern w:val="0"/>
          <w:szCs w:val="21"/>
          <w:highlight w:val="yellow"/>
        </w:rPr>
        <w:t>[</w:t>
      </w:r>
      <w:r w:rsidR="001E132B">
        <w:rPr>
          <w:rFonts w:ascii="Times New Roman" w:hAnsi="Times New Roman" w:cs="Times New Roman" w:hint="eastAsia"/>
          <w:kern w:val="0"/>
          <w:szCs w:val="21"/>
          <w:highlight w:val="yellow"/>
        </w:rPr>
        <w:t>233</w:t>
      </w:r>
      <w:r w:rsidR="002B5261" w:rsidRPr="002B5261">
        <w:rPr>
          <w:rFonts w:ascii="Times New Roman" w:hAnsi="Times New Roman" w:cs="Times New Roman" w:hint="eastAsia"/>
          <w:kern w:val="0"/>
          <w:szCs w:val="21"/>
          <w:highlight w:val="yellow"/>
        </w:rPr>
        <w:t>]</w:t>
      </w:r>
      <w:r w:rsidR="00144B89">
        <w:rPr>
          <w:rFonts w:ascii="Times New Roman" w:hAnsi="Times New Roman" w:cs="Times New Roman" w:hint="eastAsia"/>
          <w:kern w:val="0"/>
          <w:szCs w:val="21"/>
        </w:rPr>
        <w:t xml:space="preserve"> dataset of these 233 patients.</w:t>
      </w:r>
    </w:p>
    <w:p w:rsidR="00DA2D3E" w:rsidRDefault="00DA2D3E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DA2D3E" w:rsidRPr="0070328B" w:rsidRDefault="004B562F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  <w:highlight w:val="yellow"/>
        </w:rPr>
      </w:pPr>
      <w:bookmarkStart w:id="0" w:name="_GoBack"/>
      <w:r w:rsidRPr="0070328B">
        <w:rPr>
          <w:rFonts w:ascii="Times New Roman" w:hAnsi="Times New Roman" w:cs="Times New Roman"/>
          <w:kern w:val="0"/>
          <w:szCs w:val="21"/>
          <w:highlight w:val="yellow"/>
        </w:rPr>
        <w:t>TCGA-23-1023-01A</w:t>
      </w:r>
      <w:bookmarkEnd w:id="0"/>
      <w:r w:rsidRPr="0070328B">
        <w:rPr>
          <w:rFonts w:ascii="Times New Roman" w:hAnsi="Times New Roman" w:cs="Times New Roman"/>
          <w:kern w:val="0"/>
          <w:szCs w:val="21"/>
          <w:highlight w:val="yellow"/>
        </w:rPr>
        <w:t>-0</w:t>
      </w:r>
      <w:r w:rsidRPr="0070328B">
        <w:rPr>
          <w:rFonts w:ascii="Times New Roman" w:hAnsi="Times New Roman" w:cs="Times New Roman" w:hint="eastAsia"/>
          <w:kern w:val="0"/>
          <w:szCs w:val="21"/>
          <w:highlight w:val="yellow"/>
        </w:rPr>
        <w:t>1</w:t>
      </w:r>
      <w:r w:rsidRPr="0070328B">
        <w:rPr>
          <w:rFonts w:ascii="Times New Roman" w:hAnsi="Times New Roman" w:cs="Times New Roman"/>
          <w:kern w:val="0"/>
          <w:szCs w:val="21"/>
          <w:highlight w:val="yellow"/>
        </w:rPr>
        <w:t>R-1564-13_GRCh37-lite_rnaseq.bam</w:t>
      </w:r>
    </w:p>
    <w:p w:rsidR="004B562F" w:rsidRDefault="004B562F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70328B">
        <w:rPr>
          <w:rFonts w:ascii="Times New Roman" w:hAnsi="Times New Roman" w:cs="Times New Roman"/>
          <w:kern w:val="0"/>
          <w:szCs w:val="21"/>
          <w:highlight w:val="yellow"/>
        </w:rPr>
        <w:t>TCGA-23-1023-01A-02R-1564-13_GRCh37-lite_rnaseq.bam</w:t>
      </w:r>
    </w:p>
    <w:p w:rsidR="00DA2D3E" w:rsidRDefault="00DA2D3E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</w:p>
    <w:p w:rsidR="008C37E5" w:rsidRDefault="008C37E5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144B89" w:rsidRDefault="00C97CD1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Table 1, clinical information of these 233 sample</w:t>
      </w:r>
      <w:r w:rsidR="004D72C3">
        <w:rPr>
          <w:rFonts w:ascii="Times New Roman" w:hAnsi="Times New Roman" w:cs="Times New Roman" w:hint="eastAsia"/>
          <w:kern w:val="0"/>
          <w:szCs w:val="21"/>
        </w:rPr>
        <w:t>s</w:t>
      </w:r>
    </w:p>
    <w:p w:rsidR="0071127C" w:rsidRDefault="0071127C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1127C" w:rsidTr="0071127C"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5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5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71127C" w:rsidTr="0071127C"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5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5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71127C" w:rsidTr="0071127C"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5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5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71127C" w:rsidTr="0071127C"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5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5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71127C" w:rsidTr="0071127C"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4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5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5" w:type="dxa"/>
          </w:tcPr>
          <w:p w:rsidR="0071127C" w:rsidRDefault="0071127C" w:rsidP="00F01DF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</w:tbl>
    <w:p w:rsidR="0071127C" w:rsidRDefault="0071127C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FB0B48" w:rsidRDefault="00FB0B48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A565D6" w:rsidRPr="00DE051F" w:rsidRDefault="00A565D6" w:rsidP="00F01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DE051F">
        <w:rPr>
          <w:rFonts w:ascii="Times New Roman" w:hAnsi="Times New Roman" w:cs="Times New Roman"/>
          <w:kern w:val="0"/>
          <w:szCs w:val="21"/>
        </w:rPr>
        <w:t xml:space="preserve">Compared with patients who are </w:t>
      </w:r>
      <w:proofErr w:type="spellStart"/>
      <w:r w:rsidRPr="00DE051F">
        <w:rPr>
          <w:rFonts w:ascii="Times New Roman" w:hAnsi="Times New Roman" w:cs="Times New Roman"/>
          <w:kern w:val="0"/>
          <w:szCs w:val="21"/>
        </w:rPr>
        <w:t>chemosensitive</w:t>
      </w:r>
      <w:proofErr w:type="spellEnd"/>
      <w:r w:rsidRPr="00DE051F">
        <w:rPr>
          <w:rFonts w:ascii="Times New Roman" w:hAnsi="Times New Roman" w:cs="Times New Roman"/>
          <w:kern w:val="0"/>
          <w:szCs w:val="21"/>
        </w:rPr>
        <w:t xml:space="preserve">, the </w:t>
      </w:r>
      <w:proofErr w:type="spellStart"/>
      <w:r w:rsidRPr="00DE051F">
        <w:rPr>
          <w:rFonts w:ascii="Times New Roman" w:hAnsi="Times New Roman" w:cs="Times New Roman"/>
          <w:kern w:val="0"/>
          <w:szCs w:val="21"/>
        </w:rPr>
        <w:t>chemoresistant</w:t>
      </w:r>
      <w:proofErr w:type="spellEnd"/>
      <w:r w:rsidRPr="00DE051F">
        <w:rPr>
          <w:rFonts w:ascii="Times New Roman" w:hAnsi="Times New Roman" w:cs="Times New Roman"/>
          <w:kern w:val="0"/>
          <w:szCs w:val="21"/>
        </w:rPr>
        <w:t xml:space="preserve"> patients exhibit relatively poorer overall survival (OS; median, 53.9 vs. 33.8</w:t>
      </w:r>
      <w:r w:rsidR="00F822D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DE051F">
        <w:rPr>
          <w:rFonts w:ascii="Times New Roman" w:hAnsi="Times New Roman" w:cs="Times New Roman"/>
          <w:kern w:val="0"/>
          <w:szCs w:val="21"/>
        </w:rPr>
        <w:t>months; p</w:t>
      </w:r>
      <w:proofErr w:type="gramStart"/>
      <w:r w:rsidRPr="00DE051F">
        <w:rPr>
          <w:rFonts w:ascii="Times New Roman" w:eastAsia="AdvP7DA6" w:hAnsi="Times New Roman" w:cs="Times New Roman"/>
          <w:kern w:val="0"/>
          <w:szCs w:val="21"/>
        </w:rPr>
        <w:t>,</w:t>
      </w:r>
      <w:r w:rsidRPr="00DE051F">
        <w:rPr>
          <w:rFonts w:ascii="Times New Roman" w:hAnsi="Times New Roman" w:cs="Times New Roman"/>
          <w:kern w:val="0"/>
          <w:szCs w:val="21"/>
        </w:rPr>
        <w:t>0.0001</w:t>
      </w:r>
      <w:proofErr w:type="gramEnd"/>
      <w:r w:rsidRPr="00DE051F">
        <w:rPr>
          <w:rFonts w:ascii="Times New Roman" w:hAnsi="Times New Roman" w:cs="Times New Roman"/>
          <w:kern w:val="0"/>
          <w:szCs w:val="21"/>
        </w:rPr>
        <w:t>) and progression-free survival (PFS; median,</w:t>
      </w:r>
      <w:r w:rsidR="00F01DF6" w:rsidRPr="00DE051F">
        <w:rPr>
          <w:rFonts w:ascii="Times New Roman" w:hAnsi="Times New Roman" w:cs="Times New Roman"/>
          <w:kern w:val="0"/>
          <w:szCs w:val="21"/>
        </w:rPr>
        <w:t xml:space="preserve"> </w:t>
      </w:r>
      <w:r w:rsidRPr="00DE051F">
        <w:rPr>
          <w:rFonts w:ascii="Times New Roman" w:hAnsi="Times New Roman" w:cs="Times New Roman"/>
          <w:kern w:val="0"/>
          <w:szCs w:val="21"/>
        </w:rPr>
        <w:t>25.8 vs. 9.3 months; p</w:t>
      </w:r>
      <w:r w:rsidRPr="00DE051F">
        <w:rPr>
          <w:rFonts w:ascii="Times New Roman" w:eastAsia="AdvP7DA6" w:hAnsi="Times New Roman" w:cs="Times New Roman"/>
          <w:kern w:val="0"/>
          <w:szCs w:val="21"/>
        </w:rPr>
        <w:t>,</w:t>
      </w:r>
      <w:r w:rsidRPr="00DE051F">
        <w:rPr>
          <w:rFonts w:ascii="Times New Roman" w:hAnsi="Times New Roman" w:cs="Times New Roman"/>
          <w:kern w:val="0"/>
          <w:szCs w:val="21"/>
        </w:rPr>
        <w:t>0.0001; Figure S3). Other characteristics</w:t>
      </w:r>
      <w:r w:rsidR="00F01DF6" w:rsidRPr="00DE051F">
        <w:rPr>
          <w:rFonts w:ascii="Times New Roman" w:hAnsi="Times New Roman" w:cs="Times New Roman"/>
          <w:kern w:val="0"/>
          <w:szCs w:val="21"/>
        </w:rPr>
        <w:t xml:space="preserve"> </w:t>
      </w:r>
      <w:r w:rsidRPr="00DE051F">
        <w:rPr>
          <w:rFonts w:ascii="Times New Roman" w:hAnsi="Times New Roman" w:cs="Times New Roman"/>
          <w:kern w:val="0"/>
          <w:szCs w:val="21"/>
        </w:rPr>
        <w:t>of these 253 patients are listed in Table 1. The average age at</w:t>
      </w:r>
      <w:r w:rsidR="00F01DF6" w:rsidRPr="00DE051F">
        <w:rPr>
          <w:rFonts w:ascii="Times New Roman" w:hAnsi="Times New Roman" w:cs="Times New Roman"/>
          <w:kern w:val="0"/>
          <w:szCs w:val="21"/>
        </w:rPr>
        <w:t xml:space="preserve"> </w:t>
      </w:r>
      <w:r w:rsidRPr="00DE051F">
        <w:rPr>
          <w:rFonts w:ascii="Times New Roman" w:hAnsi="Times New Roman" w:cs="Times New Roman"/>
          <w:kern w:val="0"/>
          <w:szCs w:val="21"/>
        </w:rPr>
        <w:t>diagnosis is 61.7 years (range, 38.0 to 84.7 years) for the</w:t>
      </w:r>
      <w:r w:rsidR="00F01DF6" w:rsidRPr="00DE051F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Pr="00DE051F">
        <w:rPr>
          <w:rFonts w:ascii="Times New Roman" w:hAnsi="Times New Roman" w:cs="Times New Roman"/>
          <w:kern w:val="0"/>
          <w:szCs w:val="21"/>
        </w:rPr>
        <w:t>chemoresistant</w:t>
      </w:r>
      <w:proofErr w:type="spellEnd"/>
      <w:r w:rsidRPr="00DE051F">
        <w:rPr>
          <w:rFonts w:ascii="Times New Roman" w:hAnsi="Times New Roman" w:cs="Times New Roman"/>
          <w:kern w:val="0"/>
          <w:szCs w:val="21"/>
        </w:rPr>
        <w:t xml:space="preserve"> group and 59.1 years (range, 30.5 to 87.5 years)</w:t>
      </w:r>
      <w:r w:rsidR="00F01DF6" w:rsidRPr="00DE051F">
        <w:rPr>
          <w:rFonts w:ascii="Times New Roman" w:hAnsi="Times New Roman" w:cs="Times New Roman"/>
          <w:kern w:val="0"/>
          <w:szCs w:val="21"/>
        </w:rPr>
        <w:t xml:space="preserve"> </w:t>
      </w:r>
      <w:r w:rsidRPr="00DE051F">
        <w:rPr>
          <w:rFonts w:ascii="Times New Roman" w:hAnsi="Times New Roman" w:cs="Times New Roman"/>
          <w:kern w:val="0"/>
          <w:szCs w:val="21"/>
        </w:rPr>
        <w:t xml:space="preserve">for the </w:t>
      </w:r>
      <w:proofErr w:type="spellStart"/>
      <w:r w:rsidRPr="00DE051F">
        <w:rPr>
          <w:rFonts w:ascii="Times New Roman" w:hAnsi="Times New Roman" w:cs="Times New Roman"/>
          <w:kern w:val="0"/>
          <w:szCs w:val="21"/>
        </w:rPr>
        <w:t>chemosensitive</w:t>
      </w:r>
      <w:proofErr w:type="spellEnd"/>
      <w:r w:rsidRPr="00DE051F">
        <w:rPr>
          <w:rFonts w:ascii="Times New Roman" w:hAnsi="Times New Roman" w:cs="Times New Roman"/>
          <w:kern w:val="0"/>
          <w:szCs w:val="21"/>
        </w:rPr>
        <w:t xml:space="preserve"> group. Up to 84% of the </w:t>
      </w:r>
      <w:proofErr w:type="spellStart"/>
      <w:r w:rsidRPr="00DE051F">
        <w:rPr>
          <w:rFonts w:ascii="Times New Roman" w:hAnsi="Times New Roman" w:cs="Times New Roman"/>
          <w:kern w:val="0"/>
          <w:szCs w:val="21"/>
        </w:rPr>
        <w:t>chemosensitive</w:t>
      </w:r>
      <w:proofErr w:type="spellEnd"/>
      <w:r w:rsidR="00F01DF6" w:rsidRPr="00DE051F">
        <w:rPr>
          <w:rFonts w:ascii="Times New Roman" w:hAnsi="Times New Roman" w:cs="Times New Roman"/>
          <w:kern w:val="0"/>
          <w:szCs w:val="21"/>
        </w:rPr>
        <w:t xml:space="preserve"> </w:t>
      </w:r>
      <w:r w:rsidRPr="00DE051F">
        <w:rPr>
          <w:rFonts w:ascii="Times New Roman" w:hAnsi="Times New Roman" w:cs="Times New Roman"/>
          <w:kern w:val="0"/>
          <w:szCs w:val="21"/>
        </w:rPr>
        <w:t>patients show the symptom of recurrent diseases in contrast to</w:t>
      </w:r>
      <w:r w:rsidR="00F01DF6" w:rsidRPr="00DE051F">
        <w:rPr>
          <w:rFonts w:ascii="Times New Roman" w:hAnsi="Times New Roman" w:cs="Times New Roman"/>
          <w:kern w:val="0"/>
          <w:szCs w:val="21"/>
        </w:rPr>
        <w:t xml:space="preserve"> </w:t>
      </w:r>
      <w:r w:rsidRPr="00DE051F">
        <w:rPr>
          <w:rFonts w:ascii="Times New Roman" w:hAnsi="Times New Roman" w:cs="Times New Roman"/>
          <w:kern w:val="0"/>
          <w:szCs w:val="21"/>
        </w:rPr>
        <w:t xml:space="preserve">100% of relapse for the </w:t>
      </w:r>
      <w:proofErr w:type="spellStart"/>
      <w:r w:rsidRPr="00DE051F">
        <w:rPr>
          <w:rFonts w:ascii="Times New Roman" w:hAnsi="Times New Roman" w:cs="Times New Roman"/>
          <w:kern w:val="0"/>
          <w:szCs w:val="21"/>
        </w:rPr>
        <w:t>chemoresistant</w:t>
      </w:r>
      <w:proofErr w:type="spellEnd"/>
      <w:r w:rsidRPr="00DE051F">
        <w:rPr>
          <w:rFonts w:ascii="Times New Roman" w:hAnsi="Times New Roman" w:cs="Times New Roman"/>
          <w:kern w:val="0"/>
          <w:szCs w:val="21"/>
        </w:rPr>
        <w:t xml:space="preserve"> patients. 232 among the</w:t>
      </w:r>
      <w:r w:rsidR="00F01DF6" w:rsidRPr="00DE051F">
        <w:rPr>
          <w:rFonts w:ascii="Times New Roman" w:hAnsi="Times New Roman" w:cs="Times New Roman"/>
          <w:kern w:val="0"/>
          <w:szCs w:val="21"/>
        </w:rPr>
        <w:t xml:space="preserve"> </w:t>
      </w:r>
      <w:r w:rsidRPr="00DE051F">
        <w:rPr>
          <w:rFonts w:ascii="Times New Roman" w:hAnsi="Times New Roman" w:cs="Times New Roman"/>
          <w:kern w:val="0"/>
          <w:szCs w:val="21"/>
        </w:rPr>
        <w:t>253 samples with expression data serve as the TCGA training set</w:t>
      </w:r>
    </w:p>
    <w:p w:rsidR="00A565D6" w:rsidRPr="00DE051F" w:rsidRDefault="00A565D6" w:rsidP="00A565D6">
      <w:pPr>
        <w:rPr>
          <w:rFonts w:ascii="Times New Roman" w:hAnsi="Times New Roman" w:cs="Times New Roman"/>
          <w:szCs w:val="21"/>
        </w:rPr>
      </w:pPr>
    </w:p>
    <w:p w:rsidR="00A565D6" w:rsidRDefault="00DF06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Method,</w:t>
      </w:r>
    </w:p>
    <w:p w:rsidR="00DF0683" w:rsidRDefault="00FE202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Allele specific expression</w:t>
      </w:r>
    </w:p>
    <w:p w:rsidR="002F3FCF" w:rsidRDefault="00DF06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Raw bam files were used to SNP</w:t>
      </w:r>
      <w:r w:rsidR="00B9052E">
        <w:rPr>
          <w:rFonts w:ascii="Times New Roman" w:hAnsi="Times New Roman" w:cs="Times New Roman" w:hint="eastAsia"/>
          <w:szCs w:val="21"/>
        </w:rPr>
        <w:t xml:space="preserve"> calling with </w:t>
      </w:r>
      <w:proofErr w:type="spellStart"/>
      <w:r w:rsidR="00B9052E">
        <w:rPr>
          <w:rFonts w:ascii="Times New Roman" w:hAnsi="Times New Roman" w:cs="Times New Roman" w:hint="eastAsia"/>
          <w:szCs w:val="21"/>
        </w:rPr>
        <w:t>samtools</w:t>
      </w:r>
      <w:proofErr w:type="spellEnd"/>
      <w:r w:rsidR="00B9052E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B9052E">
        <w:rPr>
          <w:rFonts w:ascii="Times New Roman" w:hAnsi="Times New Roman" w:cs="Times New Roman" w:hint="eastAsia"/>
          <w:szCs w:val="21"/>
        </w:rPr>
        <w:t>pipline</w:t>
      </w:r>
      <w:proofErr w:type="spellEnd"/>
      <w:r w:rsidR="00B9052E">
        <w:rPr>
          <w:rFonts w:ascii="Times New Roman" w:hAnsi="Times New Roman" w:cs="Times New Roman" w:hint="eastAsia"/>
          <w:szCs w:val="21"/>
        </w:rPr>
        <w:t xml:space="preserve">. </w:t>
      </w:r>
      <w:r w:rsidR="00B9052E">
        <w:rPr>
          <w:rFonts w:ascii="Times New Roman" w:hAnsi="Times New Roman" w:cs="Times New Roman"/>
          <w:szCs w:val="21"/>
        </w:rPr>
        <w:t>F</w:t>
      </w:r>
      <w:r w:rsidR="00B9052E">
        <w:rPr>
          <w:rFonts w:ascii="Times New Roman" w:hAnsi="Times New Roman" w:cs="Times New Roman" w:hint="eastAsia"/>
          <w:szCs w:val="21"/>
        </w:rPr>
        <w:t>irstly, duplication removing</w:t>
      </w:r>
      <w:r w:rsidR="002F3FCF">
        <w:rPr>
          <w:rFonts w:ascii="Times New Roman" w:hAnsi="Times New Roman" w:cs="Times New Roman" w:hint="eastAsia"/>
          <w:szCs w:val="21"/>
        </w:rPr>
        <w:t xml:space="preserve"> </w:t>
      </w:r>
      <w:r w:rsidR="00D4726E">
        <w:rPr>
          <w:rFonts w:ascii="Times New Roman" w:hAnsi="Times New Roman" w:cs="Times New Roman" w:hint="eastAsia"/>
          <w:szCs w:val="21"/>
        </w:rPr>
        <w:t>with</w:t>
      </w:r>
    </w:p>
    <w:p w:rsidR="002F3FCF" w:rsidRDefault="002F3FCF">
      <w:pPr>
        <w:rPr>
          <w:rFonts w:ascii="Times New Roman" w:hAnsi="Times New Roman" w:cs="Times New Roman"/>
          <w:szCs w:val="21"/>
        </w:rPr>
      </w:pPr>
    </w:p>
    <w:p w:rsidR="00D977A4" w:rsidRDefault="00D977A4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then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</w:p>
    <w:p w:rsidR="00DF0683" w:rsidRDefault="00B9052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="00DF0683" w:rsidRPr="00DF0683">
        <w:rPr>
          <w:rFonts w:ascii="Times New Roman" w:hAnsi="Times New Roman" w:cs="Times New Roman"/>
          <w:szCs w:val="21"/>
        </w:rPr>
        <w:t>required</w:t>
      </w:r>
      <w:proofErr w:type="gramEnd"/>
      <w:r w:rsidR="00DF0683" w:rsidRPr="00DF0683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DF0683" w:rsidRPr="00DF0683">
        <w:rPr>
          <w:rFonts w:ascii="Times New Roman" w:hAnsi="Times New Roman" w:cs="Times New Roman"/>
          <w:szCs w:val="21"/>
        </w:rPr>
        <w:t>Phred</w:t>
      </w:r>
      <w:proofErr w:type="spellEnd"/>
      <w:r w:rsidR="00DF0683" w:rsidRPr="00DF0683">
        <w:rPr>
          <w:rFonts w:ascii="Times New Roman" w:hAnsi="Times New Roman" w:cs="Times New Roman"/>
          <w:szCs w:val="21"/>
        </w:rPr>
        <w:t xml:space="preserve"> score &gt;=20 and additionally 20&lt;= number of reads&lt;= 100 for the SNP position. Also excluded positions with </w:t>
      </w:r>
      <w:proofErr w:type="spellStart"/>
      <w:r w:rsidR="00DF0683" w:rsidRPr="00DF0683">
        <w:rPr>
          <w:rFonts w:ascii="Times New Roman" w:hAnsi="Times New Roman" w:cs="Times New Roman"/>
          <w:szCs w:val="21"/>
        </w:rPr>
        <w:t>indels</w:t>
      </w:r>
      <w:proofErr w:type="spellEnd"/>
      <w:r w:rsidR="00DF0683" w:rsidRPr="00DF0683">
        <w:rPr>
          <w:rFonts w:ascii="Times New Roman" w:hAnsi="Times New Roman" w:cs="Times New Roman"/>
          <w:szCs w:val="21"/>
        </w:rPr>
        <w:t xml:space="preserve"> and &gt;1/4 at the end of a read.</w:t>
      </w:r>
    </w:p>
    <w:p w:rsidR="00B1227B" w:rsidRDefault="00E46FF0" w:rsidP="00B1227B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Q</w:t>
      </w:r>
      <w:r>
        <w:rPr>
          <w:rFonts w:ascii="Times New Roman" w:hAnsi="Times New Roman" w:cs="Times New Roman" w:hint="eastAsia"/>
          <w:szCs w:val="21"/>
        </w:rPr>
        <w:t>uantitative</w:t>
      </w:r>
      <w:r w:rsidR="00803F19">
        <w:rPr>
          <w:rFonts w:ascii="Times New Roman" w:hAnsi="Times New Roman" w:cs="Times New Roman" w:hint="eastAsia"/>
          <w:szCs w:val="21"/>
        </w:rPr>
        <w:t xml:space="preserve"> </w:t>
      </w:r>
      <w:r w:rsidR="00803F19" w:rsidRPr="00B1227B">
        <w:rPr>
          <w:rFonts w:ascii="Times New Roman" w:hAnsi="Times New Roman" w:cs="Times New Roman"/>
          <w:szCs w:val="21"/>
        </w:rPr>
        <w:t>switch</w:t>
      </w:r>
      <w:r w:rsidR="00803F19"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B1227B" w:rsidRPr="00B1227B">
        <w:rPr>
          <w:rFonts w:ascii="Times New Roman" w:hAnsi="Times New Roman" w:cs="Times New Roman"/>
          <w:szCs w:val="21"/>
        </w:rPr>
        <w:t xml:space="preserve">As I mentioned, we wanted heterozygous SNPs in the treated sample (e.g. A and T allele present at ~50:50) that were homozygous in the control sample (only A or T allele present). </w:t>
      </w:r>
    </w:p>
    <w:p w:rsidR="00B1227B" w:rsidRDefault="00803F19" w:rsidP="00B1227B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Q</w:t>
      </w:r>
      <w:r>
        <w:rPr>
          <w:rFonts w:ascii="Times New Roman" w:hAnsi="Times New Roman" w:cs="Times New Roman" w:hint="eastAsia"/>
          <w:szCs w:val="21"/>
        </w:rPr>
        <w:t xml:space="preserve">ualitative </w:t>
      </w:r>
      <w:r w:rsidR="00B1227B" w:rsidRPr="00B1227B">
        <w:rPr>
          <w:rFonts w:ascii="Times New Roman" w:hAnsi="Times New Roman" w:cs="Times New Roman"/>
          <w:szCs w:val="21"/>
        </w:rPr>
        <w:t>switch</w:t>
      </w:r>
      <w:r w:rsidR="000534F0">
        <w:rPr>
          <w:rFonts w:ascii="Times New Roman" w:hAnsi="Times New Roman" w:cs="Times New Roman" w:hint="eastAsia"/>
          <w:szCs w:val="21"/>
        </w:rPr>
        <w:t xml:space="preserve">: </w:t>
      </w:r>
      <w:r w:rsidR="00B1227B" w:rsidRPr="00B1227B">
        <w:rPr>
          <w:rFonts w:ascii="Times New Roman" w:hAnsi="Times New Roman" w:cs="Times New Roman"/>
          <w:szCs w:val="21"/>
        </w:rPr>
        <w:t xml:space="preserve"> from </w:t>
      </w:r>
      <w:r w:rsidR="00A953DE">
        <w:rPr>
          <w:rFonts w:ascii="Times New Roman" w:hAnsi="Times New Roman" w:cs="Times New Roman" w:hint="eastAsia"/>
          <w:szCs w:val="21"/>
        </w:rPr>
        <w:t>one allele to another allele</w:t>
      </w:r>
    </w:p>
    <w:p w:rsidR="00B1227B" w:rsidRDefault="00B1227B" w:rsidP="00B1227B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</w:p>
    <w:p w:rsidR="00AD123B" w:rsidRDefault="00AD123B" w:rsidP="00B1227B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</w:p>
    <w:p w:rsidR="00AD123B" w:rsidRDefault="00AD123B" w:rsidP="00B1227B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</w:p>
    <w:p w:rsidR="00AD123B" w:rsidRPr="00AD123B" w:rsidRDefault="00AD123B" w:rsidP="00AD123B">
      <w:pPr>
        <w:rPr>
          <w:rFonts w:ascii="Times New Roman" w:hAnsi="Times New Roman" w:cs="Times New Roman"/>
          <w:szCs w:val="21"/>
        </w:rPr>
      </w:pPr>
      <w:proofErr w:type="spellStart"/>
      <w:r w:rsidRPr="00AD123B">
        <w:rPr>
          <w:rFonts w:ascii="Times New Roman" w:hAnsi="Times New Roman" w:cs="Times New Roman" w:hint="eastAsia"/>
          <w:szCs w:val="21"/>
        </w:rPr>
        <w:t>Disscussion</w:t>
      </w:r>
      <w:proofErr w:type="spellEnd"/>
    </w:p>
    <w:p w:rsidR="00AD123B" w:rsidRDefault="00AD123B" w:rsidP="00B1227B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</w:p>
    <w:p w:rsidR="00AD123B" w:rsidRDefault="00AD123B" w:rsidP="00AD123B">
      <w:pPr>
        <w:rPr>
          <w:rFonts w:ascii="Times New Roman" w:hAnsi="Times New Roman" w:cs="Times New Roman"/>
          <w:szCs w:val="21"/>
        </w:rPr>
      </w:pPr>
      <w:proofErr w:type="gramStart"/>
      <w:r w:rsidRPr="00AD123B">
        <w:rPr>
          <w:rFonts w:ascii="Times New Roman" w:hAnsi="Times New Roman" w:cs="Times New Roman"/>
          <w:szCs w:val="21"/>
        </w:rPr>
        <w:t>align</w:t>
      </w:r>
      <w:proofErr w:type="gramEnd"/>
      <w:r w:rsidRPr="00AD123B">
        <w:rPr>
          <w:rFonts w:ascii="Times New Roman" w:hAnsi="Times New Roman" w:cs="Times New Roman"/>
          <w:szCs w:val="21"/>
        </w:rPr>
        <w:t xml:space="preserve"> reads against a reference genome with IUB ambiguous NA codes. This should remove any allelic </w:t>
      </w:r>
      <w:proofErr w:type="gramStart"/>
      <w:r w:rsidRPr="00AD123B">
        <w:rPr>
          <w:rFonts w:ascii="Times New Roman" w:hAnsi="Times New Roman" w:cs="Times New Roman"/>
          <w:szCs w:val="21"/>
        </w:rPr>
        <w:t>bias,</w:t>
      </w:r>
      <w:proofErr w:type="gramEnd"/>
      <w:r w:rsidRPr="00AD123B">
        <w:rPr>
          <w:rFonts w:ascii="Times New Roman" w:hAnsi="Times New Roman" w:cs="Times New Roman"/>
          <w:szCs w:val="21"/>
        </w:rPr>
        <w:t xml:space="preserve"> you just need to code SNPs into the genome using the IUB codes</w:t>
      </w:r>
    </w:p>
    <w:p w:rsidR="004D0078" w:rsidRDefault="004D0078" w:rsidP="004D0078">
      <w:pPr>
        <w:rPr>
          <w:rFonts w:ascii="Times New Roman" w:hAnsi="Times New Roman" w:cs="Times New Roman"/>
          <w:szCs w:val="21"/>
        </w:rPr>
      </w:pPr>
    </w:p>
    <w:p w:rsidR="004D0078" w:rsidRPr="004D0078" w:rsidRDefault="004D0078" w:rsidP="004D007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Main Statistic of Bam files</w:t>
      </w:r>
    </w:p>
    <w:p w:rsidR="00082A80" w:rsidRPr="00A861B4" w:rsidRDefault="009B5EA6" w:rsidP="00082A80">
      <w:pPr>
        <w:rPr>
          <w:rFonts w:ascii="Times New Roman" w:hAnsi="Times New Roman" w:cs="Times New Roman"/>
          <w:szCs w:val="21"/>
        </w:rPr>
      </w:pPr>
      <w:hyperlink r:id="rId8" w:history="1">
        <w:r w:rsidR="00082A80" w:rsidRPr="006E2DC3">
          <w:rPr>
            <w:rStyle w:val="a7"/>
            <w:rFonts w:ascii="Times New Roman" w:hAnsi="Times New Roman" w:cs="Times New Roman"/>
            <w:szCs w:val="21"/>
          </w:rPr>
          <w:t>http://www.alexaplatform.org/alexa_seq/5FU/HS04391.htm</w:t>
        </w:r>
      </w:hyperlink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Statistics and figures for sequencing library: HS04391 (Mip101)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Summary of input lanes for this library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Summary of sequence statistics for each lane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Summary of read assignments by assignment class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Summary of mapping results for each lane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Summary of average coverage values by feature type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Summary of expressed events by feature type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Estimates of signal-to-noise ratio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 xml:space="preserve">Estimates of </w:t>
      </w:r>
      <w:proofErr w:type="spellStart"/>
      <w:r w:rsidRPr="00576043">
        <w:rPr>
          <w:rFonts w:ascii="Times New Roman" w:hAnsi="Times New Roman" w:cs="Times New Roman"/>
          <w:szCs w:val="21"/>
        </w:rPr>
        <w:t>intronic</w:t>
      </w:r>
      <w:proofErr w:type="spellEnd"/>
      <w:r w:rsidRPr="00576043">
        <w:rPr>
          <w:rFonts w:ascii="Times New Roman" w:hAnsi="Times New Roman" w:cs="Times New Roman"/>
          <w:szCs w:val="21"/>
        </w:rPr>
        <w:t xml:space="preserve"> and </w:t>
      </w:r>
      <w:proofErr w:type="spellStart"/>
      <w:r w:rsidRPr="00576043">
        <w:rPr>
          <w:rFonts w:ascii="Times New Roman" w:hAnsi="Times New Roman" w:cs="Times New Roman"/>
          <w:szCs w:val="21"/>
        </w:rPr>
        <w:t>intergenic</w:t>
      </w:r>
      <w:proofErr w:type="spellEnd"/>
      <w:r w:rsidRPr="00576043">
        <w:rPr>
          <w:rFonts w:ascii="Times New Roman" w:hAnsi="Times New Roman" w:cs="Times New Roman"/>
          <w:szCs w:val="21"/>
        </w:rPr>
        <w:t xml:space="preserve"> noise levels (95th percentiles of silent intron and </w:t>
      </w:r>
      <w:proofErr w:type="spellStart"/>
      <w:r w:rsidRPr="00576043">
        <w:rPr>
          <w:rFonts w:ascii="Times New Roman" w:hAnsi="Times New Roman" w:cs="Times New Roman"/>
          <w:szCs w:val="21"/>
        </w:rPr>
        <w:t>intergenic</w:t>
      </w:r>
      <w:proofErr w:type="spellEnd"/>
      <w:r w:rsidRPr="00576043">
        <w:rPr>
          <w:rFonts w:ascii="Times New Roman" w:hAnsi="Times New Roman" w:cs="Times New Roman"/>
          <w:szCs w:val="21"/>
        </w:rPr>
        <w:t xml:space="preserve"> regions)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Summary of library complexity - estimated by tag redundancy per million reads and compared to other libraries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Distribution relative positions of reads mapping within known transcripts (i.e. position bias test)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Distribution % of gene bases covered for each expressed gene (at various minimum depth levels)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Distribution of log2 raw expression values for each feature type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Distribution of log2 normalized expression values for each feature type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Density scatter plot of exon region versus gene expression values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Density scatter plot of silent intron region versus gene expression values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Distribution of gene-by-gene expression cutoff values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>Histograms of expression values for each feature type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 xml:space="preserve">Percentiles plot for expression of exon regions, silent intron regions and silent </w:t>
      </w:r>
      <w:proofErr w:type="spellStart"/>
      <w:r w:rsidRPr="00576043">
        <w:rPr>
          <w:rFonts w:ascii="Times New Roman" w:hAnsi="Times New Roman" w:cs="Times New Roman"/>
          <w:szCs w:val="21"/>
        </w:rPr>
        <w:t>intergenic</w:t>
      </w:r>
      <w:proofErr w:type="spellEnd"/>
      <w:r w:rsidRPr="00576043">
        <w:rPr>
          <w:rFonts w:ascii="Times New Roman" w:hAnsi="Times New Roman" w:cs="Times New Roman"/>
          <w:szCs w:val="21"/>
        </w:rPr>
        <w:t xml:space="preserve"> regions</w:t>
      </w:r>
    </w:p>
    <w:p w:rsidR="00576043" w:rsidRPr="00576043" w:rsidRDefault="00576043" w:rsidP="00576043">
      <w:pPr>
        <w:rPr>
          <w:rFonts w:ascii="Times New Roman" w:hAnsi="Times New Roman" w:cs="Times New Roman"/>
          <w:szCs w:val="21"/>
        </w:rPr>
      </w:pPr>
      <w:r w:rsidRPr="00576043">
        <w:rPr>
          <w:rFonts w:ascii="Times New Roman" w:hAnsi="Times New Roman" w:cs="Times New Roman"/>
          <w:szCs w:val="21"/>
        </w:rPr>
        <w:t xml:space="preserve">Cumulative distribution of mean </w:t>
      </w:r>
      <w:proofErr w:type="spellStart"/>
      <w:r w:rsidRPr="00576043">
        <w:rPr>
          <w:rFonts w:ascii="Times New Roman" w:hAnsi="Times New Roman" w:cs="Times New Roman"/>
          <w:szCs w:val="21"/>
        </w:rPr>
        <w:t>Phred</w:t>
      </w:r>
      <w:proofErr w:type="spellEnd"/>
      <w:r w:rsidRPr="00576043">
        <w:rPr>
          <w:rFonts w:ascii="Times New Roman" w:hAnsi="Times New Roman" w:cs="Times New Roman"/>
          <w:szCs w:val="21"/>
        </w:rPr>
        <w:t xml:space="preserve"> score for all reads</w:t>
      </w:r>
    </w:p>
    <w:p w:rsidR="00576043" w:rsidRDefault="00576043" w:rsidP="00B1227B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</w:p>
    <w:p w:rsidR="00576043" w:rsidRPr="00AD123B" w:rsidRDefault="00576043" w:rsidP="00B1227B">
      <w:pPr>
        <w:pStyle w:val="a6"/>
        <w:ind w:left="360" w:firstLineChars="0" w:firstLine="0"/>
        <w:rPr>
          <w:rFonts w:ascii="Times New Roman" w:hAnsi="Times New Roman" w:cs="Times New Roman"/>
          <w:szCs w:val="21"/>
        </w:rPr>
      </w:pPr>
    </w:p>
    <w:sectPr w:rsidR="00576043" w:rsidRPr="00AD1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EA6" w:rsidRDefault="009B5EA6" w:rsidP="00A565D6">
      <w:r>
        <w:separator/>
      </w:r>
    </w:p>
  </w:endnote>
  <w:endnote w:type="continuationSeparator" w:id="0">
    <w:p w:rsidR="009B5EA6" w:rsidRDefault="009B5EA6" w:rsidP="00A5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P7DA6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EA6" w:rsidRDefault="009B5EA6" w:rsidP="00A565D6">
      <w:r>
        <w:separator/>
      </w:r>
    </w:p>
  </w:footnote>
  <w:footnote w:type="continuationSeparator" w:id="0">
    <w:p w:rsidR="009B5EA6" w:rsidRDefault="009B5EA6" w:rsidP="00A56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8106B"/>
    <w:multiLevelType w:val="hybridMultilevel"/>
    <w:tmpl w:val="F3E88BB0"/>
    <w:lvl w:ilvl="0" w:tplc="F0C6A1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A8"/>
    <w:rsid w:val="0003157B"/>
    <w:rsid w:val="000534F0"/>
    <w:rsid w:val="00082A80"/>
    <w:rsid w:val="00097F66"/>
    <w:rsid w:val="000A723B"/>
    <w:rsid w:val="000F69AA"/>
    <w:rsid w:val="00144B89"/>
    <w:rsid w:val="001453BB"/>
    <w:rsid w:val="00155114"/>
    <w:rsid w:val="001652CF"/>
    <w:rsid w:val="0018327D"/>
    <w:rsid w:val="001B6953"/>
    <w:rsid w:val="001E132B"/>
    <w:rsid w:val="002B5261"/>
    <w:rsid w:val="002D7446"/>
    <w:rsid w:val="002D757B"/>
    <w:rsid w:val="002E7593"/>
    <w:rsid w:val="002F3FCF"/>
    <w:rsid w:val="0038756A"/>
    <w:rsid w:val="004B562F"/>
    <w:rsid w:val="004D0078"/>
    <w:rsid w:val="004D72C3"/>
    <w:rsid w:val="004E6DB0"/>
    <w:rsid w:val="00576043"/>
    <w:rsid w:val="00613F15"/>
    <w:rsid w:val="0063222E"/>
    <w:rsid w:val="006444F4"/>
    <w:rsid w:val="006B1E14"/>
    <w:rsid w:val="006C17A8"/>
    <w:rsid w:val="0070328B"/>
    <w:rsid w:val="0071127C"/>
    <w:rsid w:val="007437F7"/>
    <w:rsid w:val="007D2EA2"/>
    <w:rsid w:val="00803F19"/>
    <w:rsid w:val="008C37E5"/>
    <w:rsid w:val="009B5EA6"/>
    <w:rsid w:val="009E1CA5"/>
    <w:rsid w:val="00A03AE5"/>
    <w:rsid w:val="00A54742"/>
    <w:rsid w:val="00A565D6"/>
    <w:rsid w:val="00A861B4"/>
    <w:rsid w:val="00A953DE"/>
    <w:rsid w:val="00AD123B"/>
    <w:rsid w:val="00B1227B"/>
    <w:rsid w:val="00B9052E"/>
    <w:rsid w:val="00C41AEF"/>
    <w:rsid w:val="00C97CD1"/>
    <w:rsid w:val="00CB171D"/>
    <w:rsid w:val="00CB181D"/>
    <w:rsid w:val="00CE61E2"/>
    <w:rsid w:val="00D431EC"/>
    <w:rsid w:val="00D4726E"/>
    <w:rsid w:val="00D977A4"/>
    <w:rsid w:val="00DA2D3E"/>
    <w:rsid w:val="00DE051F"/>
    <w:rsid w:val="00DF0683"/>
    <w:rsid w:val="00E36C47"/>
    <w:rsid w:val="00E46FF0"/>
    <w:rsid w:val="00E470B0"/>
    <w:rsid w:val="00EC4349"/>
    <w:rsid w:val="00F01DF6"/>
    <w:rsid w:val="00F822D7"/>
    <w:rsid w:val="00F9498A"/>
    <w:rsid w:val="00FB0B48"/>
    <w:rsid w:val="00F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5D6"/>
    <w:rPr>
      <w:sz w:val="18"/>
      <w:szCs w:val="18"/>
    </w:rPr>
  </w:style>
  <w:style w:type="table" w:styleId="a5">
    <w:name w:val="Table Grid"/>
    <w:basedOn w:val="a1"/>
    <w:uiPriority w:val="59"/>
    <w:rsid w:val="00711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227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82A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5D6"/>
    <w:rPr>
      <w:sz w:val="18"/>
      <w:szCs w:val="18"/>
    </w:rPr>
  </w:style>
  <w:style w:type="table" w:styleId="a5">
    <w:name w:val="Table Grid"/>
    <w:basedOn w:val="a1"/>
    <w:uiPriority w:val="59"/>
    <w:rsid w:val="00711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227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82A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xaplatform.org/alexa_seq/5FU/HS04391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61</cp:revision>
  <dcterms:created xsi:type="dcterms:W3CDTF">2013-02-18T17:37:00Z</dcterms:created>
  <dcterms:modified xsi:type="dcterms:W3CDTF">2013-02-21T19:46:00Z</dcterms:modified>
</cp:coreProperties>
</file>