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9FB" w:rsidRDefault="00334162" w:rsidP="004D65CA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B4323AA" wp14:editId="0EDCC596">
            <wp:extent cx="5274310" cy="68249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D65CA" w:rsidRDefault="00CC5689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 w:rsidR="008C3704">
        <w:rPr>
          <w:rFonts w:ascii="Times New Roman" w:hAnsi="Times New Roman"/>
          <w:b/>
          <w:color w:val="000000" w:themeColor="text1"/>
          <w:sz w:val="24"/>
          <w:szCs w:val="24"/>
        </w:rPr>
        <w:t xml:space="preserve"> 1.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>T</w:t>
      </w:r>
      <w:r w:rsidR="00565AB9">
        <w:rPr>
          <w:rFonts w:ascii="Times New Roman" w:hAnsi="Times New Roman" w:hint="eastAsia"/>
          <w:b/>
          <w:color w:val="000000" w:themeColor="text1"/>
          <w:sz w:val="24"/>
          <w:szCs w:val="24"/>
        </w:rPr>
        <w:t>he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565AB9">
        <w:rPr>
          <w:rFonts w:ascii="Times New Roman" w:hAnsi="Times New Roman" w:hint="eastAsia"/>
          <w:b/>
          <w:color w:val="000000" w:themeColor="text1"/>
          <w:sz w:val="24"/>
          <w:szCs w:val="24"/>
        </w:rPr>
        <w:t>efficiency</w:t>
      </w:r>
      <w:r w:rsidR="00F359C0">
        <w:rPr>
          <w:rFonts w:ascii="Times New Roman" w:hAnsi="Times New Roman"/>
          <w:b/>
          <w:color w:val="000000" w:themeColor="text1"/>
          <w:sz w:val="24"/>
          <w:szCs w:val="24"/>
        </w:rPr>
        <w:t xml:space="preserve"> of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re-sampling </w:t>
      </w:r>
      <w:r w:rsidR="00F359C0">
        <w:rPr>
          <w:rFonts w:ascii="Times New Roman" w:hAnsi="Times New Roman"/>
          <w:b/>
          <w:color w:val="000000" w:themeColor="text1"/>
          <w:sz w:val="24"/>
          <w:szCs w:val="24"/>
        </w:rPr>
        <w:t>sequencing depth for low pass WGBS.</w:t>
      </w:r>
      <w:r w:rsidR="00B00FB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>Left of the figure showed the correlation coefficient between re</w:t>
      </w:r>
      <w:r w:rsidR="00D77300">
        <w:rPr>
          <w:rFonts w:ascii="Times New Roman" w:hAnsi="Times New Roman" w:hint="eastAsia"/>
          <w:color w:val="000000" w:themeColor="text1"/>
          <w:sz w:val="24"/>
          <w:szCs w:val="24"/>
        </w:rPr>
        <w:t>-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sampling low pass WGBS and </w:t>
      </w:r>
      <w:r w:rsidR="00334162">
        <w:rPr>
          <w:rFonts w:ascii="Times New Roman" w:hAnsi="Times New Roman"/>
          <w:color w:val="000000" w:themeColor="text1"/>
          <w:sz w:val="24"/>
          <w:szCs w:val="24"/>
        </w:rPr>
        <w:t>total sequencing reads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 for 100 times from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1M to 10M. R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ight of the figure showed the coefficient of variation (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>CV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 for 100 correlation coefficient between re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sampling low pass WGBS and </w:t>
      </w:r>
      <w:r w:rsidR="00334162">
        <w:rPr>
          <w:rFonts w:ascii="Times New Roman" w:hAnsi="Times New Roman"/>
          <w:color w:val="000000" w:themeColor="text1"/>
          <w:sz w:val="24"/>
          <w:szCs w:val="24"/>
        </w:rPr>
        <w:t>total sequencing reads</w:t>
      </w:r>
      <w:r w:rsidR="00F359C0">
        <w:rPr>
          <w:rFonts w:ascii="Times New Roman" w:hAnsi="Times New Roman"/>
          <w:color w:val="000000" w:themeColor="text1"/>
          <w:sz w:val="24"/>
          <w:szCs w:val="24"/>
        </w:rPr>
        <w:t xml:space="preserve"> from 1M to 10M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8C3704" w:rsidRPr="00334162" w:rsidRDefault="008C3704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:rsidR="000179FB" w:rsidRPr="004D65CA" w:rsidRDefault="00334162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4C16B9" wp14:editId="265CAB29">
            <wp:extent cx="5274310" cy="232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72" w:rsidRDefault="008C3704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2 Whole genome-wide </w:t>
      </w:r>
      <w:r w:rsidR="007702A1">
        <w:rPr>
          <w:rFonts w:ascii="Times New Roman" w:hAnsi="Times New Roman"/>
          <w:b/>
          <w:color w:val="000000" w:themeColor="text1"/>
          <w:sz w:val="24"/>
          <w:szCs w:val="24"/>
        </w:rPr>
        <w:t>changed methylation of all the patients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/>
          <w:color w:val="000000" w:themeColor="text1"/>
          <w:sz w:val="24"/>
          <w:szCs w:val="24"/>
        </w:rPr>
        <w:t>(A) The percentage of hyper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methylated </w:t>
      </w:r>
      <w:r w:rsidR="00334162">
        <w:rPr>
          <w:rFonts w:ascii="Times New Roman" w:hAnsi="Times New Roman"/>
          <w:color w:val="000000" w:themeColor="text1"/>
          <w:sz w:val="24"/>
          <w:szCs w:val="24"/>
        </w:rPr>
        <w:t>long range</w:t>
      </w:r>
      <w:r w:rsidR="00422A3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B2972">
        <w:rPr>
          <w:rFonts w:ascii="Times New Roman" w:hAnsi="Times New Roman"/>
          <w:color w:val="000000" w:themeColor="text1"/>
          <w:sz w:val="24"/>
          <w:szCs w:val="24"/>
        </w:rPr>
        <w:t>region</w:t>
      </w:r>
      <w:r w:rsidR="00422A3D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334162">
        <w:rPr>
          <w:rFonts w:ascii="Times New Roman" w:hAnsi="Times New Roman"/>
          <w:color w:val="000000" w:themeColor="text1"/>
          <w:sz w:val="24"/>
          <w:szCs w:val="24"/>
        </w:rPr>
        <w:t xml:space="preserve"> (2-Mb)</w:t>
      </w:r>
      <w:r w:rsidR="00422A3D">
        <w:rPr>
          <w:rFonts w:ascii="Times New Roman" w:hAnsi="Times New Roman"/>
          <w:color w:val="000000" w:themeColor="text1"/>
          <w:sz w:val="24"/>
          <w:szCs w:val="24"/>
        </w:rPr>
        <w:t xml:space="preserve"> in chronic hepatitis, cirrhosis and </w:t>
      </w:r>
      <w:r w:rsidR="00CF3DAF">
        <w:rPr>
          <w:rFonts w:ascii="Times New Roman" w:hAnsi="Times New Roman"/>
          <w:color w:val="000000" w:themeColor="text1"/>
          <w:sz w:val="24"/>
          <w:szCs w:val="24"/>
        </w:rPr>
        <w:t xml:space="preserve">HCC </w:t>
      </w:r>
      <w:r>
        <w:rPr>
          <w:rFonts w:ascii="Times New Roman" w:hAnsi="Times New Roman"/>
          <w:color w:val="000000" w:themeColor="text1"/>
          <w:sz w:val="24"/>
          <w:szCs w:val="24"/>
        </w:rPr>
        <w:t>patients. (B)</w:t>
      </w:r>
      <w:r w:rsidR="00931DC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B2972">
        <w:rPr>
          <w:rFonts w:ascii="Times New Roman" w:hAnsi="Times New Roman"/>
          <w:color w:val="000000" w:themeColor="text1"/>
          <w:sz w:val="24"/>
          <w:szCs w:val="24"/>
        </w:rPr>
        <w:t>The percentage of hypo</w:t>
      </w:r>
      <w:r w:rsidR="00D77300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821495">
        <w:rPr>
          <w:rFonts w:ascii="Times New Roman" w:hAnsi="Times New Roman"/>
          <w:color w:val="000000" w:themeColor="text1"/>
          <w:sz w:val="24"/>
          <w:szCs w:val="24"/>
        </w:rPr>
        <w:t xml:space="preserve">methylated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long range regions</w:t>
      </w:r>
      <w:r w:rsidR="00DB2972">
        <w:rPr>
          <w:rFonts w:ascii="Times New Roman" w:hAnsi="Times New Roman"/>
          <w:color w:val="000000" w:themeColor="text1"/>
          <w:sz w:val="24"/>
          <w:szCs w:val="24"/>
        </w:rPr>
        <w:t xml:space="preserve"> in chronic hepatitis, cirrhosis and HCC patients.</w:t>
      </w:r>
    </w:p>
    <w:p w:rsidR="00DB2972" w:rsidRDefault="00DB2972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</w:p>
    <w:p w:rsidR="00017C3C" w:rsidRPr="00DB2972" w:rsidRDefault="00413257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5BF7A7" wp14:editId="66C92E3E">
            <wp:extent cx="4352925" cy="61153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7427" cy="61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C3C" w:rsidRPr="000F1DA0" w:rsidRDefault="004D65CA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>3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 w:rsidR="00565AB9">
        <w:rPr>
          <w:rFonts w:ascii="Times New Roman" w:hAnsi="Times New Roman"/>
          <w:b/>
          <w:color w:val="000000" w:themeColor="text1"/>
          <w:sz w:val="24"/>
          <w:szCs w:val="24"/>
        </w:rPr>
        <w:t>Differentially methylated CpGs (DMCs) identified in all the groups</w:t>
      </w:r>
      <w:r w:rsidR="002E40BD"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(A) Venn diagram show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ing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the overlap of DM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Cs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generated by 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 xml:space="preserve">2 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hypo-methylated chronic hepatitis patients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 xml:space="preserve">1 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hypo-methylated cirrhosis patient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3 early stage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 xml:space="preserve">HCC patients and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 xml:space="preserve">5 advanced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HCC patients compared to healthy individuals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>. (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B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Boxplot</w:t>
      </w:r>
      <w:r w:rsidR="00880F88">
        <w:rPr>
          <w:rFonts w:ascii="Times New Roman" w:hAnsi="Times New Roman"/>
          <w:color w:val="000000" w:themeColor="text1"/>
          <w:sz w:val="24"/>
          <w:szCs w:val="24"/>
        </w:rPr>
        <w:t xml:space="preserve"> di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splay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 xml:space="preserve"> the methylation level of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880F88">
        <w:rPr>
          <w:rFonts w:ascii="Times New Roman" w:hAnsi="Times New Roman"/>
          <w:color w:val="000000" w:themeColor="text1"/>
          <w:sz w:val="24"/>
          <w:szCs w:val="24"/>
        </w:rPr>
        <w:t xml:space="preserve"> DM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880F88">
        <w:rPr>
          <w:rFonts w:ascii="Times New Roman" w:hAnsi="Times New Roman"/>
          <w:color w:val="000000" w:themeColor="text1"/>
          <w:sz w:val="24"/>
          <w:szCs w:val="24"/>
        </w:rPr>
        <w:t xml:space="preserve">s of SENP5 in 3 healthy individuals,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17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 xml:space="preserve"> hepatitis, 1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 xml:space="preserve">cirrhosis,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3 early stage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HCC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, 5 advanced HCC and 9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HCC patients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65AB9">
        <w:rPr>
          <w:rFonts w:ascii="Times New Roman" w:hAnsi="Times New Roman"/>
          <w:color w:val="000000" w:themeColor="text1"/>
          <w:sz w:val="24"/>
          <w:szCs w:val="24"/>
        </w:rPr>
        <w:t>after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surgery</w:t>
      </w:r>
      <w:r w:rsidR="002E40B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3870B1">
        <w:rPr>
          <w:rFonts w:ascii="Times New Roman" w:hAnsi="Times New Roman"/>
          <w:color w:val="000000" w:themeColor="text1"/>
          <w:sz w:val="24"/>
          <w:szCs w:val="24"/>
        </w:rPr>
        <w:t xml:space="preserve"> (D) </w:t>
      </w:r>
      <w:r w:rsidR="00586BF2">
        <w:rPr>
          <w:rFonts w:ascii="Times New Roman" w:hAnsi="Times New Roman" w:hint="eastAsia"/>
          <w:color w:val="000000" w:themeColor="text1"/>
          <w:sz w:val="24"/>
          <w:szCs w:val="24"/>
        </w:rPr>
        <w:t xml:space="preserve">The 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 xml:space="preserve">locus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of 7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 xml:space="preserve"> DM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>Cs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 xml:space="preserve"> and 3 reported HBV integration sites in intron 2 of SENP5. The black dots represent the HBV integration sites and the orange vertical lines represent the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>7</w:t>
      </w:r>
      <w:r w:rsidR="003A708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>DM</w:t>
      </w:r>
      <w:r w:rsidR="003A708B">
        <w:rPr>
          <w:rFonts w:ascii="Times New Roman" w:hAnsi="Times New Roman"/>
          <w:color w:val="000000" w:themeColor="text1"/>
          <w:sz w:val="24"/>
          <w:szCs w:val="24"/>
        </w:rPr>
        <w:t>Cs. The black bar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 xml:space="preserve"> labels in the bottom of the figure</w:t>
      </w:r>
      <w:r w:rsidR="003A708B">
        <w:rPr>
          <w:rFonts w:ascii="Times New Roman" w:hAnsi="Times New Roman"/>
          <w:color w:val="000000" w:themeColor="text1"/>
          <w:sz w:val="24"/>
          <w:szCs w:val="24"/>
        </w:rPr>
        <w:t xml:space="preserve"> represent the locus of repeat marker in this region</w:t>
      </w:r>
      <w:r w:rsidR="00586BF2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C29B8" w:rsidRPr="00880F88" w:rsidRDefault="00413257" w:rsidP="00234585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EE7A72" wp14:editId="34B07E76">
            <wp:extent cx="4914900" cy="6811391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6323" cy="681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2A4" w:rsidRPr="006462A4" w:rsidRDefault="00880F88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Fig.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3A708B">
        <w:rPr>
          <w:rFonts w:ascii="Times New Roman" w:hAnsi="Times New Roman"/>
          <w:b/>
          <w:color w:val="000000" w:themeColor="text1"/>
          <w:sz w:val="24"/>
          <w:szCs w:val="24"/>
        </w:rPr>
        <w:t>4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>DM</w:t>
      </w:r>
      <w:r w:rsidR="003A708B">
        <w:rPr>
          <w:rFonts w:ascii="Times New Roman" w:hAnsi="Times New Roman"/>
          <w:b/>
          <w:color w:val="000000" w:themeColor="text1"/>
          <w:sz w:val="24"/>
          <w:szCs w:val="24"/>
        </w:rPr>
        <w:t>Cs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and CpGs </w:t>
      </w:r>
      <w:r w:rsidR="009F4FC1">
        <w:rPr>
          <w:rFonts w:ascii="Times New Roman" w:hAnsi="Times New Roman"/>
          <w:b/>
          <w:color w:val="000000" w:themeColor="text1"/>
          <w:sz w:val="24"/>
          <w:szCs w:val="24"/>
        </w:rPr>
        <w:t>are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related to HBV integration sites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.</w:t>
      </w:r>
      <w:r w:rsidR="00CC29B8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 xml:space="preserve">(A) The </w:t>
      </w:r>
      <w:r w:rsidR="009F4FC1">
        <w:rPr>
          <w:rFonts w:ascii="Times New Roman" w:hAnsi="Times New Roman"/>
          <w:color w:val="000000" w:themeColor="text1"/>
          <w:sz w:val="24"/>
          <w:szCs w:val="24"/>
        </w:rPr>
        <w:t>percentage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 xml:space="preserve"> of DM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s located in different genomic elements and regions related</w:t>
      </w:r>
      <w:r w:rsidR="007A04C8">
        <w:rPr>
          <w:rFonts w:ascii="Times New Roman" w:hAnsi="Times New Roman"/>
          <w:color w:val="000000" w:themeColor="text1"/>
          <w:sz w:val="24"/>
          <w:szCs w:val="24"/>
        </w:rPr>
        <w:t xml:space="preserve"> to HBV integration sites. (B) T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he enrichment scores of DM</w:t>
      </w:r>
      <w:r w:rsidR="000F1DA0">
        <w:rPr>
          <w:rFonts w:ascii="Times New Roman" w:hAnsi="Times New Roman"/>
          <w:color w:val="000000" w:themeColor="text1"/>
          <w:sz w:val="24"/>
          <w:szCs w:val="24"/>
        </w:rPr>
        <w:t>Cs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 xml:space="preserve"> in different genomic elements. 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>(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C</w:t>
      </w:r>
      <w:r w:rsidR="006462A4">
        <w:rPr>
          <w:rFonts w:ascii="Times New Roman" w:hAnsi="Times New Roman"/>
          <w:color w:val="000000" w:themeColor="text1"/>
          <w:sz w:val="24"/>
          <w:szCs w:val="24"/>
        </w:rPr>
        <w:t>) The heatmap display the methylation level of the CpGs located within 100 bp of the HBV integration sites in all the samples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>. (</w:t>
      </w:r>
      <w:r w:rsidR="00CC29B8">
        <w:rPr>
          <w:rFonts w:ascii="Times New Roman" w:hAnsi="Times New Roman"/>
          <w:color w:val="000000" w:themeColor="text1"/>
          <w:sz w:val="24"/>
          <w:szCs w:val="24"/>
        </w:rPr>
        <w:t>D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 xml:space="preserve">) The </w:t>
      </w:r>
      <w:r w:rsidR="006462A4">
        <w:rPr>
          <w:rFonts w:ascii="Times New Roman" w:hAnsi="Times New Roman"/>
          <w:color w:val="000000" w:themeColor="text1"/>
          <w:sz w:val="24"/>
          <w:szCs w:val="24"/>
        </w:rPr>
        <w:t>average methylation level</w:t>
      </w:r>
      <w:r w:rsidR="001C3F05">
        <w:rPr>
          <w:rFonts w:ascii="Times New Roman" w:hAnsi="Times New Roman"/>
          <w:color w:val="000000" w:themeColor="text1"/>
          <w:sz w:val="24"/>
          <w:szCs w:val="24"/>
        </w:rPr>
        <w:t xml:space="preserve"> of </w:t>
      </w:r>
      <w:r w:rsidR="00413257">
        <w:rPr>
          <w:rFonts w:ascii="Times New Roman" w:hAnsi="Times New Roman"/>
          <w:color w:val="000000" w:themeColor="text1"/>
          <w:sz w:val="24"/>
          <w:szCs w:val="24"/>
        </w:rPr>
        <w:t xml:space="preserve">all </w:t>
      </w:r>
      <w:r w:rsidR="006462A4">
        <w:rPr>
          <w:rFonts w:ascii="Times New Roman" w:hAnsi="Times New Roman"/>
          <w:color w:val="000000" w:themeColor="text1"/>
          <w:sz w:val="24"/>
          <w:szCs w:val="24"/>
        </w:rPr>
        <w:t>the CpGs located within 100 bp of the HBV integration sites in</w:t>
      </w:r>
      <w:r w:rsidR="008B5A73">
        <w:rPr>
          <w:rFonts w:ascii="Times New Roman" w:hAnsi="Times New Roman"/>
          <w:color w:val="000000" w:themeColor="text1"/>
          <w:sz w:val="24"/>
          <w:szCs w:val="24"/>
        </w:rPr>
        <w:t xml:space="preserve"> all the samples. The </w:t>
      </w:r>
      <w:r w:rsidR="008B5A73">
        <w:rPr>
          <w:rFonts w:ascii="Times New Roman" w:hAnsi="Times New Roman" w:hint="eastAsia"/>
          <w:color w:val="000000" w:themeColor="text1"/>
          <w:sz w:val="24"/>
          <w:szCs w:val="24"/>
        </w:rPr>
        <w:t>black</w:t>
      </w:r>
      <w:r w:rsidR="008B5A73">
        <w:rPr>
          <w:rFonts w:ascii="Times New Roman" w:hAnsi="Times New Roman"/>
          <w:color w:val="000000" w:themeColor="text1"/>
          <w:sz w:val="24"/>
          <w:szCs w:val="24"/>
        </w:rPr>
        <w:t xml:space="preserve"> dot represents for AFP level.</w:t>
      </w:r>
      <w:bookmarkStart w:id="0" w:name="_GoBack"/>
      <w:bookmarkEnd w:id="0"/>
    </w:p>
    <w:p w:rsidR="00304209" w:rsidRDefault="00304209" w:rsidP="00304209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B64D6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 xml:space="preserve">Table 1. </w:t>
      </w: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Genes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with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DM</w:t>
      </w:r>
      <w:r w:rsidR="00AF67BD"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s</w:t>
      </w:r>
      <w:r w:rsidR="0094633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between 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liver disease</w:t>
      </w:r>
      <w:r w:rsidR="0094633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patients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and healthy individuals.</w:t>
      </w:r>
    </w:p>
    <w:tbl>
      <w:tblPr>
        <w:tblStyle w:val="a7"/>
        <w:tblW w:w="760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1296"/>
        <w:gridCol w:w="1296"/>
        <w:gridCol w:w="1319"/>
        <w:gridCol w:w="1319"/>
        <w:gridCol w:w="1619"/>
      </w:tblGrid>
      <w:tr w:rsidR="003A36E1" w:rsidRPr="005031CA" w:rsidTr="003A36E1">
        <w:trPr>
          <w:trHeight w:hRule="exact" w:val="430"/>
          <w:jc w:val="center"/>
        </w:trPr>
        <w:tc>
          <w:tcPr>
            <w:tcW w:w="752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Pr="002B64D6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C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hr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Pr="002B64D6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 w:rsidRPr="002B64D6"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S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tart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Pr="002B64D6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 w:rsidRPr="002B64D6"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E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nd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Pr="002B64D6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 w:rsidRPr="002B64D6"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C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pG</w:t>
            </w:r>
            <w:r w:rsidRPr="002B64D6"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 xml:space="preserve"> 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num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Pr="002B64D6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P</w:t>
            </w: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osition</w:t>
            </w:r>
          </w:p>
        </w:tc>
        <w:tc>
          <w:tcPr>
            <w:tcW w:w="1619" w:type="dxa"/>
            <w:tcBorders>
              <w:top w:val="single" w:sz="4" w:space="0" w:color="auto"/>
              <w:bottom w:val="single" w:sz="4" w:space="0" w:color="auto"/>
            </w:tcBorders>
          </w:tcPr>
          <w:p w:rsidR="003A36E1" w:rsidRDefault="003A36E1" w:rsidP="00D07156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 w:rsidRPr="002B64D6"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G</w:t>
            </w:r>
            <w:r w:rsidRPr="002B64D6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ene</w:t>
            </w:r>
          </w:p>
        </w:tc>
      </w:tr>
      <w:tr w:rsidR="003A36E1" w:rsidRPr="005031CA" w:rsidTr="00811CBE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3A36E1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Hepatitis</w:t>
            </w:r>
            <w:r w:rsidR="003A36E1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 xml:space="preserve"> vs. healthy</w:t>
            </w:r>
          </w:p>
        </w:tc>
      </w:tr>
      <w:tr w:rsidR="003A36E1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3A36E1" w:rsidRPr="002B64D6" w:rsidRDefault="003A36E1" w:rsidP="003A5F92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3A36E1" w:rsidRPr="002B64D6" w:rsidRDefault="003A36E1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15618637</w:t>
            </w:r>
            <w:r w:rsid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1296" w:type="dxa"/>
          </w:tcPr>
          <w:p w:rsidR="003A36E1" w:rsidRPr="002B64D6" w:rsidRDefault="003A36E1" w:rsidP="003A5F92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156186549</w:t>
            </w:r>
          </w:p>
        </w:tc>
        <w:tc>
          <w:tcPr>
            <w:tcW w:w="1319" w:type="dxa"/>
          </w:tcPr>
          <w:p w:rsidR="003A36E1" w:rsidRPr="002B64D6" w:rsidRDefault="000A32D0" w:rsidP="003A5F92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18</w:t>
            </w:r>
          </w:p>
        </w:tc>
        <w:tc>
          <w:tcPr>
            <w:tcW w:w="1319" w:type="dxa"/>
          </w:tcPr>
          <w:p w:rsidR="003A36E1" w:rsidRPr="002B64D6" w:rsidRDefault="003A36E1" w:rsidP="003A5F92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3A36E1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</w:t>
            </w:r>
          </w:p>
        </w:tc>
      </w:tr>
      <w:tr w:rsidR="003A36E1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3A36E1" w:rsidRPr="002B64D6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3A36E1" w:rsidRPr="002B64D6" w:rsidRDefault="005C1134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15618637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1296" w:type="dxa"/>
          </w:tcPr>
          <w:p w:rsidR="003A36E1" w:rsidRPr="002B64D6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156186549</w:t>
            </w:r>
          </w:p>
        </w:tc>
        <w:tc>
          <w:tcPr>
            <w:tcW w:w="1319" w:type="dxa"/>
          </w:tcPr>
          <w:p w:rsidR="003A36E1" w:rsidRPr="002B64D6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18</w:t>
            </w:r>
          </w:p>
        </w:tc>
        <w:tc>
          <w:tcPr>
            <w:tcW w:w="1319" w:type="dxa"/>
          </w:tcPr>
          <w:p w:rsidR="003A36E1" w:rsidRPr="002B64D6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3A36E1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PMF1-BGLAP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0A32D0" w:rsidRPr="00C07203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91853073</w:t>
            </w:r>
          </w:p>
        </w:tc>
        <w:tc>
          <w:tcPr>
            <w:tcW w:w="1296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91853096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Pr="00C07203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HFM1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296" w:type="dxa"/>
          </w:tcPr>
          <w:p w:rsidR="000A32D0" w:rsidRPr="00C07203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85195089</w:t>
            </w:r>
          </w:p>
        </w:tc>
        <w:tc>
          <w:tcPr>
            <w:tcW w:w="1296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85195090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Pr="00C07203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DLG2</w:t>
            </w:r>
          </w:p>
        </w:tc>
      </w:tr>
      <w:tr w:rsidR="003A36E1" w:rsidRPr="005031CA" w:rsidTr="00AC5F80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3A36E1" w:rsidRPr="00C07203" w:rsidRDefault="003A36E1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Cirrhosis vs. healthy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0A32D0" w:rsidRPr="007C4DFD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156186492</w:t>
            </w:r>
          </w:p>
        </w:tc>
        <w:tc>
          <w:tcPr>
            <w:tcW w:w="1296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156186493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0A32D0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Pr="007C4DFD" w:rsidRDefault="000A32D0" w:rsidP="003A36E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0A32D0" w:rsidRPr="007C4DFD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156186492</w:t>
            </w:r>
          </w:p>
        </w:tc>
        <w:tc>
          <w:tcPr>
            <w:tcW w:w="1296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156186493</w:t>
            </w:r>
          </w:p>
        </w:tc>
        <w:tc>
          <w:tcPr>
            <w:tcW w:w="13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Pr="007C4DFD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PMF1-BGLAP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</w:t>
            </w:r>
          </w:p>
        </w:tc>
        <w:tc>
          <w:tcPr>
            <w:tcW w:w="1296" w:type="dxa"/>
          </w:tcPr>
          <w:p w:rsidR="000A32D0" w:rsidRPr="0097157A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A32D0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70602451</w:t>
            </w:r>
          </w:p>
        </w:tc>
        <w:tc>
          <w:tcPr>
            <w:tcW w:w="1296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70602487</w:t>
            </w:r>
          </w:p>
        </w:tc>
        <w:tc>
          <w:tcPr>
            <w:tcW w:w="13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319" w:type="dxa"/>
          </w:tcPr>
          <w:p w:rsidR="000A32D0" w:rsidRPr="002B64D6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SLCO5A1</w:t>
            </w:r>
          </w:p>
        </w:tc>
      </w:tr>
      <w:tr w:rsidR="000A32D0" w:rsidRPr="005031CA" w:rsidTr="00741BE2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0A32D0" w:rsidRDefault="005C1134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 xml:space="preserve">Early stage </w:t>
            </w:r>
            <w:r w:rsidR="000A32D0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HCC vs. healthy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30C1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chr1</w:t>
            </w:r>
          </w:p>
        </w:tc>
        <w:tc>
          <w:tcPr>
            <w:tcW w:w="1296" w:type="dxa"/>
          </w:tcPr>
          <w:p w:rsidR="000A32D0" w:rsidRDefault="005C1134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C1134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</w:t>
            </w:r>
            <w:r w:rsidR="003C6051"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410</w:t>
            </w:r>
          </w:p>
        </w:tc>
        <w:tc>
          <w:tcPr>
            <w:tcW w:w="1296" w:type="dxa"/>
          </w:tcPr>
          <w:p w:rsidR="000A32D0" w:rsidRDefault="005C1134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</w:t>
            </w:r>
            <w:r w:rsidR="003C6051"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1319" w:type="dxa"/>
          </w:tcPr>
          <w:p w:rsidR="000A32D0" w:rsidRDefault="003C6051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5</w:t>
            </w:r>
          </w:p>
        </w:tc>
        <w:tc>
          <w:tcPr>
            <w:tcW w:w="13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</w:t>
            </w:r>
          </w:p>
        </w:tc>
      </w:tr>
      <w:tr w:rsidR="003C6051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30C1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chr1</w:t>
            </w:r>
          </w:p>
        </w:tc>
        <w:tc>
          <w:tcPr>
            <w:tcW w:w="1296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C1134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410</w:t>
            </w:r>
          </w:p>
        </w:tc>
        <w:tc>
          <w:tcPr>
            <w:tcW w:w="1296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3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13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5</w:t>
            </w:r>
          </w:p>
        </w:tc>
        <w:tc>
          <w:tcPr>
            <w:tcW w:w="13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PMF1-BGLAP</w:t>
            </w:r>
          </w:p>
        </w:tc>
      </w:tr>
      <w:tr w:rsidR="000A32D0" w:rsidRPr="005031CA" w:rsidTr="009B5309">
        <w:trPr>
          <w:trHeight w:hRule="exact" w:val="397"/>
          <w:jc w:val="center"/>
        </w:trPr>
        <w:tc>
          <w:tcPr>
            <w:tcW w:w="7601" w:type="dxa"/>
            <w:gridSpan w:val="6"/>
          </w:tcPr>
          <w:p w:rsidR="000A32D0" w:rsidRPr="003A36E1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 xml:space="preserve">Advanced </w:t>
            </w:r>
            <w:r w:rsidR="000A32D0">
              <w:rPr>
                <w:rFonts w:ascii="Times New Roman" w:hAnsi="Times New Roman" w:hint="eastAsia"/>
                <w:b/>
                <w:color w:val="000000" w:themeColor="text1"/>
                <w:sz w:val="20"/>
                <w:szCs w:val="24"/>
              </w:rPr>
              <w:t>HCC vs. healthy</w:t>
            </w:r>
          </w:p>
        </w:tc>
      </w:tr>
      <w:tr w:rsidR="005C1134" w:rsidRPr="005031CA" w:rsidTr="001918B9">
        <w:trPr>
          <w:trHeight w:hRule="exact" w:val="397"/>
          <w:jc w:val="center"/>
        </w:trPr>
        <w:tc>
          <w:tcPr>
            <w:tcW w:w="752" w:type="dxa"/>
          </w:tcPr>
          <w:p w:rsidR="005C1134" w:rsidRPr="002258E8" w:rsidRDefault="005C1134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hr1</w:t>
            </w:r>
          </w:p>
        </w:tc>
        <w:tc>
          <w:tcPr>
            <w:tcW w:w="1296" w:type="dxa"/>
          </w:tcPr>
          <w:p w:rsidR="005C1134" w:rsidRPr="002258E8" w:rsidRDefault="003C6051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91852857</w:t>
            </w:r>
          </w:p>
        </w:tc>
        <w:tc>
          <w:tcPr>
            <w:tcW w:w="1296" w:type="dxa"/>
          </w:tcPr>
          <w:p w:rsidR="005C1134" w:rsidRDefault="005C1134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91852974</w:t>
            </w:r>
          </w:p>
        </w:tc>
        <w:tc>
          <w:tcPr>
            <w:tcW w:w="1319" w:type="dxa"/>
          </w:tcPr>
          <w:p w:rsidR="005C1134" w:rsidRDefault="003C6051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319" w:type="dxa"/>
          </w:tcPr>
          <w:p w:rsidR="005C1134" w:rsidRDefault="005C1134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5C1134" w:rsidRDefault="005C1134" w:rsidP="001918B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C1134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HFM1</w:t>
            </w:r>
          </w:p>
        </w:tc>
      </w:tr>
      <w:tr w:rsidR="000A32D0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2258E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chr1</w:t>
            </w:r>
          </w:p>
        </w:tc>
        <w:tc>
          <w:tcPr>
            <w:tcW w:w="1296" w:type="dxa"/>
          </w:tcPr>
          <w:p w:rsidR="000A32D0" w:rsidRDefault="003C6051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156186392</w:t>
            </w:r>
          </w:p>
        </w:tc>
        <w:tc>
          <w:tcPr>
            <w:tcW w:w="1296" w:type="dxa"/>
          </w:tcPr>
          <w:p w:rsidR="000A32D0" w:rsidRDefault="003C6051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40</w:t>
            </w:r>
          </w:p>
        </w:tc>
        <w:tc>
          <w:tcPr>
            <w:tcW w:w="1319" w:type="dxa"/>
          </w:tcPr>
          <w:p w:rsidR="000A32D0" w:rsidRDefault="005C1134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</w:t>
            </w:r>
            <w:r w:rsidR="003C6051"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0</w:t>
            </w:r>
          </w:p>
        </w:tc>
        <w:tc>
          <w:tcPr>
            <w:tcW w:w="13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0A32D0" w:rsidRDefault="000A32D0" w:rsidP="000A32D0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</w:t>
            </w:r>
          </w:p>
        </w:tc>
      </w:tr>
      <w:tr w:rsidR="003C6051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2258E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chr1</w:t>
            </w:r>
          </w:p>
        </w:tc>
        <w:tc>
          <w:tcPr>
            <w:tcW w:w="1296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156186392</w:t>
            </w:r>
          </w:p>
        </w:tc>
        <w:tc>
          <w:tcPr>
            <w:tcW w:w="1296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1561865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40</w:t>
            </w:r>
          </w:p>
        </w:tc>
        <w:tc>
          <w:tcPr>
            <w:tcW w:w="13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12</w:t>
            </w:r>
          </w:p>
        </w:tc>
        <w:tc>
          <w:tcPr>
            <w:tcW w:w="13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3C6051" w:rsidRDefault="003C6051" w:rsidP="003C6051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C07203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PMF1-BGLAP</w:t>
            </w:r>
          </w:p>
        </w:tc>
      </w:tr>
      <w:tr w:rsidR="005C1134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2258E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chr3</w:t>
            </w:r>
          </w:p>
        </w:tc>
        <w:tc>
          <w:tcPr>
            <w:tcW w:w="1296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2258E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196625630</w:t>
            </w:r>
          </w:p>
        </w:tc>
        <w:tc>
          <w:tcPr>
            <w:tcW w:w="1296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19662573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4</w:t>
            </w:r>
          </w:p>
        </w:tc>
        <w:tc>
          <w:tcPr>
            <w:tcW w:w="13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13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5C1134" w:rsidRPr="00C07203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SENP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5</w:t>
            </w:r>
          </w:p>
        </w:tc>
      </w:tr>
      <w:tr w:rsidR="005C1134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5C1134" w:rsidRPr="002258E8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hr8</w:t>
            </w:r>
          </w:p>
        </w:tc>
        <w:tc>
          <w:tcPr>
            <w:tcW w:w="1296" w:type="dxa"/>
          </w:tcPr>
          <w:p w:rsidR="005C1134" w:rsidRPr="002258E8" w:rsidRDefault="00F52DA9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F52DA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70602486</w:t>
            </w:r>
          </w:p>
        </w:tc>
        <w:tc>
          <w:tcPr>
            <w:tcW w:w="1296" w:type="dxa"/>
          </w:tcPr>
          <w:p w:rsidR="005C1134" w:rsidRDefault="00F52DA9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7060248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7</w:t>
            </w:r>
          </w:p>
        </w:tc>
        <w:tc>
          <w:tcPr>
            <w:tcW w:w="1319" w:type="dxa"/>
          </w:tcPr>
          <w:p w:rsidR="005C1134" w:rsidRDefault="00F52DA9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C1134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SLCO5A1</w:t>
            </w:r>
          </w:p>
        </w:tc>
      </w:tr>
      <w:tr w:rsidR="005C1134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030C1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chr8</w:t>
            </w:r>
          </w:p>
        </w:tc>
        <w:tc>
          <w:tcPr>
            <w:tcW w:w="1296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C1134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86572360</w:t>
            </w:r>
          </w:p>
        </w:tc>
        <w:tc>
          <w:tcPr>
            <w:tcW w:w="1296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8657238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3</w:t>
            </w:r>
          </w:p>
        </w:tc>
        <w:tc>
          <w:tcPr>
            <w:tcW w:w="13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2</w:t>
            </w:r>
          </w:p>
        </w:tc>
        <w:tc>
          <w:tcPr>
            <w:tcW w:w="1319" w:type="dxa"/>
          </w:tcPr>
          <w:p w:rsidR="005C1134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5C1134" w:rsidRPr="003A36E1" w:rsidRDefault="005C1134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A36E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REXO1L1P</w:t>
            </w:r>
          </w:p>
        </w:tc>
      </w:tr>
      <w:tr w:rsidR="003C6051" w:rsidRPr="005031CA" w:rsidTr="003A36E1">
        <w:trPr>
          <w:trHeight w:hRule="exact" w:val="397"/>
          <w:jc w:val="center"/>
        </w:trPr>
        <w:tc>
          <w:tcPr>
            <w:tcW w:w="752" w:type="dxa"/>
          </w:tcPr>
          <w:p w:rsidR="003C6051" w:rsidRPr="00030C19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c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hr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11</w:t>
            </w:r>
          </w:p>
        </w:tc>
        <w:tc>
          <w:tcPr>
            <w:tcW w:w="1296" w:type="dxa"/>
          </w:tcPr>
          <w:p w:rsidR="003C6051" w:rsidRPr="005C1134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85195100</w:t>
            </w:r>
          </w:p>
        </w:tc>
        <w:tc>
          <w:tcPr>
            <w:tcW w:w="1296" w:type="dxa"/>
          </w:tcPr>
          <w:p w:rsidR="003C6051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8519510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3C6051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1</w:t>
            </w:r>
          </w:p>
        </w:tc>
        <w:tc>
          <w:tcPr>
            <w:tcW w:w="1319" w:type="dxa"/>
          </w:tcPr>
          <w:p w:rsidR="003C6051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g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 xml:space="preserve">ene 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body</w:t>
            </w:r>
          </w:p>
        </w:tc>
        <w:tc>
          <w:tcPr>
            <w:tcW w:w="1619" w:type="dxa"/>
          </w:tcPr>
          <w:p w:rsidR="003C6051" w:rsidRPr="003A36E1" w:rsidRDefault="003C6051" w:rsidP="005C1134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3C6051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DLG2</w:t>
            </w:r>
          </w:p>
        </w:tc>
      </w:tr>
    </w:tbl>
    <w:p w:rsidR="0094633F" w:rsidRPr="002B64D6" w:rsidRDefault="0094633F" w:rsidP="006B10AC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77A74" w:rsidRDefault="00577A74" w:rsidP="00CF335B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179FB">
        <w:rPr>
          <w:rFonts w:ascii="Times New Roman" w:hAnsi="Times New Roman"/>
          <w:b/>
          <w:color w:val="000000" w:themeColor="text1"/>
          <w:sz w:val="24"/>
          <w:szCs w:val="24"/>
        </w:rPr>
        <w:t xml:space="preserve">Table </w:t>
      </w:r>
      <w:r w:rsidR="008836B7">
        <w:rPr>
          <w:rFonts w:ascii="Times New Roman" w:hAnsi="Times New Roman" w:hint="eastAsia"/>
          <w:b/>
          <w:color w:val="000000" w:themeColor="text1"/>
          <w:sz w:val="24"/>
          <w:szCs w:val="24"/>
        </w:rPr>
        <w:t>2</w:t>
      </w:r>
      <w:r w:rsidRPr="000179FB">
        <w:rPr>
          <w:rFonts w:ascii="Times New Roman" w:hAnsi="Times New Roman"/>
          <w:b/>
          <w:color w:val="000000" w:themeColor="text1"/>
          <w:sz w:val="24"/>
          <w:szCs w:val="24"/>
        </w:rPr>
        <w:t xml:space="preserve">. </w:t>
      </w:r>
      <w:r w:rsidR="000371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The information of </w:t>
      </w:r>
      <w:r w:rsidR="009F1286">
        <w:rPr>
          <w:rFonts w:ascii="Times New Roman" w:hAnsi="Times New Roman" w:hint="eastAsia"/>
          <w:b/>
          <w:color w:val="000000" w:themeColor="text1"/>
          <w:sz w:val="24"/>
          <w:szCs w:val="24"/>
        </w:rPr>
        <w:t>hepatitis</w:t>
      </w:r>
      <w:r w:rsidR="009F1286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and cirrhosis </w:t>
      </w:r>
      <w:r w:rsidR="0003715C">
        <w:rPr>
          <w:rFonts w:ascii="Times New Roman" w:hAnsi="Times New Roman"/>
          <w:b/>
          <w:color w:val="000000" w:themeColor="text1"/>
          <w:sz w:val="24"/>
          <w:szCs w:val="24"/>
        </w:rPr>
        <w:t xml:space="preserve">patients with </w:t>
      </w:r>
      <w:r w:rsidR="00086D71">
        <w:rPr>
          <w:rFonts w:ascii="Times New Roman" w:hAnsi="Times New Roman"/>
          <w:b/>
          <w:color w:val="000000" w:themeColor="text1"/>
          <w:sz w:val="24"/>
          <w:szCs w:val="24"/>
        </w:rPr>
        <w:t>lower methylation levels of CpGs located in the 100 bp of HBV integration sites</w:t>
      </w:r>
    </w:p>
    <w:tbl>
      <w:tblPr>
        <w:tblStyle w:val="a7"/>
        <w:tblW w:w="8364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984"/>
        <w:gridCol w:w="1844"/>
        <w:gridCol w:w="1984"/>
        <w:gridCol w:w="1560"/>
      </w:tblGrid>
      <w:tr w:rsidR="005B34B8" w:rsidRPr="00577A74" w:rsidTr="006035FF">
        <w:trPr>
          <w:trHeight w:hRule="exact" w:val="706"/>
          <w:jc w:val="center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  <w:t>Patient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5B34B8" w:rsidRDefault="005B34B8" w:rsidP="007E3239">
            <w:pPr>
              <w:widowControl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>
              <w:rPr>
                <w:rFonts w:cs="Calibri" w:hint="eastAsia"/>
                <w:b/>
                <w:bCs/>
                <w:color w:val="000000"/>
                <w:sz w:val="22"/>
              </w:rPr>
              <w:t>Disease</w:t>
            </w:r>
          </w:p>
        </w:tc>
        <w:tc>
          <w:tcPr>
            <w:tcW w:w="1844" w:type="dxa"/>
            <w:tcBorders>
              <w:top w:val="single" w:sz="4" w:space="0" w:color="auto"/>
              <w:bottom w:val="single" w:sz="4" w:space="0" w:color="auto"/>
            </w:tcBorders>
          </w:tcPr>
          <w:p w:rsidR="005B34B8" w:rsidRPr="00F728F1" w:rsidRDefault="005B34B8" w:rsidP="005B34B8">
            <w:pPr>
              <w:widowControl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>
              <w:rPr>
                <w:rFonts w:cs="Calibri"/>
                <w:b/>
                <w:bCs/>
                <w:color w:val="000000"/>
                <w:sz w:val="22"/>
              </w:rPr>
              <w:t>Percentage of hypo LRMs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5B34B8" w:rsidRPr="009E4C95" w:rsidRDefault="005B34B8" w:rsidP="005B34B8">
            <w:pPr>
              <w:widowControl/>
              <w:jc w:val="center"/>
              <w:rPr>
                <w:rFonts w:ascii="Times New Roman" w:hAnsi="Times New Roman"/>
                <w:b/>
                <w:color w:val="000000" w:themeColor="text1"/>
                <w:sz w:val="20"/>
                <w:szCs w:val="24"/>
              </w:rPr>
            </w:pPr>
            <w:r w:rsidRPr="005B34B8">
              <w:rPr>
                <w:rFonts w:cs="Calibri"/>
                <w:b/>
                <w:bCs/>
                <w:color w:val="000000"/>
                <w:sz w:val="22"/>
              </w:rPr>
              <w:t>Methyl</w:t>
            </w:r>
            <w:r w:rsidRPr="005B34B8">
              <w:rPr>
                <w:rFonts w:cs="Calibri" w:hint="eastAsia"/>
                <w:b/>
                <w:bCs/>
                <w:color w:val="000000"/>
                <w:sz w:val="22"/>
              </w:rPr>
              <w:t>HBV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5B34B8" w:rsidRPr="005B34B8" w:rsidRDefault="005B34B8" w:rsidP="005B34B8">
            <w:pPr>
              <w:widowControl/>
              <w:jc w:val="center"/>
              <w:rPr>
                <w:rFonts w:cs="Calibri"/>
                <w:b/>
                <w:bCs/>
                <w:color w:val="000000"/>
                <w:sz w:val="22"/>
              </w:rPr>
            </w:pPr>
            <w:r>
              <w:rPr>
                <w:rFonts w:cs="Calibri" w:hint="eastAsia"/>
                <w:b/>
                <w:bCs/>
                <w:color w:val="000000"/>
                <w:sz w:val="22"/>
              </w:rPr>
              <w:t>AFP (</w:t>
            </w:r>
            <w:r w:rsidRPr="005B34B8">
              <w:rPr>
                <w:rFonts w:cs="Calibri"/>
                <w:b/>
                <w:bCs/>
                <w:color w:val="000000"/>
                <w:sz w:val="22"/>
              </w:rPr>
              <w:t>ng/ml</w:t>
            </w:r>
            <w:r>
              <w:rPr>
                <w:rFonts w:cs="Calibri" w:hint="eastAsia"/>
                <w:b/>
                <w:bCs/>
                <w:color w:val="000000"/>
                <w:sz w:val="22"/>
              </w:rPr>
              <w:t>)</w:t>
            </w:r>
          </w:p>
        </w:tc>
      </w:tr>
      <w:tr w:rsidR="005B34B8" w:rsidRPr="00577A74" w:rsidTr="006035FF">
        <w:trPr>
          <w:trHeight w:hRule="exact" w:val="399"/>
          <w:jc w:val="center"/>
        </w:trPr>
        <w:tc>
          <w:tcPr>
            <w:tcW w:w="992" w:type="dxa"/>
            <w:vAlign w:val="bottom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P2</w:t>
            </w:r>
          </w:p>
        </w:tc>
        <w:tc>
          <w:tcPr>
            <w:tcW w:w="1984" w:type="dxa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chronic h</w:t>
            </w: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epatitis</w:t>
            </w:r>
          </w:p>
        </w:tc>
        <w:tc>
          <w:tcPr>
            <w:tcW w:w="1844" w:type="dxa"/>
            <w:vAlign w:val="bottom"/>
          </w:tcPr>
          <w:p w:rsidR="005B34B8" w:rsidRPr="00577A74" w:rsidRDefault="005B34B8" w:rsidP="005B34B8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</w:t>
            </w: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7.87</w:t>
            </w: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%</w:t>
            </w:r>
          </w:p>
        </w:tc>
        <w:tc>
          <w:tcPr>
            <w:tcW w:w="1984" w:type="dxa"/>
            <w:vAlign w:val="bottom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67.69%</w:t>
            </w:r>
          </w:p>
        </w:tc>
        <w:tc>
          <w:tcPr>
            <w:tcW w:w="1560" w:type="dxa"/>
          </w:tcPr>
          <w:p w:rsidR="005B34B8" w:rsidRPr="007E3239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B34B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2.2</w:t>
            </w:r>
          </w:p>
        </w:tc>
      </w:tr>
      <w:tr w:rsidR="005B34B8" w:rsidRPr="00577A74" w:rsidTr="006035FF">
        <w:trPr>
          <w:trHeight w:hRule="exact" w:val="399"/>
          <w:jc w:val="center"/>
        </w:trPr>
        <w:tc>
          <w:tcPr>
            <w:tcW w:w="992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P14</w:t>
            </w:r>
          </w:p>
        </w:tc>
        <w:tc>
          <w:tcPr>
            <w:tcW w:w="1984" w:type="dxa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cirrhosis</w:t>
            </w:r>
          </w:p>
        </w:tc>
        <w:tc>
          <w:tcPr>
            <w:tcW w:w="1844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3.47%</w:t>
            </w:r>
          </w:p>
        </w:tc>
        <w:tc>
          <w:tcPr>
            <w:tcW w:w="1984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67.39%</w:t>
            </w:r>
          </w:p>
        </w:tc>
        <w:tc>
          <w:tcPr>
            <w:tcW w:w="1560" w:type="dxa"/>
          </w:tcPr>
          <w:p w:rsidR="005B34B8" w:rsidRPr="007E3239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B34B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141.9</w:t>
            </w:r>
          </w:p>
        </w:tc>
      </w:tr>
      <w:tr w:rsidR="005B34B8" w:rsidRPr="00577A74" w:rsidTr="006035FF">
        <w:trPr>
          <w:trHeight w:hRule="exact" w:val="399"/>
          <w:jc w:val="center"/>
        </w:trPr>
        <w:tc>
          <w:tcPr>
            <w:tcW w:w="992" w:type="dxa"/>
            <w:vAlign w:val="bottom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P18</w:t>
            </w:r>
          </w:p>
        </w:tc>
        <w:tc>
          <w:tcPr>
            <w:tcW w:w="1984" w:type="dxa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nash-related cirrhosis</w:t>
            </w:r>
          </w:p>
        </w:tc>
        <w:tc>
          <w:tcPr>
            <w:tcW w:w="1844" w:type="dxa"/>
            <w:vAlign w:val="bottom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20.04</w:t>
            </w: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%</w:t>
            </w:r>
          </w:p>
        </w:tc>
        <w:tc>
          <w:tcPr>
            <w:tcW w:w="1984" w:type="dxa"/>
            <w:vAlign w:val="bottom"/>
          </w:tcPr>
          <w:p w:rsidR="005B34B8" w:rsidRPr="00577A74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66.04%</w:t>
            </w:r>
          </w:p>
        </w:tc>
        <w:tc>
          <w:tcPr>
            <w:tcW w:w="1560" w:type="dxa"/>
          </w:tcPr>
          <w:p w:rsidR="005B34B8" w:rsidRPr="007E3239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B34B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2.07</w:t>
            </w:r>
          </w:p>
        </w:tc>
      </w:tr>
      <w:tr w:rsidR="005B34B8" w:rsidRPr="00577A74" w:rsidTr="006035FF">
        <w:trPr>
          <w:trHeight w:hRule="exact" w:val="399"/>
          <w:jc w:val="center"/>
        </w:trPr>
        <w:tc>
          <w:tcPr>
            <w:tcW w:w="992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 w:hint="eastAsia"/>
                <w:color w:val="000000" w:themeColor="text1"/>
                <w:sz w:val="20"/>
                <w:szCs w:val="24"/>
              </w:rPr>
              <w:t>P19</w:t>
            </w:r>
          </w:p>
        </w:tc>
        <w:tc>
          <w:tcPr>
            <w:tcW w:w="1984" w:type="dxa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alcoholic cirrhosis</w:t>
            </w:r>
          </w:p>
        </w:tc>
        <w:tc>
          <w:tcPr>
            <w:tcW w:w="1844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11.00</w:t>
            </w: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%</w:t>
            </w:r>
          </w:p>
        </w:tc>
        <w:tc>
          <w:tcPr>
            <w:tcW w:w="1984" w:type="dxa"/>
            <w:vAlign w:val="bottom"/>
          </w:tcPr>
          <w:p w:rsidR="005B34B8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7E3239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67.96%</w:t>
            </w:r>
          </w:p>
        </w:tc>
        <w:tc>
          <w:tcPr>
            <w:tcW w:w="1560" w:type="dxa"/>
          </w:tcPr>
          <w:p w:rsidR="005B34B8" w:rsidRPr="007E3239" w:rsidRDefault="005B34B8" w:rsidP="007E3239">
            <w:pPr>
              <w:snapToGrid w:val="0"/>
              <w:spacing w:beforeLines="20" w:before="62" w:line="36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4"/>
              </w:rPr>
            </w:pPr>
            <w:r w:rsidRPr="005B34B8">
              <w:rPr>
                <w:rFonts w:ascii="Times New Roman" w:hAnsi="Times New Roman"/>
                <w:color w:val="000000" w:themeColor="text1"/>
                <w:sz w:val="20"/>
                <w:szCs w:val="24"/>
              </w:rPr>
              <w:t>8.46</w:t>
            </w:r>
          </w:p>
        </w:tc>
      </w:tr>
    </w:tbl>
    <w:p w:rsidR="00577A74" w:rsidRPr="005031CA" w:rsidRDefault="00577A74" w:rsidP="00CF335B">
      <w:pPr>
        <w:snapToGrid w:val="0"/>
        <w:spacing w:beforeLines="50" w:before="156" w:afterLines="50" w:after="156" w:line="360" w:lineRule="auto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sectPr w:rsidR="00577A74" w:rsidRPr="0050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11" w:rsidRDefault="00AB3211" w:rsidP="00CF335B">
      <w:r>
        <w:separator/>
      </w:r>
    </w:p>
  </w:endnote>
  <w:endnote w:type="continuationSeparator" w:id="0">
    <w:p w:rsidR="00AB3211" w:rsidRDefault="00AB3211" w:rsidP="00CF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11" w:rsidRDefault="00AB3211" w:rsidP="00CF335B">
      <w:r>
        <w:separator/>
      </w:r>
    </w:p>
  </w:footnote>
  <w:footnote w:type="continuationSeparator" w:id="0">
    <w:p w:rsidR="00AB3211" w:rsidRDefault="00AB3211" w:rsidP="00CF33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06"/>
    <w:rsid w:val="000179FB"/>
    <w:rsid w:val="00017C3C"/>
    <w:rsid w:val="000248BC"/>
    <w:rsid w:val="00030C19"/>
    <w:rsid w:val="00033600"/>
    <w:rsid w:val="000348D2"/>
    <w:rsid w:val="000350ED"/>
    <w:rsid w:val="0003715C"/>
    <w:rsid w:val="000577E1"/>
    <w:rsid w:val="0006757D"/>
    <w:rsid w:val="00082607"/>
    <w:rsid w:val="00082F2D"/>
    <w:rsid w:val="00086D71"/>
    <w:rsid w:val="000A32D0"/>
    <w:rsid w:val="000A5BD7"/>
    <w:rsid w:val="000C0022"/>
    <w:rsid w:val="000E13E7"/>
    <w:rsid w:val="000F1DA0"/>
    <w:rsid w:val="001041FD"/>
    <w:rsid w:val="00106278"/>
    <w:rsid w:val="00116A74"/>
    <w:rsid w:val="001524E1"/>
    <w:rsid w:val="00160EFC"/>
    <w:rsid w:val="00164B2F"/>
    <w:rsid w:val="0018518C"/>
    <w:rsid w:val="001B6C90"/>
    <w:rsid w:val="001C3F05"/>
    <w:rsid w:val="001D5C68"/>
    <w:rsid w:val="0020165A"/>
    <w:rsid w:val="0020210D"/>
    <w:rsid w:val="002136BE"/>
    <w:rsid w:val="00224E4A"/>
    <w:rsid w:val="002258E8"/>
    <w:rsid w:val="00234585"/>
    <w:rsid w:val="00246956"/>
    <w:rsid w:val="002537FB"/>
    <w:rsid w:val="0028086C"/>
    <w:rsid w:val="002A4416"/>
    <w:rsid w:val="002B64D6"/>
    <w:rsid w:val="002D3FF3"/>
    <w:rsid w:val="002D46E3"/>
    <w:rsid w:val="002E40BD"/>
    <w:rsid w:val="002F1F2C"/>
    <w:rsid w:val="00304209"/>
    <w:rsid w:val="00334162"/>
    <w:rsid w:val="00334816"/>
    <w:rsid w:val="00336D4F"/>
    <w:rsid w:val="003455FF"/>
    <w:rsid w:val="00363214"/>
    <w:rsid w:val="0038319E"/>
    <w:rsid w:val="003844BD"/>
    <w:rsid w:val="003870B1"/>
    <w:rsid w:val="003A36E1"/>
    <w:rsid w:val="003A5F92"/>
    <w:rsid w:val="003A708B"/>
    <w:rsid w:val="003C6051"/>
    <w:rsid w:val="003F7825"/>
    <w:rsid w:val="00413257"/>
    <w:rsid w:val="00422A3D"/>
    <w:rsid w:val="00440FD8"/>
    <w:rsid w:val="00446C76"/>
    <w:rsid w:val="00473379"/>
    <w:rsid w:val="00490616"/>
    <w:rsid w:val="004B2DBB"/>
    <w:rsid w:val="004D21A4"/>
    <w:rsid w:val="004D65CA"/>
    <w:rsid w:val="004E6DFD"/>
    <w:rsid w:val="005031CA"/>
    <w:rsid w:val="005466AE"/>
    <w:rsid w:val="00547F21"/>
    <w:rsid w:val="00565AB9"/>
    <w:rsid w:val="00577A74"/>
    <w:rsid w:val="00586BF2"/>
    <w:rsid w:val="00596874"/>
    <w:rsid w:val="005B34B8"/>
    <w:rsid w:val="005C1134"/>
    <w:rsid w:val="005C3759"/>
    <w:rsid w:val="005D47DA"/>
    <w:rsid w:val="005D5DA2"/>
    <w:rsid w:val="0060085A"/>
    <w:rsid w:val="006035FF"/>
    <w:rsid w:val="00604A24"/>
    <w:rsid w:val="00642C53"/>
    <w:rsid w:val="006459B0"/>
    <w:rsid w:val="006462A4"/>
    <w:rsid w:val="006B10AC"/>
    <w:rsid w:val="006E5A05"/>
    <w:rsid w:val="006F580F"/>
    <w:rsid w:val="00717E1A"/>
    <w:rsid w:val="00741666"/>
    <w:rsid w:val="007702A1"/>
    <w:rsid w:val="007818C2"/>
    <w:rsid w:val="00797ADD"/>
    <w:rsid w:val="007A04C8"/>
    <w:rsid w:val="007A296C"/>
    <w:rsid w:val="007A39D3"/>
    <w:rsid w:val="007A6F7D"/>
    <w:rsid w:val="007A7B62"/>
    <w:rsid w:val="007C4DFD"/>
    <w:rsid w:val="007D4D7E"/>
    <w:rsid w:val="007D6247"/>
    <w:rsid w:val="007E3239"/>
    <w:rsid w:val="007E5A14"/>
    <w:rsid w:val="00821495"/>
    <w:rsid w:val="0082364B"/>
    <w:rsid w:val="00830277"/>
    <w:rsid w:val="00880F88"/>
    <w:rsid w:val="008836B7"/>
    <w:rsid w:val="008872E2"/>
    <w:rsid w:val="008B5A73"/>
    <w:rsid w:val="008C25D7"/>
    <w:rsid w:val="008C3704"/>
    <w:rsid w:val="008D0755"/>
    <w:rsid w:val="00931DC9"/>
    <w:rsid w:val="009336FD"/>
    <w:rsid w:val="0094633F"/>
    <w:rsid w:val="00954CB9"/>
    <w:rsid w:val="00957C5C"/>
    <w:rsid w:val="0096440A"/>
    <w:rsid w:val="0097157A"/>
    <w:rsid w:val="009B2470"/>
    <w:rsid w:val="009B3D02"/>
    <w:rsid w:val="009B7FBD"/>
    <w:rsid w:val="009C0A0B"/>
    <w:rsid w:val="009C57D3"/>
    <w:rsid w:val="009E4C95"/>
    <w:rsid w:val="009F1286"/>
    <w:rsid w:val="009F4FC1"/>
    <w:rsid w:val="00A3380A"/>
    <w:rsid w:val="00A35A5B"/>
    <w:rsid w:val="00A363D1"/>
    <w:rsid w:val="00A4166A"/>
    <w:rsid w:val="00A54DA4"/>
    <w:rsid w:val="00A571A8"/>
    <w:rsid w:val="00A77F77"/>
    <w:rsid w:val="00AB26F7"/>
    <w:rsid w:val="00AB3211"/>
    <w:rsid w:val="00AB3F5B"/>
    <w:rsid w:val="00AC39A5"/>
    <w:rsid w:val="00AE5192"/>
    <w:rsid w:val="00AF67BD"/>
    <w:rsid w:val="00B00FB2"/>
    <w:rsid w:val="00B06506"/>
    <w:rsid w:val="00B104E6"/>
    <w:rsid w:val="00B14D17"/>
    <w:rsid w:val="00B54E0B"/>
    <w:rsid w:val="00B63092"/>
    <w:rsid w:val="00B724AA"/>
    <w:rsid w:val="00BD308B"/>
    <w:rsid w:val="00BD5506"/>
    <w:rsid w:val="00C07203"/>
    <w:rsid w:val="00C15223"/>
    <w:rsid w:val="00C304A9"/>
    <w:rsid w:val="00C756C4"/>
    <w:rsid w:val="00C97BC0"/>
    <w:rsid w:val="00CA10CC"/>
    <w:rsid w:val="00CA12E5"/>
    <w:rsid w:val="00CB3A5D"/>
    <w:rsid w:val="00CC29B8"/>
    <w:rsid w:val="00CC5689"/>
    <w:rsid w:val="00CF335B"/>
    <w:rsid w:val="00CF3DAF"/>
    <w:rsid w:val="00D003B2"/>
    <w:rsid w:val="00D27C54"/>
    <w:rsid w:val="00D41449"/>
    <w:rsid w:val="00D453EF"/>
    <w:rsid w:val="00D77300"/>
    <w:rsid w:val="00D82A08"/>
    <w:rsid w:val="00DA4969"/>
    <w:rsid w:val="00DB2972"/>
    <w:rsid w:val="00DE7A7C"/>
    <w:rsid w:val="00E035F1"/>
    <w:rsid w:val="00E052CE"/>
    <w:rsid w:val="00E20927"/>
    <w:rsid w:val="00E63E13"/>
    <w:rsid w:val="00E86DF1"/>
    <w:rsid w:val="00E92C90"/>
    <w:rsid w:val="00E955DE"/>
    <w:rsid w:val="00F07083"/>
    <w:rsid w:val="00F25129"/>
    <w:rsid w:val="00F274A2"/>
    <w:rsid w:val="00F359C0"/>
    <w:rsid w:val="00F50867"/>
    <w:rsid w:val="00F52DA9"/>
    <w:rsid w:val="00F728F1"/>
    <w:rsid w:val="00FA136A"/>
    <w:rsid w:val="00FC57C0"/>
    <w:rsid w:val="00FC688F"/>
    <w:rsid w:val="00FD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49884"/>
  <w15:chartTrackingRefBased/>
  <w15:docId w15:val="{1B8C0011-4055-43CC-B797-6183C37A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3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3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35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35B"/>
    <w:rPr>
      <w:sz w:val="18"/>
      <w:szCs w:val="18"/>
    </w:rPr>
  </w:style>
  <w:style w:type="table" w:styleId="a7">
    <w:name w:val="Table Grid"/>
    <w:basedOn w:val="a1"/>
    <w:uiPriority w:val="39"/>
    <w:rsid w:val="00CF3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1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5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zhanghk</dc:creator>
  <cp:keywords/>
  <dc:description/>
  <cp:lastModifiedBy>Zhang Haikun</cp:lastModifiedBy>
  <cp:revision>63</cp:revision>
  <dcterms:created xsi:type="dcterms:W3CDTF">2017-12-22T08:56:00Z</dcterms:created>
  <dcterms:modified xsi:type="dcterms:W3CDTF">2019-04-10T08:51:00Z</dcterms:modified>
</cp:coreProperties>
</file>