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623" w:rsidRPr="00625EA0" w:rsidRDefault="00D115E9" w:rsidP="007C2C7C">
      <w:pPr>
        <w:snapToGrid w:val="0"/>
        <w:jc w:val="center"/>
        <w:rPr>
          <w:rFonts w:ascii="Arial" w:hAnsi="Arial" w:cs="Arial"/>
          <w:noProof/>
          <w:sz w:val="22"/>
        </w:rPr>
      </w:pPr>
      <w:r w:rsidRPr="00625EA0">
        <w:rPr>
          <w:rFonts w:ascii="Arial" w:hAnsi="Arial" w:cs="Arial"/>
          <w:noProof/>
          <w:sz w:val="22"/>
          <w:lang w:eastAsia="en-US"/>
        </w:rPr>
        <w:drawing>
          <wp:inline distT="0" distB="0" distL="0" distR="0" wp14:anchorId="35E971C5" wp14:editId="54D42753">
            <wp:extent cx="5590169" cy="79343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4180" cy="798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7C" w:rsidRDefault="007C2C7C" w:rsidP="007C2C7C">
      <w:pPr>
        <w:snapToGrid w:val="0"/>
        <w:rPr>
          <w:rFonts w:ascii="Arial" w:hAnsi="Arial" w:cs="Arial"/>
          <w:b/>
          <w:color w:val="000000" w:themeColor="text1"/>
          <w:kern w:val="0"/>
          <w:sz w:val="22"/>
        </w:rPr>
      </w:pPr>
    </w:p>
    <w:p w:rsidR="0015582D" w:rsidRPr="00625EA0" w:rsidRDefault="00D02623" w:rsidP="007C2C7C">
      <w:pPr>
        <w:snapToGrid w:val="0"/>
        <w:rPr>
          <w:rFonts w:ascii="Arial" w:hAnsi="Arial" w:cs="Arial"/>
          <w:b/>
          <w:color w:val="000000" w:themeColor="text1"/>
          <w:kern w:val="0"/>
          <w:sz w:val="22"/>
        </w:rPr>
      </w:pPr>
      <w:r w:rsidRPr="00625EA0">
        <w:rPr>
          <w:rFonts w:ascii="Arial" w:hAnsi="Arial" w:cs="Arial"/>
          <w:b/>
          <w:color w:val="000000" w:themeColor="text1"/>
          <w:kern w:val="0"/>
          <w:sz w:val="22"/>
        </w:rPr>
        <w:t>Fig. S1.</w:t>
      </w:r>
      <w:r w:rsidR="00D115E9" w:rsidRPr="00625EA0">
        <w:rPr>
          <w:rFonts w:ascii="Arial" w:hAnsi="Arial" w:cs="Arial"/>
          <w:b/>
          <w:color w:val="000000" w:themeColor="text1"/>
          <w:kern w:val="0"/>
          <w:sz w:val="22"/>
        </w:rPr>
        <w:t xml:space="preserve"> </w:t>
      </w:r>
      <w:r w:rsidR="00597ACA" w:rsidRPr="00625EA0">
        <w:rPr>
          <w:rFonts w:ascii="Arial" w:hAnsi="Arial" w:cs="Arial"/>
          <w:b/>
          <w:color w:val="000000" w:themeColor="text1"/>
          <w:kern w:val="0"/>
          <w:sz w:val="22"/>
        </w:rPr>
        <w:t xml:space="preserve">Determination of optimal region size and effective sequencing depth </w:t>
      </w:r>
      <w:r w:rsidR="009721B2" w:rsidRPr="00625EA0">
        <w:rPr>
          <w:rFonts w:ascii="Arial" w:hAnsi="Arial" w:cs="Arial"/>
          <w:b/>
          <w:color w:val="000000" w:themeColor="text1"/>
          <w:kern w:val="0"/>
          <w:sz w:val="22"/>
        </w:rPr>
        <w:t>of</w:t>
      </w:r>
      <w:r w:rsidR="00597ACA" w:rsidRPr="00625EA0">
        <w:rPr>
          <w:rFonts w:ascii="Arial" w:hAnsi="Arial" w:cs="Arial"/>
          <w:b/>
          <w:color w:val="000000" w:themeColor="text1"/>
          <w:kern w:val="0"/>
          <w:sz w:val="22"/>
        </w:rPr>
        <w:t xml:space="preserve"> low pass WGBS. </w:t>
      </w:r>
      <w:r w:rsidR="00597ACA" w:rsidRPr="00625EA0">
        <w:rPr>
          <w:rFonts w:ascii="Arial" w:hAnsi="Arial" w:cs="Arial"/>
          <w:color w:val="000000" w:themeColor="text1"/>
          <w:kern w:val="0"/>
          <w:sz w:val="22"/>
        </w:rPr>
        <w:t>(A) Percentage of hypo-methylated regions at 500-Kb, 1-Mb, 1.5-Mb, 2-Mb and 2.5-Mb size</w:t>
      </w:r>
      <w:r w:rsidR="002132CD" w:rsidRPr="00625EA0">
        <w:rPr>
          <w:rFonts w:ascii="Arial" w:hAnsi="Arial" w:cs="Arial"/>
          <w:color w:val="000000" w:themeColor="text1"/>
          <w:kern w:val="0"/>
          <w:sz w:val="22"/>
        </w:rPr>
        <w:t xml:space="preserve"> in the HCC patient (D4)</w:t>
      </w:r>
      <w:r w:rsidR="00597ACA" w:rsidRPr="00625EA0">
        <w:rPr>
          <w:rFonts w:ascii="Arial" w:hAnsi="Arial" w:cs="Arial"/>
          <w:color w:val="000000" w:themeColor="text1"/>
          <w:kern w:val="0"/>
          <w:sz w:val="22"/>
        </w:rPr>
        <w:t xml:space="preserve">. (B) </w:t>
      </w:r>
      <w:r w:rsidR="002132CD" w:rsidRPr="00625EA0">
        <w:rPr>
          <w:rFonts w:ascii="Arial" w:hAnsi="Arial" w:cs="Arial"/>
          <w:color w:val="000000" w:themeColor="text1"/>
          <w:kern w:val="0"/>
          <w:sz w:val="22"/>
        </w:rPr>
        <w:t>Comparison of average methylation level of 2-Mb regions between 5M re-sampling reads and total sequencing reads</w:t>
      </w:r>
      <w:r w:rsidR="00597ACA" w:rsidRPr="00625EA0">
        <w:rPr>
          <w:rFonts w:ascii="Arial" w:hAnsi="Arial" w:cs="Arial"/>
          <w:color w:val="000000" w:themeColor="text1"/>
          <w:kern w:val="0"/>
          <w:sz w:val="22"/>
        </w:rPr>
        <w:t xml:space="preserve"> from 5 individuals. Genome-wide DNA methylation level of 2-Mb regions for each comparison are shown in circos. The data represent the average methylation levels for 2-Mb regions. “M” represents the total WGBS and “L” represents the 5M re-sampling </w:t>
      </w:r>
      <w:r w:rsidR="002132CD" w:rsidRPr="00625EA0">
        <w:rPr>
          <w:rFonts w:ascii="Arial" w:hAnsi="Arial" w:cs="Arial"/>
          <w:color w:val="000000" w:themeColor="text1"/>
          <w:kern w:val="0"/>
          <w:sz w:val="22"/>
        </w:rPr>
        <w:t>reads</w:t>
      </w:r>
      <w:r w:rsidR="00597ACA" w:rsidRPr="00625EA0">
        <w:rPr>
          <w:rFonts w:ascii="Arial" w:hAnsi="Arial" w:cs="Arial"/>
          <w:color w:val="000000" w:themeColor="text1"/>
          <w:kern w:val="0"/>
          <w:sz w:val="22"/>
        </w:rPr>
        <w:t xml:space="preserve"> from </w:t>
      </w:r>
      <w:r w:rsidR="002132CD" w:rsidRPr="00625EA0">
        <w:rPr>
          <w:rFonts w:ascii="Arial" w:hAnsi="Arial" w:cs="Arial"/>
          <w:color w:val="000000" w:themeColor="text1"/>
          <w:kern w:val="0"/>
          <w:sz w:val="22"/>
        </w:rPr>
        <w:t>total WGBS</w:t>
      </w:r>
      <w:r w:rsidR="00597ACA" w:rsidRPr="00625EA0">
        <w:rPr>
          <w:rFonts w:ascii="Arial" w:hAnsi="Arial" w:cs="Arial"/>
          <w:color w:val="000000" w:themeColor="text1"/>
          <w:kern w:val="0"/>
          <w:sz w:val="22"/>
        </w:rPr>
        <w:t>. Colors represent (from green, purple, yellow, blue and red) the methylation level from low to high.</w:t>
      </w:r>
      <w:r w:rsidR="009721B2" w:rsidRPr="00625EA0">
        <w:rPr>
          <w:rFonts w:ascii="Arial" w:hAnsi="Arial" w:cs="Arial"/>
          <w:color w:val="000000" w:themeColor="text1"/>
          <w:kern w:val="0"/>
          <w:sz w:val="22"/>
        </w:rPr>
        <w:t xml:space="preserve"> (C).</w:t>
      </w:r>
      <w:r w:rsidR="002132CD" w:rsidRPr="00625EA0">
        <w:rPr>
          <w:rFonts w:ascii="Arial" w:hAnsi="Arial" w:cs="Arial"/>
          <w:color w:val="000000" w:themeColor="text1"/>
          <w:kern w:val="0"/>
          <w:sz w:val="22"/>
        </w:rPr>
        <w:t xml:space="preserve"> The correlation</w:t>
      </w:r>
      <w:r w:rsidR="002F734A" w:rsidRPr="00625EA0">
        <w:rPr>
          <w:rFonts w:ascii="Arial" w:hAnsi="Arial" w:cs="Arial"/>
          <w:color w:val="000000" w:themeColor="text1"/>
          <w:kern w:val="0"/>
          <w:sz w:val="22"/>
        </w:rPr>
        <w:t xml:space="preserve"> of average methylation level of 2-Mb regions between 5M re-sampling reads and total sequencing reads.</w:t>
      </w:r>
      <w:r w:rsidR="009721B2" w:rsidRPr="00625EA0">
        <w:rPr>
          <w:rFonts w:ascii="Arial" w:hAnsi="Arial" w:cs="Arial"/>
          <w:color w:val="000000" w:themeColor="text1"/>
          <w:kern w:val="0"/>
          <w:sz w:val="22"/>
        </w:rPr>
        <w:t xml:space="preserve"> The Pearson’s correlation coefficient is large than 0.92 in all the 5 samples.</w:t>
      </w:r>
    </w:p>
    <w:p w:rsidR="00A43B4D" w:rsidRPr="00625EA0" w:rsidRDefault="002F734A" w:rsidP="007C2C7C">
      <w:pPr>
        <w:snapToGrid w:val="0"/>
        <w:rPr>
          <w:rFonts w:ascii="Arial" w:hAnsi="Arial" w:cs="Arial"/>
          <w:b/>
          <w:color w:val="FF0000"/>
          <w:sz w:val="22"/>
        </w:rPr>
      </w:pPr>
      <w:r w:rsidRPr="00625EA0">
        <w:rPr>
          <w:rFonts w:ascii="Arial" w:hAnsi="Arial" w:cs="Arial"/>
          <w:noProof/>
          <w:sz w:val="22"/>
          <w:lang w:eastAsia="en-US"/>
        </w:rPr>
        <w:lastRenderedPageBreak/>
        <w:drawing>
          <wp:inline distT="0" distB="0" distL="0" distR="0" wp14:anchorId="423289F8" wp14:editId="4227BEFF">
            <wp:extent cx="6438900" cy="6583862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9588" cy="660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CF" w:rsidRPr="00625EA0" w:rsidRDefault="00242ACF" w:rsidP="007C2C7C">
      <w:pPr>
        <w:snapToGrid w:val="0"/>
        <w:rPr>
          <w:rFonts w:ascii="Arial" w:hAnsi="Arial" w:cs="Arial"/>
          <w:b/>
          <w:color w:val="FF0000"/>
          <w:sz w:val="22"/>
        </w:rPr>
      </w:pPr>
    </w:p>
    <w:p w:rsidR="007C2C7C" w:rsidRDefault="007C2C7C" w:rsidP="007C2C7C">
      <w:pPr>
        <w:snapToGrid w:val="0"/>
        <w:rPr>
          <w:rFonts w:ascii="Arial" w:hAnsi="Arial" w:cs="Arial"/>
          <w:b/>
          <w:color w:val="000000" w:themeColor="text1"/>
          <w:sz w:val="22"/>
        </w:rPr>
      </w:pPr>
    </w:p>
    <w:p w:rsidR="0015582D" w:rsidRPr="00625EA0" w:rsidRDefault="0015582D" w:rsidP="007C2C7C">
      <w:pPr>
        <w:snapToGrid w:val="0"/>
        <w:rPr>
          <w:rFonts w:ascii="Arial" w:hAnsi="Arial" w:cs="Arial"/>
          <w:color w:val="000000" w:themeColor="text1"/>
          <w:kern w:val="0"/>
          <w:sz w:val="22"/>
        </w:rPr>
      </w:pPr>
      <w:r w:rsidRPr="00625EA0">
        <w:rPr>
          <w:rFonts w:ascii="Arial" w:hAnsi="Arial" w:cs="Arial"/>
          <w:b/>
          <w:color w:val="000000" w:themeColor="text1"/>
          <w:sz w:val="22"/>
        </w:rPr>
        <w:t>Fig. S</w:t>
      </w:r>
      <w:r w:rsidR="002F734A" w:rsidRPr="00625EA0">
        <w:rPr>
          <w:rFonts w:ascii="Arial" w:hAnsi="Arial" w:cs="Arial"/>
          <w:b/>
          <w:color w:val="000000" w:themeColor="text1"/>
          <w:sz w:val="22"/>
        </w:rPr>
        <w:t>2</w:t>
      </w:r>
      <w:r w:rsidRPr="00625EA0">
        <w:rPr>
          <w:rFonts w:ascii="Arial" w:hAnsi="Arial" w:cs="Arial"/>
          <w:b/>
          <w:color w:val="000000" w:themeColor="text1"/>
          <w:sz w:val="22"/>
        </w:rPr>
        <w:t xml:space="preserve">. </w:t>
      </w:r>
      <w:r w:rsidR="009E5CDF" w:rsidRPr="00625EA0">
        <w:rPr>
          <w:rFonts w:ascii="Arial" w:hAnsi="Arial" w:cs="Arial"/>
          <w:b/>
          <w:color w:val="000000" w:themeColor="text1"/>
          <w:sz w:val="22"/>
        </w:rPr>
        <w:t>Low pass WGBS</w:t>
      </w:r>
      <w:r w:rsidR="003D39CA" w:rsidRPr="00625EA0">
        <w:rPr>
          <w:rFonts w:ascii="Arial" w:hAnsi="Arial" w:cs="Arial"/>
          <w:b/>
          <w:color w:val="000000" w:themeColor="text1"/>
          <w:sz w:val="22"/>
        </w:rPr>
        <w:t xml:space="preserve"> of cell free DNA</w:t>
      </w:r>
      <w:r w:rsidR="009E5CDF" w:rsidRPr="00625EA0">
        <w:rPr>
          <w:rFonts w:ascii="Arial" w:hAnsi="Arial" w:cs="Arial"/>
          <w:b/>
          <w:color w:val="000000" w:themeColor="text1"/>
          <w:sz w:val="22"/>
        </w:rPr>
        <w:t xml:space="preserve"> </w:t>
      </w:r>
      <w:r w:rsidR="003D39CA" w:rsidRPr="00625EA0">
        <w:rPr>
          <w:rFonts w:ascii="Arial" w:hAnsi="Arial" w:cs="Arial"/>
          <w:b/>
          <w:color w:val="000000" w:themeColor="text1"/>
          <w:sz w:val="22"/>
        </w:rPr>
        <w:t>distinguishes</w:t>
      </w:r>
      <w:r w:rsidR="009E5CDF" w:rsidRPr="00625EA0">
        <w:rPr>
          <w:rFonts w:ascii="Arial" w:hAnsi="Arial" w:cs="Arial"/>
          <w:b/>
          <w:color w:val="000000" w:themeColor="text1"/>
          <w:sz w:val="22"/>
        </w:rPr>
        <w:t xml:space="preserve"> HCC</w:t>
      </w:r>
      <w:r w:rsidR="003D39CA" w:rsidRPr="00625EA0">
        <w:rPr>
          <w:rFonts w:ascii="Arial" w:hAnsi="Arial" w:cs="Arial"/>
          <w:b/>
          <w:color w:val="000000" w:themeColor="text1"/>
          <w:sz w:val="22"/>
        </w:rPr>
        <w:t xml:space="preserve"> from cirrhosis, hepatitis and healthy individuals. </w:t>
      </w:r>
      <w:r w:rsidR="003D39CA" w:rsidRPr="00625EA0">
        <w:rPr>
          <w:rFonts w:ascii="Arial" w:hAnsi="Arial" w:cs="Arial"/>
          <w:color w:val="000000" w:themeColor="text1"/>
          <w:kern w:val="0"/>
          <w:sz w:val="22"/>
        </w:rPr>
        <w:t xml:space="preserve">(A) PCA based on </w:t>
      </w:r>
      <w:r w:rsidR="00921462" w:rsidRPr="00625EA0">
        <w:rPr>
          <w:rFonts w:ascii="Arial" w:hAnsi="Arial" w:cs="Arial"/>
          <w:color w:val="000000" w:themeColor="text1"/>
          <w:kern w:val="0"/>
          <w:sz w:val="22"/>
        </w:rPr>
        <w:t>average methylation level of 2-Mb region of all the samples. (B) Neural network analysis to the top 10 features selected by RF in training dataset</w:t>
      </w:r>
      <w:r w:rsidR="00921462" w:rsidRPr="00625EA0">
        <w:rPr>
          <w:rFonts w:ascii="Arial" w:hAnsi="Arial" w:cs="Arial"/>
          <w:b/>
          <w:color w:val="000000" w:themeColor="text1"/>
          <w:sz w:val="22"/>
        </w:rPr>
        <w:t>.</w:t>
      </w:r>
    </w:p>
    <w:p w:rsidR="00017C3C" w:rsidRPr="00625EA0" w:rsidRDefault="00921462" w:rsidP="007C2C7C">
      <w:pPr>
        <w:snapToGrid w:val="0"/>
        <w:rPr>
          <w:rFonts w:ascii="Arial" w:hAnsi="Arial" w:cs="Arial"/>
          <w:b/>
          <w:color w:val="000000" w:themeColor="text1"/>
          <w:sz w:val="22"/>
        </w:rPr>
      </w:pPr>
      <w:r w:rsidRPr="00625EA0">
        <w:rPr>
          <w:rFonts w:ascii="Arial" w:hAnsi="Arial" w:cs="Arial"/>
          <w:noProof/>
          <w:sz w:val="22"/>
          <w:lang w:eastAsia="en-US"/>
        </w:rPr>
        <w:lastRenderedPageBreak/>
        <w:drawing>
          <wp:inline distT="0" distB="0" distL="0" distR="0" wp14:anchorId="095987E0" wp14:editId="12D273F8">
            <wp:extent cx="5905500" cy="4760093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0144" cy="477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C3C" w:rsidRPr="00625EA0" w:rsidRDefault="00017C3C" w:rsidP="007C2C7C">
      <w:pPr>
        <w:snapToGrid w:val="0"/>
        <w:rPr>
          <w:rFonts w:ascii="Arial" w:hAnsi="Arial" w:cs="Arial"/>
          <w:color w:val="FF0000"/>
          <w:sz w:val="22"/>
        </w:rPr>
      </w:pPr>
      <w:r w:rsidRPr="00625EA0">
        <w:rPr>
          <w:rFonts w:ascii="Arial" w:hAnsi="Arial" w:cs="Arial"/>
          <w:b/>
          <w:color w:val="000000" w:themeColor="text1"/>
          <w:sz w:val="22"/>
        </w:rPr>
        <w:t xml:space="preserve">Fig. </w:t>
      </w:r>
      <w:r w:rsidR="00B469C2" w:rsidRPr="00625EA0">
        <w:rPr>
          <w:rFonts w:ascii="Arial" w:hAnsi="Arial" w:cs="Arial"/>
          <w:b/>
          <w:color w:val="000000" w:themeColor="text1"/>
          <w:sz w:val="22"/>
        </w:rPr>
        <w:t>S</w:t>
      </w:r>
      <w:r w:rsidR="004551E2" w:rsidRPr="00625EA0">
        <w:rPr>
          <w:rFonts w:ascii="Arial" w:hAnsi="Arial" w:cs="Arial"/>
          <w:b/>
          <w:color w:val="000000" w:themeColor="text1"/>
          <w:sz w:val="22"/>
        </w:rPr>
        <w:t>3</w:t>
      </w:r>
      <w:r w:rsidRPr="00625EA0">
        <w:rPr>
          <w:rFonts w:ascii="Arial" w:hAnsi="Arial" w:cs="Arial"/>
          <w:b/>
          <w:color w:val="000000" w:themeColor="text1"/>
          <w:sz w:val="22"/>
        </w:rPr>
        <w:t xml:space="preserve">. </w:t>
      </w:r>
      <w:r w:rsidR="00C61B30" w:rsidRPr="00625EA0">
        <w:rPr>
          <w:rFonts w:ascii="Arial" w:hAnsi="Arial" w:cs="Arial"/>
          <w:b/>
          <w:color w:val="000000" w:themeColor="text1"/>
          <w:sz w:val="22"/>
        </w:rPr>
        <w:t xml:space="preserve">The depth of </w:t>
      </w:r>
      <w:r w:rsidR="00F64404" w:rsidRPr="00625EA0">
        <w:rPr>
          <w:rFonts w:ascii="Arial" w:hAnsi="Arial" w:cs="Arial"/>
          <w:b/>
          <w:color w:val="000000" w:themeColor="text1"/>
          <w:sz w:val="22"/>
        </w:rPr>
        <w:t>7</w:t>
      </w:r>
      <w:r w:rsidR="00C61B30" w:rsidRPr="00625EA0">
        <w:rPr>
          <w:rFonts w:ascii="Arial" w:hAnsi="Arial" w:cs="Arial"/>
          <w:b/>
          <w:color w:val="000000" w:themeColor="text1"/>
          <w:sz w:val="22"/>
        </w:rPr>
        <w:t xml:space="preserve"> DM</w:t>
      </w:r>
      <w:r w:rsidR="004232B1" w:rsidRPr="00625EA0">
        <w:rPr>
          <w:rFonts w:ascii="Arial" w:hAnsi="Arial" w:cs="Arial"/>
          <w:b/>
          <w:color w:val="000000" w:themeColor="text1"/>
          <w:sz w:val="22"/>
        </w:rPr>
        <w:t>C</w:t>
      </w:r>
      <w:r w:rsidR="00C61B30" w:rsidRPr="00625EA0">
        <w:rPr>
          <w:rFonts w:ascii="Arial" w:hAnsi="Arial" w:cs="Arial"/>
          <w:b/>
          <w:color w:val="000000" w:themeColor="text1"/>
          <w:sz w:val="22"/>
        </w:rPr>
        <w:t>s of SENP5 in all the samples.</w:t>
      </w:r>
    </w:p>
    <w:p w:rsidR="00017C3C" w:rsidRPr="00625EA0" w:rsidRDefault="00921462" w:rsidP="007C2C7C">
      <w:pPr>
        <w:snapToGrid w:val="0"/>
        <w:rPr>
          <w:rFonts w:ascii="Arial" w:hAnsi="Arial" w:cs="Arial"/>
          <w:color w:val="FF0000"/>
          <w:sz w:val="22"/>
        </w:rPr>
      </w:pPr>
      <w:r w:rsidRPr="00625EA0">
        <w:rPr>
          <w:rFonts w:ascii="Arial" w:hAnsi="Arial" w:cs="Arial"/>
          <w:noProof/>
          <w:sz w:val="22"/>
          <w:lang w:eastAsia="en-US"/>
        </w:rPr>
        <w:drawing>
          <wp:inline distT="0" distB="0" distL="0" distR="0" wp14:anchorId="0DB7F7EE" wp14:editId="7070F84E">
            <wp:extent cx="6315075" cy="82135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0051" cy="822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7C" w:rsidRDefault="007C2C7C" w:rsidP="007C2C7C">
      <w:pPr>
        <w:snapToGrid w:val="0"/>
        <w:rPr>
          <w:rFonts w:ascii="Arial" w:hAnsi="Arial" w:cs="Arial"/>
          <w:b/>
          <w:color w:val="000000" w:themeColor="text1"/>
          <w:sz w:val="22"/>
        </w:rPr>
      </w:pPr>
    </w:p>
    <w:p w:rsidR="000179FB" w:rsidRPr="00625EA0" w:rsidRDefault="00FF1FE2" w:rsidP="007C2C7C">
      <w:pPr>
        <w:snapToGrid w:val="0"/>
        <w:rPr>
          <w:rFonts w:ascii="Arial" w:hAnsi="Arial" w:cs="Arial"/>
          <w:color w:val="000000" w:themeColor="text1"/>
          <w:sz w:val="22"/>
        </w:rPr>
      </w:pPr>
      <w:r w:rsidRPr="00625EA0">
        <w:rPr>
          <w:rFonts w:ascii="Arial" w:hAnsi="Arial" w:cs="Arial"/>
          <w:b/>
          <w:color w:val="000000" w:themeColor="text1"/>
          <w:sz w:val="22"/>
        </w:rPr>
        <w:t>Fig. S</w:t>
      </w:r>
      <w:r w:rsidR="004551E2" w:rsidRPr="00625EA0">
        <w:rPr>
          <w:rFonts w:ascii="Arial" w:hAnsi="Arial" w:cs="Arial"/>
          <w:b/>
          <w:color w:val="000000" w:themeColor="text1"/>
          <w:sz w:val="22"/>
        </w:rPr>
        <w:t>4</w:t>
      </w:r>
      <w:r w:rsidRPr="00625EA0">
        <w:rPr>
          <w:rFonts w:ascii="Arial" w:hAnsi="Arial" w:cs="Arial"/>
          <w:b/>
          <w:color w:val="000000" w:themeColor="text1"/>
          <w:sz w:val="22"/>
        </w:rPr>
        <w:t>. The genome feature distribution of CpGs at the low-pass WGBS.</w:t>
      </w:r>
      <w:r w:rsidRPr="00625EA0">
        <w:rPr>
          <w:rFonts w:ascii="Arial" w:hAnsi="Arial" w:cs="Arial"/>
          <w:color w:val="000000" w:themeColor="text1"/>
          <w:sz w:val="22"/>
        </w:rPr>
        <w:t xml:space="preserve"> (A) The enrichment scores of CpGs in promoter, exon, intron intergenic, CpG island and repeat regions</w:t>
      </w:r>
      <w:r w:rsidR="004232B1" w:rsidRPr="00625EA0">
        <w:rPr>
          <w:rFonts w:ascii="Arial" w:hAnsi="Arial" w:cs="Arial"/>
          <w:color w:val="000000" w:themeColor="text1"/>
          <w:sz w:val="22"/>
        </w:rPr>
        <w:t xml:space="preserve"> of all the samples</w:t>
      </w:r>
      <w:r w:rsidRPr="00625EA0">
        <w:rPr>
          <w:rFonts w:ascii="Arial" w:hAnsi="Arial" w:cs="Arial"/>
          <w:color w:val="000000" w:themeColor="text1"/>
          <w:sz w:val="22"/>
        </w:rPr>
        <w:t>. (B)</w:t>
      </w:r>
      <w:r w:rsidR="004232B1" w:rsidRPr="00625EA0">
        <w:rPr>
          <w:rFonts w:ascii="Arial" w:hAnsi="Arial" w:cs="Arial"/>
          <w:color w:val="000000" w:themeColor="text1"/>
          <w:sz w:val="22"/>
        </w:rPr>
        <w:t xml:space="preserve"> The </w:t>
      </w:r>
      <w:r w:rsidR="00921462" w:rsidRPr="00625EA0">
        <w:rPr>
          <w:rFonts w:ascii="Arial" w:hAnsi="Arial" w:cs="Arial"/>
          <w:color w:val="000000" w:themeColor="text1"/>
          <w:sz w:val="22"/>
        </w:rPr>
        <w:t xml:space="preserve">average </w:t>
      </w:r>
      <w:r w:rsidR="004232B1" w:rsidRPr="00625EA0">
        <w:rPr>
          <w:rFonts w:ascii="Arial" w:hAnsi="Arial" w:cs="Arial"/>
          <w:color w:val="000000" w:themeColor="text1"/>
          <w:sz w:val="22"/>
        </w:rPr>
        <w:t>depth of CpGs located in repeat regions and CpGs located outside of repeat regions.</w:t>
      </w:r>
      <w:r w:rsidRPr="00625EA0">
        <w:rPr>
          <w:rFonts w:ascii="Arial" w:hAnsi="Arial" w:cs="Arial"/>
          <w:color w:val="000000" w:themeColor="text1"/>
          <w:sz w:val="22"/>
        </w:rPr>
        <w:t xml:space="preserve"> (C) </w:t>
      </w:r>
      <w:r w:rsidR="004232B1" w:rsidRPr="00625EA0">
        <w:rPr>
          <w:rFonts w:ascii="Arial" w:hAnsi="Arial" w:cs="Arial"/>
          <w:color w:val="000000" w:themeColor="text1"/>
          <w:sz w:val="22"/>
        </w:rPr>
        <w:t>The percentage of CpGs located in repeat regions in all the individuals.</w:t>
      </w:r>
    </w:p>
    <w:p w:rsidR="000179FB" w:rsidRPr="00625EA0" w:rsidRDefault="000179FB" w:rsidP="007C2C7C">
      <w:pPr>
        <w:snapToGrid w:val="0"/>
        <w:rPr>
          <w:rFonts w:ascii="Arial" w:hAnsi="Arial" w:cs="Arial"/>
          <w:color w:val="000000" w:themeColor="text1"/>
          <w:sz w:val="22"/>
        </w:rPr>
      </w:pPr>
    </w:p>
    <w:p w:rsidR="00F64404" w:rsidRPr="00625EA0" w:rsidRDefault="00F64404" w:rsidP="007C2C7C">
      <w:pPr>
        <w:snapToGrid w:val="0"/>
        <w:rPr>
          <w:rFonts w:ascii="Arial" w:hAnsi="Arial" w:cs="Arial"/>
          <w:color w:val="000000" w:themeColor="text1"/>
          <w:sz w:val="22"/>
        </w:rPr>
      </w:pPr>
    </w:p>
    <w:p w:rsidR="00F64404" w:rsidRPr="00625EA0" w:rsidRDefault="00F64404" w:rsidP="007C2C7C">
      <w:pPr>
        <w:snapToGrid w:val="0"/>
        <w:rPr>
          <w:rFonts w:ascii="Arial" w:hAnsi="Arial" w:cs="Arial"/>
          <w:b/>
          <w:color w:val="000000" w:themeColor="text1"/>
          <w:sz w:val="22"/>
        </w:rPr>
      </w:pPr>
      <w:r w:rsidRPr="00625EA0">
        <w:rPr>
          <w:rFonts w:ascii="Arial" w:hAnsi="Arial" w:cs="Arial"/>
          <w:noProof/>
          <w:sz w:val="22"/>
          <w:lang w:eastAsia="en-US"/>
        </w:rPr>
        <w:drawing>
          <wp:inline distT="0" distB="0" distL="0" distR="0" wp14:anchorId="3A7D3CD5" wp14:editId="64AB8D1F">
            <wp:extent cx="6438900" cy="57435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0476" cy="577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7C" w:rsidRDefault="007C2C7C" w:rsidP="007C2C7C">
      <w:pPr>
        <w:snapToGrid w:val="0"/>
        <w:rPr>
          <w:rFonts w:ascii="Arial" w:hAnsi="Arial" w:cs="Arial"/>
          <w:b/>
          <w:color w:val="000000" w:themeColor="text1"/>
          <w:sz w:val="22"/>
        </w:rPr>
      </w:pPr>
    </w:p>
    <w:p w:rsidR="00F64404" w:rsidRPr="00625EA0" w:rsidRDefault="00F64404" w:rsidP="007C2C7C">
      <w:pPr>
        <w:snapToGrid w:val="0"/>
        <w:rPr>
          <w:rFonts w:ascii="Arial" w:hAnsi="Arial" w:cs="Arial"/>
          <w:color w:val="000000" w:themeColor="text1"/>
          <w:sz w:val="22"/>
        </w:rPr>
      </w:pPr>
      <w:bookmarkStart w:id="0" w:name="_GoBack"/>
      <w:bookmarkEnd w:id="0"/>
      <w:r w:rsidRPr="00625EA0">
        <w:rPr>
          <w:rFonts w:ascii="Arial" w:hAnsi="Arial" w:cs="Arial"/>
          <w:b/>
          <w:color w:val="000000" w:themeColor="text1"/>
          <w:sz w:val="22"/>
        </w:rPr>
        <w:t>Fig. S</w:t>
      </w:r>
      <w:r w:rsidR="004551E2" w:rsidRPr="00625EA0">
        <w:rPr>
          <w:rFonts w:ascii="Arial" w:hAnsi="Arial" w:cs="Arial"/>
          <w:b/>
          <w:color w:val="000000" w:themeColor="text1"/>
          <w:sz w:val="22"/>
        </w:rPr>
        <w:t>5</w:t>
      </w:r>
      <w:r w:rsidRPr="00625EA0">
        <w:rPr>
          <w:rFonts w:ascii="Arial" w:hAnsi="Arial" w:cs="Arial"/>
          <w:b/>
          <w:color w:val="000000" w:themeColor="text1"/>
          <w:sz w:val="22"/>
        </w:rPr>
        <w:t xml:space="preserve">. The </w:t>
      </w:r>
      <w:r w:rsidR="00802E5C" w:rsidRPr="00625EA0">
        <w:rPr>
          <w:rFonts w:ascii="Arial" w:hAnsi="Arial" w:cs="Arial"/>
          <w:b/>
          <w:color w:val="000000" w:themeColor="text1"/>
          <w:sz w:val="22"/>
        </w:rPr>
        <w:t xml:space="preserve">correlation between </w:t>
      </w:r>
      <w:r w:rsidR="00244D09" w:rsidRPr="00625EA0">
        <w:rPr>
          <w:rFonts w:ascii="Arial" w:hAnsi="Arial" w:cs="Arial"/>
          <w:b/>
          <w:color w:val="000000" w:themeColor="text1"/>
          <w:sz w:val="22"/>
        </w:rPr>
        <w:t>AFP (log</w:t>
      </w:r>
      <w:r w:rsidR="00244D09" w:rsidRPr="00625EA0">
        <w:rPr>
          <w:rFonts w:ascii="Arial" w:hAnsi="Arial" w:cs="Arial"/>
          <w:b/>
          <w:color w:val="000000" w:themeColor="text1"/>
          <w:sz w:val="22"/>
          <w:vertAlign w:val="subscript"/>
        </w:rPr>
        <w:t>10</w:t>
      </w:r>
      <w:r w:rsidR="00244D09" w:rsidRPr="00625EA0">
        <w:rPr>
          <w:rFonts w:ascii="Arial" w:hAnsi="Arial" w:cs="Arial"/>
          <w:b/>
          <w:color w:val="000000" w:themeColor="text1"/>
          <w:sz w:val="22"/>
        </w:rPr>
        <w:t>) and average methylation level of the CpGs within the 100bp of the reported HBV integration sites (Methyl</w:t>
      </w:r>
      <w:r w:rsidR="00244D09" w:rsidRPr="00625EA0">
        <w:rPr>
          <w:rFonts w:ascii="Arial" w:hAnsi="Arial" w:cs="Arial"/>
          <w:b/>
          <w:color w:val="000000" w:themeColor="text1"/>
          <w:sz w:val="22"/>
          <w:vertAlign w:val="subscript"/>
        </w:rPr>
        <w:t>HBV</w:t>
      </w:r>
      <w:r w:rsidR="00244D09" w:rsidRPr="00625EA0">
        <w:rPr>
          <w:rFonts w:ascii="Arial" w:hAnsi="Arial" w:cs="Arial"/>
          <w:b/>
          <w:color w:val="000000" w:themeColor="text1"/>
          <w:sz w:val="22"/>
        </w:rPr>
        <w:t>)</w:t>
      </w:r>
      <w:r w:rsidRPr="00625EA0">
        <w:rPr>
          <w:rFonts w:ascii="Arial" w:hAnsi="Arial" w:cs="Arial"/>
          <w:b/>
          <w:color w:val="000000" w:themeColor="text1"/>
          <w:sz w:val="22"/>
        </w:rPr>
        <w:t>.</w:t>
      </w:r>
    </w:p>
    <w:p w:rsidR="00BE5A83" w:rsidRPr="00625EA0" w:rsidRDefault="00BE5A83" w:rsidP="007C2C7C">
      <w:pPr>
        <w:snapToGrid w:val="0"/>
        <w:rPr>
          <w:rFonts w:ascii="Arial" w:hAnsi="Arial" w:cs="Arial"/>
          <w:b/>
          <w:color w:val="000000" w:themeColor="text1"/>
          <w:sz w:val="22"/>
        </w:rPr>
      </w:pPr>
    </w:p>
    <w:sectPr w:rsidR="00BE5A83" w:rsidRPr="00625EA0" w:rsidSect="00625E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B5B" w:rsidRDefault="00AE6B5B" w:rsidP="00CF335B">
      <w:r>
        <w:separator/>
      </w:r>
    </w:p>
  </w:endnote>
  <w:endnote w:type="continuationSeparator" w:id="0">
    <w:p w:rsidR="00AE6B5B" w:rsidRDefault="00AE6B5B" w:rsidP="00CF3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B5B" w:rsidRDefault="00AE6B5B" w:rsidP="00CF335B">
      <w:r>
        <w:separator/>
      </w:r>
    </w:p>
  </w:footnote>
  <w:footnote w:type="continuationSeparator" w:id="0">
    <w:p w:rsidR="00AE6B5B" w:rsidRDefault="00AE6B5B" w:rsidP="00CF33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06"/>
    <w:rsid w:val="000129A8"/>
    <w:rsid w:val="000179FB"/>
    <w:rsid w:val="00017C3C"/>
    <w:rsid w:val="000248BC"/>
    <w:rsid w:val="00033600"/>
    <w:rsid w:val="000348D2"/>
    <w:rsid w:val="000350ED"/>
    <w:rsid w:val="00035A6A"/>
    <w:rsid w:val="0003715C"/>
    <w:rsid w:val="000577E1"/>
    <w:rsid w:val="0006757D"/>
    <w:rsid w:val="00082607"/>
    <w:rsid w:val="00082F2D"/>
    <w:rsid w:val="00086D71"/>
    <w:rsid w:val="000C0022"/>
    <w:rsid w:val="000E13E7"/>
    <w:rsid w:val="001041FD"/>
    <w:rsid w:val="00106278"/>
    <w:rsid w:val="00116A74"/>
    <w:rsid w:val="001524E1"/>
    <w:rsid w:val="0015582D"/>
    <w:rsid w:val="00164B2F"/>
    <w:rsid w:val="0018518C"/>
    <w:rsid w:val="001A132B"/>
    <w:rsid w:val="001A3CEF"/>
    <w:rsid w:val="001C3F05"/>
    <w:rsid w:val="001D5C68"/>
    <w:rsid w:val="0020210D"/>
    <w:rsid w:val="00206474"/>
    <w:rsid w:val="002132CD"/>
    <w:rsid w:val="00224E4A"/>
    <w:rsid w:val="00234585"/>
    <w:rsid w:val="00242ACF"/>
    <w:rsid w:val="00244D09"/>
    <w:rsid w:val="002537FB"/>
    <w:rsid w:val="0028086C"/>
    <w:rsid w:val="002A4416"/>
    <w:rsid w:val="002B64D6"/>
    <w:rsid w:val="002D3FF3"/>
    <w:rsid w:val="002E40BD"/>
    <w:rsid w:val="002F1F2C"/>
    <w:rsid w:val="002F734A"/>
    <w:rsid w:val="00304209"/>
    <w:rsid w:val="00307034"/>
    <w:rsid w:val="0032177E"/>
    <w:rsid w:val="00334816"/>
    <w:rsid w:val="003455FF"/>
    <w:rsid w:val="003504F2"/>
    <w:rsid w:val="00363214"/>
    <w:rsid w:val="0038319E"/>
    <w:rsid w:val="003844BD"/>
    <w:rsid w:val="003A5F92"/>
    <w:rsid w:val="003A656B"/>
    <w:rsid w:val="003C2768"/>
    <w:rsid w:val="003D39CA"/>
    <w:rsid w:val="003F5EF8"/>
    <w:rsid w:val="003F7825"/>
    <w:rsid w:val="00422A3D"/>
    <w:rsid w:val="004232B1"/>
    <w:rsid w:val="00440FD8"/>
    <w:rsid w:val="00446C76"/>
    <w:rsid w:val="004551E2"/>
    <w:rsid w:val="00455F18"/>
    <w:rsid w:val="0047355E"/>
    <w:rsid w:val="00490616"/>
    <w:rsid w:val="004B2DBB"/>
    <w:rsid w:val="004D21A4"/>
    <w:rsid w:val="004D4A08"/>
    <w:rsid w:val="004D65CA"/>
    <w:rsid w:val="004E6DFD"/>
    <w:rsid w:val="005031CA"/>
    <w:rsid w:val="005466AE"/>
    <w:rsid w:val="00547F21"/>
    <w:rsid w:val="00577A74"/>
    <w:rsid w:val="00580F27"/>
    <w:rsid w:val="00596874"/>
    <w:rsid w:val="00597ACA"/>
    <w:rsid w:val="005D5DA2"/>
    <w:rsid w:val="0060085A"/>
    <w:rsid w:val="00625EA0"/>
    <w:rsid w:val="00642C53"/>
    <w:rsid w:val="006459B0"/>
    <w:rsid w:val="006462A4"/>
    <w:rsid w:val="00683524"/>
    <w:rsid w:val="006B10AC"/>
    <w:rsid w:val="006E5A05"/>
    <w:rsid w:val="006F580F"/>
    <w:rsid w:val="00717E1A"/>
    <w:rsid w:val="00741666"/>
    <w:rsid w:val="00762338"/>
    <w:rsid w:val="007702A1"/>
    <w:rsid w:val="007818C2"/>
    <w:rsid w:val="00790BA0"/>
    <w:rsid w:val="007A296C"/>
    <w:rsid w:val="007A39D3"/>
    <w:rsid w:val="007A7B62"/>
    <w:rsid w:val="007C2C7C"/>
    <w:rsid w:val="007C4DFD"/>
    <w:rsid w:val="007D4D7E"/>
    <w:rsid w:val="007D6247"/>
    <w:rsid w:val="007E5A14"/>
    <w:rsid w:val="00802E5C"/>
    <w:rsid w:val="00810A84"/>
    <w:rsid w:val="0082364B"/>
    <w:rsid w:val="00880F88"/>
    <w:rsid w:val="008872E2"/>
    <w:rsid w:val="008B0BD9"/>
    <w:rsid w:val="008C3704"/>
    <w:rsid w:val="008D0755"/>
    <w:rsid w:val="00921462"/>
    <w:rsid w:val="00931DC9"/>
    <w:rsid w:val="0094633F"/>
    <w:rsid w:val="00954CB9"/>
    <w:rsid w:val="00957C5C"/>
    <w:rsid w:val="0096440A"/>
    <w:rsid w:val="009667C8"/>
    <w:rsid w:val="0097157A"/>
    <w:rsid w:val="009721B2"/>
    <w:rsid w:val="009B2470"/>
    <w:rsid w:val="009B7FBD"/>
    <w:rsid w:val="009C0A0B"/>
    <w:rsid w:val="009C57D3"/>
    <w:rsid w:val="009E4C95"/>
    <w:rsid w:val="009E5CDF"/>
    <w:rsid w:val="00A3380A"/>
    <w:rsid w:val="00A35A5B"/>
    <w:rsid w:val="00A363D1"/>
    <w:rsid w:val="00A4166A"/>
    <w:rsid w:val="00A43B4D"/>
    <w:rsid w:val="00A54DA4"/>
    <w:rsid w:val="00A571A8"/>
    <w:rsid w:val="00A77F77"/>
    <w:rsid w:val="00AB26F7"/>
    <w:rsid w:val="00AB3F5B"/>
    <w:rsid w:val="00AC39A5"/>
    <w:rsid w:val="00AE492A"/>
    <w:rsid w:val="00AE5192"/>
    <w:rsid w:val="00AE6B5B"/>
    <w:rsid w:val="00B00FB2"/>
    <w:rsid w:val="00B06506"/>
    <w:rsid w:val="00B104E6"/>
    <w:rsid w:val="00B469C2"/>
    <w:rsid w:val="00B50B4B"/>
    <w:rsid w:val="00B724AA"/>
    <w:rsid w:val="00BD308B"/>
    <w:rsid w:val="00BE5A83"/>
    <w:rsid w:val="00C07203"/>
    <w:rsid w:val="00C24265"/>
    <w:rsid w:val="00C304A9"/>
    <w:rsid w:val="00C61B30"/>
    <w:rsid w:val="00C73D3A"/>
    <w:rsid w:val="00C756C4"/>
    <w:rsid w:val="00C97BC0"/>
    <w:rsid w:val="00CA10CC"/>
    <w:rsid w:val="00CA12E5"/>
    <w:rsid w:val="00CC29B8"/>
    <w:rsid w:val="00CC5689"/>
    <w:rsid w:val="00CD21B5"/>
    <w:rsid w:val="00CF335B"/>
    <w:rsid w:val="00CF3DAF"/>
    <w:rsid w:val="00D003B2"/>
    <w:rsid w:val="00D02623"/>
    <w:rsid w:val="00D115E9"/>
    <w:rsid w:val="00D453EF"/>
    <w:rsid w:val="00DA4969"/>
    <w:rsid w:val="00E035F1"/>
    <w:rsid w:val="00E052CE"/>
    <w:rsid w:val="00E20927"/>
    <w:rsid w:val="00E278E7"/>
    <w:rsid w:val="00E61E67"/>
    <w:rsid w:val="00E63E13"/>
    <w:rsid w:val="00E86DF1"/>
    <w:rsid w:val="00E92C90"/>
    <w:rsid w:val="00E955DE"/>
    <w:rsid w:val="00EA2C5E"/>
    <w:rsid w:val="00EC12A3"/>
    <w:rsid w:val="00EE4A34"/>
    <w:rsid w:val="00F07083"/>
    <w:rsid w:val="00F25129"/>
    <w:rsid w:val="00F25174"/>
    <w:rsid w:val="00F274A2"/>
    <w:rsid w:val="00F50867"/>
    <w:rsid w:val="00F64404"/>
    <w:rsid w:val="00F728F1"/>
    <w:rsid w:val="00FA136A"/>
    <w:rsid w:val="00FC57C0"/>
    <w:rsid w:val="00FC688F"/>
    <w:rsid w:val="00FD4ADD"/>
    <w:rsid w:val="00FF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23F43A"/>
  <w15:chartTrackingRefBased/>
  <w15:docId w15:val="{1B8C0011-4055-43CC-B797-6183C37A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35B"/>
    <w:pPr>
      <w:widowControl w:val="0"/>
      <w:jc w:val="both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F335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F335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F335B"/>
    <w:rPr>
      <w:sz w:val="18"/>
      <w:szCs w:val="18"/>
    </w:rPr>
  </w:style>
  <w:style w:type="table" w:styleId="TableGrid">
    <w:name w:val="Table Grid"/>
    <w:basedOn w:val="TableNormal"/>
    <w:uiPriority w:val="39"/>
    <w:rsid w:val="00CF3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1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BE4EE895.dotm</Template>
  <TotalTime>5367</TotalTime>
  <Pages>5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zhanghk</dc:creator>
  <cp:keywords/>
  <dc:description/>
  <cp:lastModifiedBy>Guo, Shicheng</cp:lastModifiedBy>
  <cp:revision>66</cp:revision>
  <dcterms:created xsi:type="dcterms:W3CDTF">2017-12-22T08:56:00Z</dcterms:created>
  <dcterms:modified xsi:type="dcterms:W3CDTF">2019-06-27T19:40:00Z</dcterms:modified>
</cp:coreProperties>
</file>