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13" w:rsidRPr="0004391B" w:rsidRDefault="00134519" w:rsidP="00A16820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 xml:space="preserve">DNA Methylation </w:t>
      </w:r>
    </w:p>
    <w:p w:rsidR="007C0913" w:rsidRPr="0004391B" w:rsidRDefault="007C0913" w:rsidP="007C0913">
      <w:pPr>
        <w:rPr>
          <w:rFonts w:ascii="Arial" w:hAnsi="Arial" w:cs="Arial"/>
        </w:rPr>
      </w:pPr>
    </w:p>
    <w:p w:rsidR="007C0913" w:rsidRPr="0004391B" w:rsidRDefault="007C0913" w:rsidP="007C0913">
      <w:pPr>
        <w:rPr>
          <w:rFonts w:ascii="Arial" w:hAnsi="Arial" w:cs="Arial"/>
        </w:rPr>
      </w:pPr>
      <w:r w:rsidRPr="0004391B">
        <w:rPr>
          <w:rFonts w:ascii="Arial" w:hAnsi="Arial" w:cs="Arial"/>
        </w:rPr>
        <w:t>Shicheng Guo</w:t>
      </w:r>
    </w:p>
    <w:p w:rsidR="007C0913" w:rsidRPr="0004391B" w:rsidRDefault="007C0913" w:rsidP="007C0913">
      <w:pPr>
        <w:rPr>
          <w:rFonts w:ascii="Arial" w:hAnsi="Arial" w:cs="Arial"/>
        </w:rPr>
      </w:pPr>
    </w:p>
    <w:p w:rsidR="007C0913" w:rsidRPr="0004391B" w:rsidRDefault="00516744" w:rsidP="007C0913">
      <w:pPr>
        <w:rPr>
          <w:rFonts w:ascii="Arial" w:hAnsi="Arial" w:cs="Arial"/>
        </w:rPr>
      </w:pPr>
      <w:r w:rsidRPr="0004391B">
        <w:rPr>
          <w:rFonts w:ascii="Arial" w:hAnsi="Arial" w:cs="Arial"/>
        </w:rPr>
        <w:t>Abstract</w:t>
      </w:r>
    </w:p>
    <w:p w:rsidR="00516744" w:rsidRPr="0004391B" w:rsidRDefault="00516744" w:rsidP="007C0913">
      <w:pPr>
        <w:rPr>
          <w:rFonts w:ascii="Arial" w:hAnsi="Arial" w:cs="Arial"/>
        </w:rPr>
      </w:pPr>
    </w:p>
    <w:p w:rsidR="00516744" w:rsidRPr="0004391B" w:rsidRDefault="00516744" w:rsidP="007C0913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DNA methylation is the most important and stable epigenetic biomarkers. </w:t>
      </w:r>
      <w:r w:rsidR="00415F3E" w:rsidRPr="0004391B">
        <w:rPr>
          <w:rFonts w:ascii="Arial" w:hAnsi="Arial" w:cs="Arial"/>
        </w:rPr>
        <w:t xml:space="preserve">However, in order to develop different methylation biomarkers, we need to have deep understanding to the methylation profiles for different tissues and disease status. </w:t>
      </w:r>
      <w:r w:rsidR="004C744E" w:rsidRPr="0004391B">
        <w:rPr>
          <w:rFonts w:ascii="Arial" w:hAnsi="Arial" w:cs="Arial"/>
        </w:rPr>
        <w:t xml:space="preserve">In this book, I introduced all the knowledge of the DNA methylation biomarkers. </w:t>
      </w:r>
    </w:p>
    <w:p w:rsidR="00827AEE" w:rsidRPr="0004391B" w:rsidRDefault="00827AEE" w:rsidP="00827AEE">
      <w:pPr>
        <w:rPr>
          <w:rFonts w:ascii="Arial" w:hAnsi="Arial" w:cs="Arial"/>
        </w:rPr>
      </w:pPr>
    </w:p>
    <w:p w:rsidR="00827AEE" w:rsidRPr="0004391B" w:rsidRDefault="00827AEE" w:rsidP="00827AEE">
      <w:pPr>
        <w:rPr>
          <w:rFonts w:ascii="Arial" w:hAnsi="Arial" w:cs="Arial"/>
        </w:rPr>
      </w:pPr>
    </w:p>
    <w:p w:rsidR="006E384B" w:rsidRPr="0004391B" w:rsidRDefault="00827AEE" w:rsidP="007C0913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How to understand the genome-wide hypo-methylation in human cancers while all of 3 DNMT genes are over-expressed in majority cancer types? </w:t>
      </w:r>
      <w:r w:rsidR="00427EC1" w:rsidRPr="0004391B">
        <w:rPr>
          <w:rFonts w:ascii="Arial" w:hAnsi="Arial" w:cs="Arial"/>
        </w:rPr>
        <w:t xml:space="preserve">What’s the expression status who interact with DNMTs to silent human repeat regions? </w:t>
      </w:r>
      <w:proofErr w:type="gramStart"/>
      <w:r w:rsidR="006E384B" w:rsidRPr="0004391B">
        <w:rPr>
          <w:rFonts w:ascii="Arial" w:hAnsi="Arial" w:cs="Arial"/>
        </w:rPr>
        <w:t>large</w:t>
      </w:r>
      <w:proofErr w:type="gramEnd"/>
      <w:r w:rsidR="006E384B" w:rsidRPr="0004391B">
        <w:rPr>
          <w:rFonts w:ascii="Arial" w:hAnsi="Arial" w:cs="Arial"/>
        </w:rPr>
        <w:t xml:space="preserve"> number of methylation abnormal didn’t transfer to gene expression</w:t>
      </w:r>
      <w:r w:rsidR="00361DD5" w:rsidRPr="0004391B">
        <w:rPr>
          <w:rFonts w:ascii="Arial" w:hAnsi="Arial" w:cs="Arial"/>
        </w:rPr>
        <w:t xml:space="preserve"> (such as FSTL1)</w:t>
      </w:r>
      <w:r w:rsidR="006E384B" w:rsidRPr="0004391B">
        <w:rPr>
          <w:rFonts w:ascii="Arial" w:hAnsi="Arial" w:cs="Arial"/>
        </w:rPr>
        <w:t xml:space="preserve">. </w:t>
      </w:r>
    </w:p>
    <w:p w:rsidR="007C0913" w:rsidRPr="0004391B" w:rsidRDefault="007C0913" w:rsidP="007C0913">
      <w:pPr>
        <w:rPr>
          <w:rFonts w:ascii="Arial" w:hAnsi="Arial" w:cs="Arial"/>
        </w:rPr>
      </w:pPr>
    </w:p>
    <w:p w:rsidR="004A491D" w:rsidRPr="0004391B" w:rsidRDefault="000A43E7" w:rsidP="00A16820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>DNA M</w:t>
      </w:r>
      <w:r w:rsidR="004A491D" w:rsidRPr="0004391B">
        <w:rPr>
          <w:rFonts w:ascii="Arial" w:hAnsi="Arial" w:cs="Arial"/>
          <w:sz w:val="24"/>
          <w:szCs w:val="24"/>
        </w:rPr>
        <w:t xml:space="preserve">ethylation </w:t>
      </w:r>
      <w:r w:rsidR="00975A5F" w:rsidRPr="0004391B">
        <w:rPr>
          <w:rFonts w:ascii="Arial" w:hAnsi="Arial" w:cs="Arial"/>
          <w:sz w:val="24"/>
          <w:szCs w:val="24"/>
        </w:rPr>
        <w:t>R</w:t>
      </w:r>
      <w:r w:rsidR="004A491D" w:rsidRPr="0004391B">
        <w:rPr>
          <w:rFonts w:ascii="Arial" w:hAnsi="Arial" w:cs="Arial"/>
          <w:sz w:val="24"/>
          <w:szCs w:val="24"/>
        </w:rPr>
        <w:t xml:space="preserve">esearch for </w:t>
      </w:r>
      <w:r w:rsidR="00014978" w:rsidRPr="0004391B">
        <w:rPr>
          <w:rFonts w:ascii="Arial" w:hAnsi="Arial" w:cs="Arial"/>
          <w:sz w:val="24"/>
          <w:szCs w:val="24"/>
        </w:rPr>
        <w:t>T</w:t>
      </w:r>
      <w:r w:rsidR="004A491D" w:rsidRPr="0004391B">
        <w:rPr>
          <w:rFonts w:ascii="Arial" w:hAnsi="Arial" w:cs="Arial"/>
          <w:sz w:val="24"/>
          <w:szCs w:val="24"/>
        </w:rPr>
        <w:t xml:space="preserve">umor </w:t>
      </w:r>
      <w:r w:rsidR="00014978" w:rsidRPr="0004391B">
        <w:rPr>
          <w:rFonts w:ascii="Arial" w:hAnsi="Arial" w:cs="Arial"/>
          <w:sz w:val="24"/>
          <w:szCs w:val="24"/>
        </w:rPr>
        <w:t>S</w:t>
      </w:r>
      <w:r w:rsidR="004A491D" w:rsidRPr="0004391B">
        <w:rPr>
          <w:rFonts w:ascii="Arial" w:hAnsi="Arial" w:cs="Arial"/>
          <w:sz w:val="24"/>
          <w:szCs w:val="24"/>
        </w:rPr>
        <w:t xml:space="preserve">uppressor </w:t>
      </w:r>
      <w:r w:rsidR="00014978" w:rsidRPr="0004391B">
        <w:rPr>
          <w:rFonts w:ascii="Arial" w:hAnsi="Arial" w:cs="Arial"/>
          <w:sz w:val="24"/>
          <w:szCs w:val="24"/>
        </w:rPr>
        <w:t>G</w:t>
      </w:r>
      <w:r w:rsidR="004A491D" w:rsidRPr="0004391B">
        <w:rPr>
          <w:rFonts w:ascii="Arial" w:hAnsi="Arial" w:cs="Arial"/>
          <w:sz w:val="24"/>
          <w:szCs w:val="24"/>
        </w:rPr>
        <w:t>enes</w:t>
      </w:r>
    </w:p>
    <w:p w:rsidR="004A491D" w:rsidRPr="0004391B" w:rsidRDefault="004A491D" w:rsidP="004A491D">
      <w:pPr>
        <w:rPr>
          <w:rFonts w:ascii="Arial" w:hAnsi="Arial" w:cs="Arial"/>
        </w:rPr>
      </w:pPr>
    </w:p>
    <w:p w:rsidR="00AD674C" w:rsidRPr="0004391B" w:rsidRDefault="000522C8" w:rsidP="004A491D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It will be interesting to know how many TSGs are hyper-methylation and low-expressed in cancer samples. </w:t>
      </w:r>
      <w:r w:rsidR="0096745D" w:rsidRPr="0004391B">
        <w:rPr>
          <w:rFonts w:ascii="Arial" w:hAnsi="Arial" w:cs="Arial"/>
        </w:rPr>
        <w:t>I collected TSGs with t</w:t>
      </w:r>
      <w:r w:rsidR="00EE2D08" w:rsidRPr="0004391B">
        <w:rPr>
          <w:rFonts w:ascii="Arial" w:hAnsi="Arial" w:cs="Arial"/>
        </w:rPr>
        <w:t xml:space="preserve">wo methods including COSMIC. </w:t>
      </w:r>
    </w:p>
    <w:p w:rsidR="008A3E61" w:rsidRPr="0004391B" w:rsidRDefault="008A3E61" w:rsidP="004A491D">
      <w:pPr>
        <w:rPr>
          <w:rFonts w:ascii="Arial" w:hAnsi="Arial" w:cs="Arial"/>
        </w:rPr>
      </w:pPr>
    </w:p>
    <w:p w:rsidR="00AD674C" w:rsidRPr="0004391B" w:rsidRDefault="00AD674C" w:rsidP="004A491D">
      <w:pPr>
        <w:rPr>
          <w:rFonts w:ascii="Arial" w:hAnsi="Arial" w:cs="Arial"/>
        </w:rPr>
      </w:pPr>
    </w:p>
    <w:p w:rsidR="00AD674C" w:rsidRPr="0004391B" w:rsidRDefault="00AD674C" w:rsidP="004A491D">
      <w:pPr>
        <w:rPr>
          <w:rFonts w:ascii="Arial" w:hAnsi="Arial" w:cs="Arial"/>
        </w:rPr>
      </w:pPr>
    </w:p>
    <w:p w:rsidR="00AD674C" w:rsidRPr="0004391B" w:rsidRDefault="00A04AFE" w:rsidP="00A04AFE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>Blood</w:t>
      </w:r>
      <w:r w:rsidR="006259D9" w:rsidRPr="0004391B">
        <w:rPr>
          <w:rFonts w:ascii="Arial" w:hAnsi="Arial" w:cs="Arial"/>
          <w:sz w:val="24"/>
          <w:szCs w:val="24"/>
        </w:rPr>
        <w:t xml:space="preserve"> Un-methylation R</w:t>
      </w:r>
      <w:r w:rsidRPr="0004391B">
        <w:rPr>
          <w:rFonts w:ascii="Arial" w:hAnsi="Arial" w:cs="Arial"/>
          <w:sz w:val="24"/>
          <w:szCs w:val="24"/>
        </w:rPr>
        <w:t>egions</w:t>
      </w:r>
      <w:r w:rsidR="006259D9" w:rsidRPr="0004391B">
        <w:rPr>
          <w:rFonts w:ascii="Arial" w:hAnsi="Arial" w:cs="Arial"/>
          <w:sz w:val="24"/>
          <w:szCs w:val="24"/>
        </w:rPr>
        <w:t xml:space="preserve"> (BUR)</w:t>
      </w:r>
      <w:r w:rsidRPr="0004391B">
        <w:rPr>
          <w:rFonts w:ascii="Arial" w:hAnsi="Arial" w:cs="Arial"/>
          <w:sz w:val="24"/>
          <w:szCs w:val="24"/>
        </w:rPr>
        <w:t xml:space="preserve"> and Tissue </w:t>
      </w:r>
      <w:r w:rsidR="006259D9" w:rsidRPr="0004391B">
        <w:rPr>
          <w:rFonts w:ascii="Arial" w:hAnsi="Arial" w:cs="Arial"/>
          <w:sz w:val="24"/>
          <w:szCs w:val="24"/>
        </w:rPr>
        <w:t>M</w:t>
      </w:r>
      <w:r w:rsidRPr="0004391B">
        <w:rPr>
          <w:rFonts w:ascii="Arial" w:hAnsi="Arial" w:cs="Arial"/>
          <w:sz w:val="24"/>
          <w:szCs w:val="24"/>
        </w:rPr>
        <w:t xml:space="preserve">ethylation </w:t>
      </w:r>
      <w:r w:rsidR="006259D9" w:rsidRPr="0004391B">
        <w:rPr>
          <w:rFonts w:ascii="Arial" w:hAnsi="Arial" w:cs="Arial"/>
          <w:sz w:val="24"/>
          <w:szCs w:val="24"/>
        </w:rPr>
        <w:t>R</w:t>
      </w:r>
      <w:r w:rsidRPr="0004391B">
        <w:rPr>
          <w:rFonts w:ascii="Arial" w:hAnsi="Arial" w:cs="Arial"/>
          <w:sz w:val="24"/>
          <w:szCs w:val="24"/>
        </w:rPr>
        <w:t>egions</w:t>
      </w:r>
      <w:r w:rsidR="006259D9" w:rsidRPr="0004391B">
        <w:rPr>
          <w:rFonts w:ascii="Arial" w:hAnsi="Arial" w:cs="Arial"/>
          <w:sz w:val="24"/>
          <w:szCs w:val="24"/>
        </w:rPr>
        <w:t xml:space="preserve"> (TMR)</w:t>
      </w:r>
    </w:p>
    <w:p w:rsidR="00A04AFE" w:rsidRPr="0004391B" w:rsidRDefault="00A04AFE" w:rsidP="004A491D">
      <w:pPr>
        <w:rPr>
          <w:rFonts w:ascii="Arial" w:hAnsi="Arial" w:cs="Arial"/>
        </w:rPr>
      </w:pPr>
    </w:p>
    <w:p w:rsidR="006F4A6D" w:rsidRPr="0004391B" w:rsidRDefault="006F4A6D" w:rsidP="004A491D">
      <w:pPr>
        <w:rPr>
          <w:rFonts w:ascii="Arial" w:hAnsi="Arial" w:cs="Arial"/>
        </w:rPr>
      </w:pPr>
    </w:p>
    <w:p w:rsidR="007675C1" w:rsidRPr="0004391B" w:rsidRDefault="007675C1" w:rsidP="004A491D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In order to obtain some interesting tissue hyper-methylation genes/regions, I tried to collected all the tissue-specific hyper-methylated and blood high expression genes. I collected all the TCGA non-blood samples include tumor and normal tissues and identified all the hyper-methylated </w:t>
      </w:r>
      <w:proofErr w:type="spellStart"/>
      <w:r w:rsidRPr="0004391B">
        <w:rPr>
          <w:rFonts w:ascii="Arial" w:hAnsi="Arial" w:cs="Arial"/>
        </w:rPr>
        <w:t>CpGs</w:t>
      </w:r>
      <w:proofErr w:type="spellEnd"/>
      <w:r w:rsidRPr="0004391B">
        <w:rPr>
          <w:rFonts w:ascii="Arial" w:hAnsi="Arial" w:cs="Arial"/>
        </w:rPr>
        <w:t xml:space="preserve"> (Q25&gt;0.6) and blood high expressing genes (TPM&gt;1.0</w:t>
      </w:r>
      <w:r w:rsidR="00E21621" w:rsidRPr="0004391B">
        <w:rPr>
          <w:rFonts w:ascii="Arial" w:hAnsi="Arial" w:cs="Arial"/>
        </w:rPr>
        <w:t xml:space="preserve"> in whole-blood samples from </w:t>
      </w:r>
      <w:proofErr w:type="spellStart"/>
      <w:r w:rsidR="00E21621" w:rsidRPr="0004391B">
        <w:rPr>
          <w:rFonts w:ascii="Arial" w:hAnsi="Arial" w:cs="Arial"/>
        </w:rPr>
        <w:t>GTEx</w:t>
      </w:r>
      <w:proofErr w:type="spellEnd"/>
      <w:r w:rsidR="00E21621" w:rsidRPr="0004391B">
        <w:rPr>
          <w:rFonts w:ascii="Arial" w:hAnsi="Arial" w:cs="Arial"/>
        </w:rPr>
        <w:t xml:space="preserve"> project</w:t>
      </w:r>
      <w:r w:rsidRPr="0004391B">
        <w:rPr>
          <w:rFonts w:ascii="Arial" w:hAnsi="Arial" w:cs="Arial"/>
        </w:rPr>
        <w:t>)</w:t>
      </w:r>
      <w:r w:rsidR="00E21621" w:rsidRPr="0004391B">
        <w:rPr>
          <w:rFonts w:ascii="Arial" w:hAnsi="Arial" w:cs="Arial"/>
        </w:rPr>
        <w:t>. Finally, I identified 21 genes</w:t>
      </w:r>
      <w:r w:rsidR="00554A36" w:rsidRPr="0004391B">
        <w:rPr>
          <w:rFonts w:ascii="Arial" w:hAnsi="Arial" w:cs="Arial"/>
        </w:rPr>
        <w:t xml:space="preserve"> (Table</w:t>
      </w:r>
      <w:r w:rsidR="00697446" w:rsidRPr="0004391B">
        <w:rPr>
          <w:rFonts w:ascii="Arial" w:hAnsi="Arial" w:cs="Arial"/>
        </w:rPr>
        <w:t xml:space="preserve"> xx</w:t>
      </w:r>
      <w:r w:rsidR="00554A36" w:rsidRPr="0004391B">
        <w:rPr>
          <w:rFonts w:ascii="Arial" w:hAnsi="Arial" w:cs="Arial"/>
        </w:rPr>
        <w:t>)</w:t>
      </w:r>
      <w:r w:rsidR="00E21621" w:rsidRPr="0004391B">
        <w:rPr>
          <w:rFonts w:ascii="Arial" w:hAnsi="Arial" w:cs="Arial"/>
        </w:rPr>
        <w:t xml:space="preserve">. </w:t>
      </w:r>
    </w:p>
    <w:p w:rsidR="008A3E61" w:rsidRPr="0004391B" w:rsidRDefault="008A3E61" w:rsidP="004A491D">
      <w:pPr>
        <w:rPr>
          <w:rFonts w:ascii="Arial" w:hAnsi="Arial" w:cs="Arial"/>
        </w:rPr>
      </w:pPr>
    </w:p>
    <w:p w:rsidR="005C22D8" w:rsidRPr="0004391B" w:rsidRDefault="005C22D8" w:rsidP="004A491D">
      <w:pPr>
        <w:rPr>
          <w:rFonts w:ascii="Arial" w:hAnsi="Arial" w:cs="Arial"/>
        </w:rPr>
      </w:pPr>
    </w:p>
    <w:p w:rsidR="00E00718" w:rsidRPr="0004391B" w:rsidRDefault="005C22D8" w:rsidP="004A491D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GSC is hypo-methylated in normal blood cells (PBMC, B-cell, </w:t>
      </w:r>
      <w:proofErr w:type="spellStart"/>
      <w:r w:rsidRPr="0004391B">
        <w:rPr>
          <w:rFonts w:ascii="Arial" w:hAnsi="Arial" w:cs="Arial"/>
        </w:rPr>
        <w:t>Neu</w:t>
      </w:r>
      <w:proofErr w:type="spellEnd"/>
      <w:r w:rsidRPr="0004391B">
        <w:rPr>
          <w:rFonts w:ascii="Arial" w:hAnsi="Arial" w:cs="Arial"/>
        </w:rPr>
        <w:t xml:space="preserve">, </w:t>
      </w:r>
      <w:proofErr w:type="gramStart"/>
      <w:r w:rsidRPr="0004391B">
        <w:rPr>
          <w:rFonts w:ascii="Arial" w:hAnsi="Arial" w:cs="Arial"/>
        </w:rPr>
        <w:t>CD4</w:t>
      </w:r>
      <w:proofErr w:type="gramEnd"/>
      <w:r w:rsidRPr="0004391B">
        <w:rPr>
          <w:rFonts w:ascii="Arial" w:hAnsi="Arial" w:cs="Arial"/>
        </w:rPr>
        <w:t>+) while it is hyper</w:t>
      </w:r>
      <w:r w:rsidR="009715D2" w:rsidRPr="0004391B">
        <w:rPr>
          <w:rFonts w:ascii="Arial" w:hAnsi="Arial" w:cs="Arial"/>
        </w:rPr>
        <w:t>-</w:t>
      </w:r>
      <w:r w:rsidRPr="0004391B">
        <w:rPr>
          <w:rFonts w:ascii="Arial" w:hAnsi="Arial" w:cs="Arial"/>
        </w:rPr>
        <w:t>methylated in solid cancer and AML</w:t>
      </w:r>
      <w:r w:rsidR="009715D2" w:rsidRPr="0004391B">
        <w:rPr>
          <w:rFonts w:ascii="Arial" w:hAnsi="Arial" w:cs="Arial"/>
        </w:rPr>
        <w:t xml:space="preserve">. </w:t>
      </w:r>
      <w:r w:rsidR="008C00D6" w:rsidRPr="0004391B">
        <w:rPr>
          <w:rFonts w:ascii="Arial" w:hAnsi="Arial" w:cs="Arial"/>
        </w:rPr>
        <w:t>It looks GSC can be a pan-cancer methylation biomarker, however, it isn’t hyper-methylated in B-ALL cancers.</w:t>
      </w:r>
      <w:r w:rsidR="00CC3738" w:rsidRPr="0004391B">
        <w:rPr>
          <w:rFonts w:ascii="Arial" w:hAnsi="Arial" w:cs="Arial"/>
        </w:rPr>
        <w:t xml:space="preserve"> Most interesting genomic region for GSC is </w:t>
      </w:r>
      <w:r w:rsidR="0023369D" w:rsidRPr="0004391B">
        <w:rPr>
          <w:rFonts w:ascii="Arial" w:hAnsi="Arial" w:cs="Arial"/>
        </w:rPr>
        <w:t>chr14:95234459-95234</w:t>
      </w:r>
      <w:r w:rsidR="005C5EB7" w:rsidRPr="0004391B">
        <w:rPr>
          <w:rFonts w:ascii="Arial" w:hAnsi="Arial" w:cs="Arial"/>
        </w:rPr>
        <w:t xml:space="preserve">854 </w:t>
      </w:r>
      <w:r w:rsidR="00CC3738" w:rsidRPr="0004391B">
        <w:rPr>
          <w:rFonts w:ascii="Arial" w:hAnsi="Arial" w:cs="Arial"/>
        </w:rPr>
        <w:t xml:space="preserve">(hg19). </w:t>
      </w:r>
    </w:p>
    <w:p w:rsidR="00E00718" w:rsidRPr="0004391B" w:rsidRDefault="00E00718" w:rsidP="004A491D">
      <w:pPr>
        <w:rPr>
          <w:rFonts w:ascii="Arial" w:hAnsi="Arial" w:cs="Arial"/>
        </w:rPr>
      </w:pPr>
    </w:p>
    <w:p w:rsidR="00C447A8" w:rsidRPr="0004391B" w:rsidRDefault="00C447A8" w:rsidP="00C447A8">
      <w:pPr>
        <w:rPr>
          <w:rFonts w:ascii="Arial" w:hAnsi="Arial" w:cs="Arial"/>
        </w:rPr>
      </w:pPr>
    </w:p>
    <w:p w:rsidR="007B0F08" w:rsidRPr="0004391B" w:rsidRDefault="00DC2DE5" w:rsidP="00A16820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 xml:space="preserve">DNA methylation Biomarker Research in </w:t>
      </w:r>
      <w:r w:rsidR="007B0F08" w:rsidRPr="0004391B">
        <w:rPr>
          <w:rFonts w:ascii="Arial" w:hAnsi="Arial" w:cs="Arial"/>
          <w:sz w:val="24"/>
          <w:szCs w:val="24"/>
        </w:rPr>
        <w:t xml:space="preserve">ESCC </w:t>
      </w:r>
    </w:p>
    <w:p w:rsidR="007B0F08" w:rsidRPr="0004391B" w:rsidRDefault="007B0F08">
      <w:pPr>
        <w:rPr>
          <w:rFonts w:ascii="Arial" w:hAnsi="Arial" w:cs="Arial"/>
        </w:rPr>
      </w:pPr>
    </w:p>
    <w:p w:rsidR="00DC2DE5" w:rsidRPr="0004391B" w:rsidRDefault="00DC2DE5">
      <w:pPr>
        <w:rPr>
          <w:rFonts w:ascii="Arial" w:hAnsi="Arial" w:cs="Arial"/>
        </w:rPr>
      </w:pPr>
    </w:p>
    <w:p w:rsidR="00372C03" w:rsidRPr="0004391B" w:rsidRDefault="00372C03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Table 1. </w:t>
      </w:r>
      <w:r w:rsidR="00C24AD0" w:rsidRPr="0004391B">
        <w:rPr>
          <w:rFonts w:ascii="Arial" w:hAnsi="Arial" w:cs="Arial"/>
        </w:rPr>
        <w:t xml:space="preserve"> Significant differential expressing genes in ESCA and CHOL DNA methylation project</w:t>
      </w:r>
    </w:p>
    <w:p w:rsidR="00372C03" w:rsidRPr="0004391B" w:rsidRDefault="00372C03">
      <w:pPr>
        <w:rPr>
          <w:rFonts w:ascii="Arial" w:hAnsi="Arial" w:cs="Arial"/>
        </w:rPr>
      </w:pPr>
    </w:p>
    <w:tbl>
      <w:tblPr>
        <w:tblStyle w:val="GridTable1Light-Accent1"/>
        <w:tblW w:w="5882" w:type="dxa"/>
        <w:tblLook w:val="04A0" w:firstRow="1" w:lastRow="0" w:firstColumn="1" w:lastColumn="0" w:noHBand="0" w:noVBand="1"/>
      </w:tblPr>
      <w:tblGrid>
        <w:gridCol w:w="584"/>
        <w:gridCol w:w="1512"/>
        <w:gridCol w:w="2028"/>
        <w:gridCol w:w="1758"/>
      </w:tblGrid>
      <w:tr w:rsidR="00372C03" w:rsidRPr="0004391B" w:rsidTr="00AE0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P</w:t>
            </w:r>
          </w:p>
        </w:tc>
      </w:tr>
      <w:tr w:rsidR="005F3B3F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1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TMEM132C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-4.721181769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1.61E-27</w:t>
            </w:r>
          </w:p>
        </w:tc>
      </w:tr>
      <w:tr w:rsidR="005F3B3F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PEG3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-2.579983213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3.92E-20</w:t>
            </w:r>
          </w:p>
        </w:tc>
      </w:tr>
      <w:tr w:rsidR="005F3B3F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lastRenderedPageBreak/>
              <w:t>3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USP44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-1.72167968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9.39E-15</w:t>
            </w:r>
          </w:p>
        </w:tc>
      </w:tr>
      <w:tr w:rsidR="005F3B3F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4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ADHFE1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-1.666274027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9.91E-15</w:t>
            </w:r>
          </w:p>
        </w:tc>
      </w:tr>
      <w:tr w:rsidR="005F3B3F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5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GFRA1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-2.707357257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9.31E-12</w:t>
            </w:r>
          </w:p>
        </w:tc>
      </w:tr>
      <w:tr w:rsidR="00372C03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6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CDO1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-2.952271252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3.57E-11</w:t>
            </w:r>
          </w:p>
        </w:tc>
      </w:tr>
      <w:tr w:rsidR="00372C03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7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RNLS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-0.676699455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1.72E-10</w:t>
            </w:r>
          </w:p>
        </w:tc>
      </w:tr>
      <w:tr w:rsidR="00372C03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8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ITGA8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-1.769931775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3.46E-10</w:t>
            </w:r>
          </w:p>
        </w:tc>
      </w:tr>
      <w:tr w:rsidR="00372C03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9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RUNDC3B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-1.710059176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5.56E-10</w:t>
            </w:r>
          </w:p>
        </w:tc>
      </w:tr>
      <w:tr w:rsidR="00372C03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10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AKAP12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-1.57760242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1.61E-09</w:t>
            </w:r>
          </w:p>
        </w:tc>
      </w:tr>
      <w:tr w:rsidR="00372C03" w:rsidRPr="0004391B" w:rsidTr="00AE078C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  <w:hideMark/>
          </w:tcPr>
          <w:p w:rsidR="00372C03" w:rsidRPr="0004391B" w:rsidRDefault="00372C03">
            <w:pPr>
              <w:jc w:val="right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11</w:t>
            </w:r>
          </w:p>
        </w:tc>
        <w:tc>
          <w:tcPr>
            <w:tcW w:w="1512" w:type="dxa"/>
            <w:noWrap/>
            <w:hideMark/>
          </w:tcPr>
          <w:p w:rsidR="00372C03" w:rsidRPr="0004391B" w:rsidRDefault="003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SOX11</w:t>
            </w:r>
          </w:p>
        </w:tc>
        <w:tc>
          <w:tcPr>
            <w:tcW w:w="202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3.343099328</w:t>
            </w:r>
          </w:p>
        </w:tc>
        <w:tc>
          <w:tcPr>
            <w:tcW w:w="1758" w:type="dxa"/>
            <w:noWrap/>
            <w:hideMark/>
          </w:tcPr>
          <w:p w:rsidR="00372C03" w:rsidRPr="0004391B" w:rsidRDefault="00372C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3.20E-09</w:t>
            </w:r>
          </w:p>
        </w:tc>
      </w:tr>
    </w:tbl>
    <w:p w:rsidR="00893126" w:rsidRPr="0004391B" w:rsidRDefault="00893126">
      <w:pPr>
        <w:rPr>
          <w:rFonts w:ascii="Arial" w:hAnsi="Arial" w:cs="Arial"/>
        </w:rPr>
      </w:pPr>
    </w:p>
    <w:p w:rsidR="0066288D" w:rsidRPr="0004391B" w:rsidRDefault="00F94D2D">
      <w:pPr>
        <w:rPr>
          <w:rFonts w:ascii="Arial" w:hAnsi="Arial" w:cs="Arial"/>
        </w:rPr>
      </w:pPr>
      <w:r w:rsidRPr="0004391B">
        <w:rPr>
          <w:rFonts w:ascii="Arial" w:hAnsi="Arial" w:cs="Arial"/>
        </w:rPr>
        <w:t>The beta and P-values are derived from meta-analysis to Pan-cancer RNA-</w:t>
      </w:r>
      <w:proofErr w:type="spellStart"/>
      <w:r w:rsidRPr="0004391B">
        <w:rPr>
          <w:rFonts w:ascii="Arial" w:hAnsi="Arial" w:cs="Arial"/>
        </w:rPr>
        <w:t>Seq</w:t>
      </w:r>
      <w:proofErr w:type="spellEnd"/>
      <w:r w:rsidRPr="0004391B">
        <w:rPr>
          <w:rFonts w:ascii="Arial" w:hAnsi="Arial" w:cs="Arial"/>
        </w:rPr>
        <w:t xml:space="preserve"> data. </w:t>
      </w:r>
      <w:r w:rsidR="0066288D" w:rsidRPr="0004391B">
        <w:rPr>
          <w:rFonts w:ascii="Arial" w:hAnsi="Arial" w:cs="Arial"/>
        </w:rPr>
        <w:t xml:space="preserve">These genes will be also considered in </w:t>
      </w:r>
      <w:r w:rsidR="008517B1" w:rsidRPr="0004391B">
        <w:rPr>
          <w:rFonts w:ascii="Arial" w:hAnsi="Arial" w:cs="Arial"/>
        </w:rPr>
        <w:t xml:space="preserve">lung and breast cancer project so that finally I can prepare a Pan-cancer analysis with review or mini-review. </w:t>
      </w:r>
    </w:p>
    <w:p w:rsidR="00A16820" w:rsidRPr="0004391B" w:rsidRDefault="00A16820">
      <w:pPr>
        <w:rPr>
          <w:rFonts w:ascii="Arial" w:hAnsi="Arial" w:cs="Arial"/>
        </w:rPr>
      </w:pPr>
    </w:p>
    <w:p w:rsidR="00A16820" w:rsidRPr="0004391B" w:rsidRDefault="00A16820">
      <w:pPr>
        <w:rPr>
          <w:rFonts w:ascii="Arial" w:hAnsi="Arial" w:cs="Arial"/>
        </w:rPr>
      </w:pPr>
    </w:p>
    <w:p w:rsidR="00A16820" w:rsidRPr="0004391B" w:rsidRDefault="00A16820">
      <w:pPr>
        <w:rPr>
          <w:rFonts w:ascii="Arial" w:hAnsi="Arial" w:cs="Arial"/>
        </w:rPr>
      </w:pPr>
    </w:p>
    <w:p w:rsidR="00A16820" w:rsidRPr="0004391B" w:rsidRDefault="00A16820">
      <w:pPr>
        <w:rPr>
          <w:rFonts w:ascii="Arial" w:hAnsi="Arial" w:cs="Arial"/>
        </w:rPr>
      </w:pPr>
    </w:p>
    <w:p w:rsidR="00A16820" w:rsidRPr="0004391B" w:rsidRDefault="00A16820">
      <w:pPr>
        <w:rPr>
          <w:rFonts w:ascii="Arial" w:hAnsi="Arial" w:cs="Arial"/>
        </w:rPr>
      </w:pPr>
    </w:p>
    <w:p w:rsidR="00EC6A4A" w:rsidRPr="0004391B" w:rsidRDefault="00501AAF">
      <w:pPr>
        <w:rPr>
          <w:rFonts w:ascii="Arial" w:hAnsi="Arial" w:cs="Arial"/>
        </w:rPr>
      </w:pPr>
      <w:r w:rsidRPr="0004391B">
        <w:rPr>
          <w:rFonts w:ascii="Arial" w:hAnsi="Arial" w:cs="Arial"/>
        </w:rPr>
        <w:t>chr1:50889198-50889740</w:t>
      </w:r>
    </w:p>
    <w:p w:rsidR="00EC6A4A" w:rsidRPr="0004391B" w:rsidRDefault="00EC6A4A">
      <w:pPr>
        <w:rPr>
          <w:rFonts w:ascii="Arial" w:hAnsi="Arial" w:cs="Arial"/>
        </w:rPr>
      </w:pPr>
    </w:p>
    <w:p w:rsidR="00A16820" w:rsidRPr="0004391B" w:rsidRDefault="00A16820">
      <w:pPr>
        <w:rPr>
          <w:rFonts w:ascii="Arial" w:hAnsi="Arial" w:cs="Arial"/>
        </w:rPr>
      </w:pPr>
    </w:p>
    <w:p w:rsidR="00A16820" w:rsidRPr="0004391B" w:rsidRDefault="00FE396B" w:rsidP="00A16820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Pan-Cancer </w:t>
      </w:r>
      <w:r w:rsidR="00A66796">
        <w:rPr>
          <w:rFonts w:ascii="Arial" w:hAnsi="Arial" w:cs="Arial"/>
          <w:sz w:val="24"/>
          <w:szCs w:val="24"/>
        </w:rPr>
        <w:t xml:space="preserve">Methylation </w:t>
      </w:r>
      <w:r w:rsidR="003415A9">
        <w:rPr>
          <w:rFonts w:ascii="Arial" w:hAnsi="Arial" w:cs="Arial"/>
          <w:sz w:val="24"/>
          <w:szCs w:val="24"/>
        </w:rPr>
        <w:t>Biomarker (</w:t>
      </w:r>
      <w:r w:rsidR="00790E39">
        <w:rPr>
          <w:rFonts w:ascii="Arial" w:hAnsi="Arial" w:cs="Arial"/>
          <w:sz w:val="24"/>
          <w:szCs w:val="24"/>
        </w:rPr>
        <w:t>PCMB</w:t>
      </w:r>
      <w:r>
        <w:rPr>
          <w:rFonts w:ascii="Arial" w:hAnsi="Arial" w:cs="Arial"/>
          <w:sz w:val="24"/>
          <w:szCs w:val="24"/>
        </w:rPr>
        <w:t>)</w:t>
      </w:r>
    </w:p>
    <w:p w:rsidR="00A16820" w:rsidRPr="0004391B" w:rsidRDefault="00A16820" w:rsidP="00A16820">
      <w:pPr>
        <w:rPr>
          <w:rFonts w:ascii="Arial" w:hAnsi="Arial" w:cs="Arial"/>
        </w:rPr>
      </w:pPr>
    </w:p>
    <w:p w:rsidR="00216036" w:rsidRPr="0004391B" w:rsidRDefault="00216036" w:rsidP="00216036">
      <w:pPr>
        <w:rPr>
          <w:rFonts w:ascii="Arial" w:hAnsi="Arial" w:cs="Arial"/>
        </w:rPr>
      </w:pPr>
    </w:p>
    <w:p w:rsidR="00216036" w:rsidRPr="0004391B" w:rsidRDefault="00216036" w:rsidP="00216036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Table xx. Genes hyper-methylated in solid tissue and high expressed in </w:t>
      </w:r>
      <w:proofErr w:type="gramStart"/>
      <w:r w:rsidRPr="0004391B">
        <w:rPr>
          <w:rFonts w:ascii="Arial" w:hAnsi="Arial" w:cs="Arial"/>
        </w:rPr>
        <w:t>whole-blood</w:t>
      </w:r>
      <w:proofErr w:type="gramEnd"/>
    </w:p>
    <w:p w:rsidR="00216036" w:rsidRPr="0004391B" w:rsidRDefault="00216036" w:rsidP="00216036">
      <w:pPr>
        <w:rPr>
          <w:rFonts w:ascii="Arial" w:hAnsi="Arial" w:cs="Arial"/>
        </w:rPr>
      </w:pPr>
    </w:p>
    <w:tbl>
      <w:tblPr>
        <w:tblStyle w:val="GridTable1Light-Accent1"/>
        <w:tblW w:w="10165" w:type="dxa"/>
        <w:tblLook w:val="04A0" w:firstRow="1" w:lastRow="0" w:firstColumn="1" w:lastColumn="0" w:noHBand="0" w:noVBand="1"/>
      </w:tblPr>
      <w:tblGrid>
        <w:gridCol w:w="1457"/>
        <w:gridCol w:w="1230"/>
        <w:gridCol w:w="1271"/>
        <w:gridCol w:w="1455"/>
        <w:gridCol w:w="1260"/>
        <w:gridCol w:w="3492"/>
      </w:tblGrid>
      <w:tr w:rsidR="00216036" w:rsidRPr="0004391B" w:rsidTr="001E7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</w:rPr>
            </w:pP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MethQ0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MethQ25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04391B">
              <w:rPr>
                <w:rFonts w:ascii="Arial" w:hAnsi="Arial" w:cs="Arial"/>
                <w:color w:val="000000"/>
              </w:rPr>
              <w:t>TPM</w:t>
            </w:r>
            <w:r w:rsidRPr="0004391B">
              <w:rPr>
                <w:rFonts w:ascii="Arial" w:hAnsi="Arial" w:cs="Arial"/>
                <w:color w:val="000000"/>
              </w:rPr>
              <w:softHyphen/>
              <w:t>_Blood</w:t>
            </w:r>
            <w:proofErr w:type="spellEnd"/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B/T Ratio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DMRs in GRCH37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SPI1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0.093967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0.732906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908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52.78974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chr11:47,399,777-47,400,223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S1PR4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0.052019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0.643889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260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52.48239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chr19:3,178,735-3,179,184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NFAM1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0.012068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0.603244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109.2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47.21494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chr22:42,828,069-42,828,533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OSM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0.059035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0.602995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49.48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46.86289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chr22:30,662,629-30,662,898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C16orf54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0.03849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0.634561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63.03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38.90642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chr16:29,757,144-29,757,610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BIN2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0.038053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0.692999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235.2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37.46268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chr12:51,717,574-51,718,265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C19orf35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0.094108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0.627955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20.44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33.34713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chr19:2,282,044-2,282,537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ITGB2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0.053084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0.630435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572.7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30.19166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chr21:46,340,250-46,340,802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ICAM3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0.121451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0.642406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403.5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28.40834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chr19:10,449,867-10,450,324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PSTPIP1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0.090827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0.636502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103.6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27.15204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chr15:77,287,327-77,287,771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CD7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0.07259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0.672038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67.17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20.91915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chr17:80,273,516-80,273,968</w:t>
            </w:r>
          </w:p>
        </w:tc>
      </w:tr>
      <w:tr w:rsidR="00216036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216036" w:rsidRPr="0004391B" w:rsidRDefault="00216036" w:rsidP="001E75D8">
            <w:pPr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TBC1D10C</w:t>
            </w:r>
          </w:p>
        </w:tc>
        <w:tc>
          <w:tcPr>
            <w:tcW w:w="123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0.079223</w:t>
            </w:r>
          </w:p>
        </w:tc>
        <w:tc>
          <w:tcPr>
            <w:tcW w:w="1271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0.63471</w:t>
            </w:r>
          </w:p>
        </w:tc>
        <w:tc>
          <w:tcPr>
            <w:tcW w:w="1455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185</w:t>
            </w:r>
          </w:p>
        </w:tc>
        <w:tc>
          <w:tcPr>
            <w:tcW w:w="1260" w:type="dxa"/>
            <w:noWrap/>
            <w:hideMark/>
          </w:tcPr>
          <w:p w:rsidR="00216036" w:rsidRPr="0004391B" w:rsidRDefault="00216036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20.19358</w:t>
            </w:r>
          </w:p>
        </w:tc>
        <w:tc>
          <w:tcPr>
            <w:tcW w:w="3492" w:type="dxa"/>
          </w:tcPr>
          <w:p w:rsidR="00216036" w:rsidRPr="0004391B" w:rsidRDefault="00216036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chr11:67,171,580-67,172,036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GPSM3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0.080427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0.7026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831.1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32.28412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WAS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0.066367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0.66933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329.8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31.08416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PRF1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0.146939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0.621175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138.9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00B050"/>
              </w:rPr>
              <w:t>30.98476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CFP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0.022835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0.60196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244.4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FF0000"/>
              </w:rPr>
              <w:t>44.50527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FGR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0.069841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0.745352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597.3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37.78979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IL2RG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0.045546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0.682142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422.4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24.98398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CYTIP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0.088117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0.717905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192.4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22.86334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TAGAP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0.078277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0.780386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49.66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22.53926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57339E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  <w:hideMark/>
          </w:tcPr>
          <w:p w:rsidR="0057339E" w:rsidRPr="0004391B" w:rsidRDefault="0057339E" w:rsidP="0057339E">
            <w:pPr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PTPRC</w:t>
            </w:r>
          </w:p>
        </w:tc>
        <w:tc>
          <w:tcPr>
            <w:tcW w:w="123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0.043059</w:t>
            </w:r>
          </w:p>
        </w:tc>
        <w:tc>
          <w:tcPr>
            <w:tcW w:w="1271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0.66827</w:t>
            </w:r>
          </w:p>
        </w:tc>
        <w:tc>
          <w:tcPr>
            <w:tcW w:w="1455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229.8</w:t>
            </w:r>
          </w:p>
        </w:tc>
        <w:tc>
          <w:tcPr>
            <w:tcW w:w="1260" w:type="dxa"/>
            <w:noWrap/>
            <w:hideMark/>
          </w:tcPr>
          <w:p w:rsidR="0057339E" w:rsidRPr="0004391B" w:rsidRDefault="0057339E" w:rsidP="005733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833C0B" w:themeColor="accent2" w:themeShade="80"/>
              </w:rPr>
              <w:t>22.04525</w:t>
            </w:r>
          </w:p>
        </w:tc>
        <w:tc>
          <w:tcPr>
            <w:tcW w:w="3492" w:type="dxa"/>
          </w:tcPr>
          <w:p w:rsidR="0057339E" w:rsidRPr="0004391B" w:rsidRDefault="0057339E" w:rsidP="0057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  <w:r w:rsidRPr="0004391B">
              <w:rPr>
                <w:rFonts w:ascii="Arial" w:hAnsi="Arial" w:cs="Arial"/>
                <w:color w:val="7030A0"/>
              </w:rPr>
              <w:t>Not Good Marker</w:t>
            </w:r>
          </w:p>
        </w:tc>
      </w:tr>
      <w:tr w:rsidR="001C1A59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</w:tcPr>
          <w:p w:rsidR="001C1A59" w:rsidRPr="00D77B3E" w:rsidRDefault="001C1A59" w:rsidP="001E75D8">
            <w:pPr>
              <w:rPr>
                <w:rFonts w:ascii="Arial" w:hAnsi="Arial" w:cs="Arial"/>
                <w:bCs w:val="0"/>
                <w:color w:val="7030A0"/>
              </w:rPr>
            </w:pPr>
            <w:r w:rsidRPr="00D77B3E">
              <w:rPr>
                <w:rFonts w:ascii="Arial" w:hAnsi="Arial" w:cs="Arial"/>
                <w:bCs w:val="0"/>
                <w:color w:val="7030A0"/>
              </w:rPr>
              <w:t>SFRP1</w:t>
            </w:r>
          </w:p>
        </w:tc>
        <w:tc>
          <w:tcPr>
            <w:tcW w:w="123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71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455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6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3492" w:type="dxa"/>
          </w:tcPr>
          <w:p w:rsidR="001C1A59" w:rsidRPr="0004391B" w:rsidRDefault="001C1A59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</w:tr>
      <w:tr w:rsidR="001C1A59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</w:tcPr>
          <w:p w:rsidR="001C1A59" w:rsidRPr="00D77B3E" w:rsidRDefault="001C1A59" w:rsidP="001E75D8">
            <w:pPr>
              <w:rPr>
                <w:rFonts w:ascii="Arial" w:hAnsi="Arial" w:cs="Arial"/>
                <w:bCs w:val="0"/>
                <w:color w:val="7030A0"/>
              </w:rPr>
            </w:pPr>
            <w:r w:rsidRPr="00D77B3E">
              <w:rPr>
                <w:rFonts w:ascii="Arial" w:hAnsi="Arial" w:cs="Arial"/>
                <w:bCs w:val="0"/>
                <w:color w:val="7030A0"/>
              </w:rPr>
              <w:lastRenderedPageBreak/>
              <w:t>CDO1</w:t>
            </w:r>
          </w:p>
        </w:tc>
        <w:tc>
          <w:tcPr>
            <w:tcW w:w="123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71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455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6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3492" w:type="dxa"/>
          </w:tcPr>
          <w:p w:rsidR="001C1A59" w:rsidRPr="0004391B" w:rsidRDefault="001C1A59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</w:tr>
      <w:tr w:rsidR="001C1A59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</w:tcPr>
          <w:p w:rsidR="001C1A59" w:rsidRPr="00D77B3E" w:rsidRDefault="001C1A59" w:rsidP="001E75D8">
            <w:pPr>
              <w:rPr>
                <w:rFonts w:ascii="Arial" w:hAnsi="Arial" w:cs="Arial"/>
                <w:bCs w:val="0"/>
                <w:color w:val="7030A0"/>
              </w:rPr>
            </w:pPr>
            <w:r w:rsidRPr="00D77B3E">
              <w:rPr>
                <w:rFonts w:ascii="Arial" w:hAnsi="Arial" w:cs="Arial"/>
                <w:bCs w:val="0"/>
                <w:color w:val="7030A0"/>
              </w:rPr>
              <w:t>OPCML</w:t>
            </w:r>
          </w:p>
        </w:tc>
        <w:tc>
          <w:tcPr>
            <w:tcW w:w="123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71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455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6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3492" w:type="dxa"/>
          </w:tcPr>
          <w:p w:rsidR="001C1A59" w:rsidRPr="0004391B" w:rsidRDefault="001C1A59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</w:tr>
      <w:tr w:rsidR="001C1A59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</w:tcPr>
          <w:p w:rsidR="001C1A59" w:rsidRPr="00D77B3E" w:rsidRDefault="001C1A59" w:rsidP="001E75D8">
            <w:pPr>
              <w:rPr>
                <w:rFonts w:ascii="Arial" w:hAnsi="Arial" w:cs="Arial"/>
                <w:bCs w:val="0"/>
                <w:color w:val="7030A0"/>
              </w:rPr>
            </w:pPr>
            <w:r w:rsidRPr="00D77B3E">
              <w:rPr>
                <w:rFonts w:ascii="Arial" w:hAnsi="Arial" w:cs="Arial"/>
                <w:bCs w:val="0"/>
                <w:color w:val="7030A0"/>
              </w:rPr>
              <w:t>DCLK1</w:t>
            </w:r>
          </w:p>
        </w:tc>
        <w:tc>
          <w:tcPr>
            <w:tcW w:w="123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71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455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6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3492" w:type="dxa"/>
          </w:tcPr>
          <w:p w:rsidR="001C1A59" w:rsidRPr="0004391B" w:rsidRDefault="001C1A59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</w:tr>
      <w:tr w:rsidR="001C1A59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</w:tcPr>
          <w:p w:rsidR="001C1A59" w:rsidRPr="00D77B3E" w:rsidRDefault="001C1A59" w:rsidP="001E75D8">
            <w:pPr>
              <w:rPr>
                <w:rFonts w:ascii="Arial" w:hAnsi="Arial" w:cs="Arial"/>
                <w:bCs w:val="0"/>
                <w:color w:val="7030A0"/>
              </w:rPr>
            </w:pPr>
            <w:r w:rsidRPr="00D77B3E">
              <w:rPr>
                <w:rFonts w:ascii="Arial" w:hAnsi="Arial" w:cs="Arial"/>
                <w:bCs w:val="0"/>
                <w:color w:val="7030A0"/>
              </w:rPr>
              <w:t>NEUROG1</w:t>
            </w:r>
          </w:p>
        </w:tc>
        <w:tc>
          <w:tcPr>
            <w:tcW w:w="123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71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455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6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3492" w:type="dxa"/>
          </w:tcPr>
          <w:p w:rsidR="001C1A59" w:rsidRPr="0004391B" w:rsidRDefault="001C1A59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</w:tr>
      <w:tr w:rsidR="001C1A59" w:rsidRPr="0004391B" w:rsidTr="001E75D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  <w:noWrap/>
          </w:tcPr>
          <w:p w:rsidR="001C1A59" w:rsidRPr="00D77B3E" w:rsidRDefault="001C1A59" w:rsidP="001E75D8">
            <w:pPr>
              <w:rPr>
                <w:rFonts w:ascii="Arial" w:hAnsi="Arial" w:cs="Arial"/>
                <w:bCs w:val="0"/>
                <w:color w:val="7030A0"/>
              </w:rPr>
            </w:pPr>
            <w:r w:rsidRPr="00D77B3E">
              <w:rPr>
                <w:rFonts w:ascii="Arial" w:hAnsi="Arial" w:cs="Arial"/>
                <w:bCs w:val="0"/>
                <w:color w:val="7030A0"/>
              </w:rPr>
              <w:t>HOXA1</w:t>
            </w:r>
          </w:p>
        </w:tc>
        <w:tc>
          <w:tcPr>
            <w:tcW w:w="123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71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455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1260" w:type="dxa"/>
            <w:noWrap/>
          </w:tcPr>
          <w:p w:rsidR="001C1A59" w:rsidRPr="0004391B" w:rsidRDefault="001C1A59" w:rsidP="001E75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  <w:tc>
          <w:tcPr>
            <w:tcW w:w="3492" w:type="dxa"/>
          </w:tcPr>
          <w:p w:rsidR="001C1A59" w:rsidRPr="0004391B" w:rsidRDefault="001C1A59" w:rsidP="001E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833C0B" w:themeColor="accent2" w:themeShade="80"/>
              </w:rPr>
            </w:pPr>
          </w:p>
        </w:tc>
      </w:tr>
    </w:tbl>
    <w:p w:rsidR="005D6189" w:rsidRDefault="005D6189" w:rsidP="00216036">
      <w:pPr>
        <w:rPr>
          <w:rFonts w:ascii="Arial" w:hAnsi="Arial" w:cs="Arial"/>
        </w:rPr>
      </w:pPr>
    </w:p>
    <w:p w:rsidR="00216036" w:rsidRPr="0004391B" w:rsidRDefault="00216036" w:rsidP="00216036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These genes </w:t>
      </w:r>
      <w:proofErr w:type="gramStart"/>
      <w:r w:rsidRPr="0004391B">
        <w:rPr>
          <w:rFonts w:ascii="Arial" w:hAnsi="Arial" w:cs="Arial"/>
        </w:rPr>
        <w:t>will be also considered</w:t>
      </w:r>
      <w:proofErr w:type="gramEnd"/>
      <w:r w:rsidRPr="0004391B">
        <w:rPr>
          <w:rFonts w:ascii="Arial" w:hAnsi="Arial" w:cs="Arial"/>
        </w:rPr>
        <w:t xml:space="preserve"> in lung and breast cancer project so that </w:t>
      </w:r>
      <w:r w:rsidR="0009673B" w:rsidRPr="0004391B">
        <w:rPr>
          <w:rFonts w:ascii="Arial" w:hAnsi="Arial" w:cs="Arial"/>
        </w:rPr>
        <w:t>finally,</w:t>
      </w:r>
      <w:r w:rsidRPr="0004391B">
        <w:rPr>
          <w:rFonts w:ascii="Arial" w:hAnsi="Arial" w:cs="Arial"/>
        </w:rPr>
        <w:t xml:space="preserve"> I can prepare a paper to introduce solid-tissue or solid tumor biomarker and which are hypo-methylated in blood cells (UMR)</w:t>
      </w:r>
      <w:r w:rsidR="001E75D8">
        <w:rPr>
          <w:rFonts w:ascii="Arial" w:hAnsi="Arial" w:cs="Arial"/>
        </w:rPr>
        <w:t xml:space="preserve"> </w:t>
      </w:r>
    </w:p>
    <w:p w:rsidR="00216036" w:rsidRPr="0004391B" w:rsidRDefault="00216036" w:rsidP="00A16820">
      <w:pPr>
        <w:rPr>
          <w:rFonts w:ascii="Arial" w:hAnsi="Arial" w:cs="Arial"/>
        </w:rPr>
      </w:pPr>
      <w:bookmarkStart w:id="0" w:name="_GoBack"/>
      <w:bookmarkEnd w:id="0"/>
    </w:p>
    <w:p w:rsidR="00A16820" w:rsidRPr="0004391B" w:rsidRDefault="00A16820" w:rsidP="00A16820">
      <w:pPr>
        <w:rPr>
          <w:rFonts w:ascii="Arial" w:hAnsi="Arial" w:cs="Arial"/>
        </w:rPr>
      </w:pPr>
    </w:p>
    <w:p w:rsidR="00216036" w:rsidRPr="0004391B" w:rsidRDefault="00216036" w:rsidP="00216036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 xml:space="preserve">DNA methylation </w:t>
      </w:r>
      <w:r>
        <w:rPr>
          <w:rFonts w:ascii="Arial" w:hAnsi="Arial" w:cs="Arial"/>
          <w:sz w:val="24"/>
          <w:szCs w:val="24"/>
        </w:rPr>
        <w:t xml:space="preserve">and Human </w:t>
      </w:r>
      <w:proofErr w:type="spellStart"/>
      <w:r w:rsidRPr="00A33C3C">
        <w:rPr>
          <w:rFonts w:ascii="Arial" w:hAnsi="Arial" w:cs="Arial"/>
          <w:sz w:val="24"/>
          <w:szCs w:val="24"/>
        </w:rPr>
        <w:t>Cholangiocarcinoma</w:t>
      </w:r>
      <w:proofErr w:type="spellEnd"/>
    </w:p>
    <w:p w:rsidR="00A16820" w:rsidRPr="0004391B" w:rsidRDefault="00A16820" w:rsidP="00A16820">
      <w:pPr>
        <w:rPr>
          <w:rFonts w:ascii="Arial" w:hAnsi="Arial" w:cs="Arial"/>
        </w:rPr>
      </w:pPr>
    </w:p>
    <w:p w:rsidR="00A16820" w:rsidRPr="0004391B" w:rsidRDefault="00B66532" w:rsidP="00A16820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DNA M</w:t>
      </w:r>
      <w:r w:rsidR="00A16820" w:rsidRPr="0004391B">
        <w:rPr>
          <w:rFonts w:ascii="Arial" w:hAnsi="Arial" w:cs="Arial"/>
          <w:sz w:val="24"/>
          <w:szCs w:val="24"/>
        </w:rPr>
        <w:t xml:space="preserve">ethylation </w:t>
      </w:r>
      <w:r>
        <w:rPr>
          <w:rFonts w:ascii="Arial" w:hAnsi="Arial" w:cs="Arial"/>
          <w:sz w:val="24"/>
          <w:szCs w:val="24"/>
        </w:rPr>
        <w:t>and Human Breast Cancer</w:t>
      </w:r>
    </w:p>
    <w:p w:rsidR="00EC6A4A" w:rsidRPr="0004391B" w:rsidRDefault="00EC6A4A" w:rsidP="00EC6A4A">
      <w:pPr>
        <w:rPr>
          <w:rFonts w:ascii="Arial" w:hAnsi="Arial" w:cs="Arial"/>
        </w:rPr>
      </w:pPr>
    </w:p>
    <w:p w:rsidR="00CB3FAB" w:rsidRPr="0004391B" w:rsidRDefault="0031682C" w:rsidP="00EC6A4A">
      <w:pPr>
        <w:rPr>
          <w:rFonts w:ascii="Arial" w:hAnsi="Arial" w:cs="Arial"/>
        </w:rPr>
      </w:pPr>
      <w:r w:rsidRPr="0004391B">
        <w:rPr>
          <w:rFonts w:ascii="Arial" w:hAnsi="Arial" w:cs="Arial"/>
        </w:rPr>
        <w:t>In order to identify some novel methylation biomarker for breast cancer. We</w:t>
      </w:r>
      <w:r w:rsidR="00CA33BE" w:rsidRPr="0004391B">
        <w:rPr>
          <w:rFonts w:ascii="Arial" w:hAnsi="Arial" w:cs="Arial"/>
        </w:rPr>
        <w:t xml:space="preserve"> initialed this project in 2019 with a two stage biomarker validation study design. </w:t>
      </w:r>
      <w:r w:rsidR="00A664B0" w:rsidRPr="0004391B">
        <w:rPr>
          <w:rFonts w:ascii="Arial" w:hAnsi="Arial" w:cs="Arial"/>
        </w:rPr>
        <w:t xml:space="preserve">I </w:t>
      </w:r>
      <w:r w:rsidR="003F2268" w:rsidRPr="0004391B">
        <w:rPr>
          <w:rFonts w:ascii="Arial" w:hAnsi="Arial" w:cs="Arial"/>
        </w:rPr>
        <w:t>selected xx DMR regions in April 1, 2019</w:t>
      </w:r>
    </w:p>
    <w:p w:rsidR="00CB3FAB" w:rsidRPr="0004391B" w:rsidRDefault="00CB3FAB" w:rsidP="00EC6A4A">
      <w:pPr>
        <w:rPr>
          <w:rFonts w:ascii="Arial" w:hAnsi="Arial" w:cs="Arial"/>
        </w:rPr>
      </w:pPr>
    </w:p>
    <w:p w:rsidR="00CB3FAB" w:rsidRPr="0004391B" w:rsidRDefault="005458C1" w:rsidP="00CB3F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91B">
        <w:rPr>
          <w:rFonts w:ascii="Arial" w:hAnsi="Arial" w:cs="Arial"/>
        </w:rPr>
        <w:t>F</w:t>
      </w:r>
      <w:r w:rsidR="00CB3FAB" w:rsidRPr="0004391B">
        <w:rPr>
          <w:rFonts w:ascii="Arial" w:hAnsi="Arial" w:cs="Arial"/>
        </w:rPr>
        <w:t xml:space="preserve">requent mutated genes (50) -&gt; </w:t>
      </w:r>
      <w:r w:rsidR="00D80366" w:rsidRPr="0004391B">
        <w:rPr>
          <w:rFonts w:ascii="Arial" w:hAnsi="Arial" w:cs="Arial"/>
        </w:rPr>
        <w:t>L</w:t>
      </w:r>
      <w:r w:rsidR="00CB3FAB" w:rsidRPr="0004391B">
        <w:rPr>
          <w:rFonts w:ascii="Arial" w:hAnsi="Arial" w:cs="Arial"/>
        </w:rPr>
        <w:t>ow-expression in cancer(</w:t>
      </w:r>
      <w:r w:rsidRPr="0004391B">
        <w:rPr>
          <w:rFonts w:ascii="Arial" w:hAnsi="Arial" w:cs="Arial"/>
        </w:rPr>
        <w:t>20</w:t>
      </w:r>
      <w:r w:rsidR="00CB3FAB" w:rsidRPr="0004391B">
        <w:rPr>
          <w:rFonts w:ascii="Arial" w:hAnsi="Arial" w:cs="Arial"/>
        </w:rPr>
        <w:t>) -&gt; hyper-methylation</w:t>
      </w:r>
      <w:r w:rsidRPr="0004391B">
        <w:rPr>
          <w:rFonts w:ascii="Arial" w:hAnsi="Arial" w:cs="Arial"/>
        </w:rPr>
        <w:t xml:space="preserve"> </w:t>
      </w:r>
      <w:r w:rsidR="00CB3FAB" w:rsidRPr="0004391B">
        <w:rPr>
          <w:rFonts w:ascii="Arial" w:hAnsi="Arial" w:cs="Arial"/>
        </w:rPr>
        <w:t>(</w:t>
      </w:r>
      <w:r w:rsidRPr="0004391B">
        <w:rPr>
          <w:rFonts w:ascii="Arial" w:hAnsi="Arial" w:cs="Arial"/>
        </w:rPr>
        <w:t>10</w:t>
      </w:r>
      <w:r w:rsidR="00CB3FAB" w:rsidRPr="0004391B">
        <w:rPr>
          <w:rFonts w:ascii="Arial" w:hAnsi="Arial" w:cs="Arial"/>
        </w:rPr>
        <w:t>)</w:t>
      </w:r>
      <w:r w:rsidRPr="0004391B">
        <w:rPr>
          <w:rFonts w:ascii="Arial" w:hAnsi="Arial" w:cs="Arial"/>
        </w:rPr>
        <w:t xml:space="preserve"> -&gt; BUR (5)</w:t>
      </w:r>
    </w:p>
    <w:p w:rsidR="00CB3FAB" w:rsidRPr="0004391B" w:rsidRDefault="00184189" w:rsidP="00CB3F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Tumor-suppressor genes () -&gt; </w:t>
      </w:r>
      <w:r w:rsidR="00D80366" w:rsidRPr="0004391B">
        <w:rPr>
          <w:rFonts w:ascii="Arial" w:hAnsi="Arial" w:cs="Arial"/>
        </w:rPr>
        <w:t>L</w:t>
      </w:r>
      <w:r w:rsidRPr="0004391B">
        <w:rPr>
          <w:rFonts w:ascii="Arial" w:hAnsi="Arial" w:cs="Arial"/>
        </w:rPr>
        <w:t>ow-expression in cancer(20) -&gt; hyper-methylation (10) -&gt; BUR (5)</w:t>
      </w:r>
    </w:p>
    <w:p w:rsidR="00CB3FAB" w:rsidRPr="0004391B" w:rsidRDefault="00A56FC0" w:rsidP="001E75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GWAS in BRCA () -&gt; </w:t>
      </w:r>
      <w:r w:rsidR="00D80366" w:rsidRPr="0004391B">
        <w:rPr>
          <w:rFonts w:ascii="Arial" w:hAnsi="Arial" w:cs="Arial"/>
        </w:rPr>
        <w:t>L</w:t>
      </w:r>
      <w:r w:rsidRPr="0004391B">
        <w:rPr>
          <w:rFonts w:ascii="Arial" w:hAnsi="Arial" w:cs="Arial"/>
        </w:rPr>
        <w:t>ow-expression in cancer(20) -&gt; hyper-methylation (10) -&gt; BUR (5)</w:t>
      </w:r>
    </w:p>
    <w:p w:rsidR="002B68A1" w:rsidRPr="0004391B" w:rsidRDefault="002B68A1" w:rsidP="001E75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Previous published methylation biomarkers to increase totally citation and meta-analysis probability </w:t>
      </w:r>
    </w:p>
    <w:p w:rsidR="00E872F5" w:rsidRPr="0004391B" w:rsidRDefault="00E872F5" w:rsidP="00E872F5">
      <w:pPr>
        <w:rPr>
          <w:rFonts w:ascii="Arial" w:hAnsi="Arial" w:cs="Arial"/>
        </w:rPr>
      </w:pPr>
    </w:p>
    <w:p w:rsidR="00E872F5" w:rsidRPr="0004391B" w:rsidRDefault="00E872F5" w:rsidP="00E872F5">
      <w:pPr>
        <w:rPr>
          <w:rFonts w:ascii="Arial" w:hAnsi="Arial" w:cs="Arial"/>
        </w:rPr>
      </w:pPr>
    </w:p>
    <w:p w:rsidR="00E872F5" w:rsidRPr="0004391B" w:rsidRDefault="00E872F5" w:rsidP="00E872F5">
      <w:pPr>
        <w:rPr>
          <w:rFonts w:ascii="Arial" w:hAnsi="Arial" w:cs="Arial"/>
        </w:rPr>
      </w:pPr>
    </w:p>
    <w:p w:rsidR="00E872F5" w:rsidRPr="0004391B" w:rsidRDefault="00E872F5" w:rsidP="00E872F5">
      <w:pPr>
        <w:rPr>
          <w:rFonts w:ascii="Arial" w:hAnsi="Arial" w:cs="Arial"/>
        </w:rPr>
      </w:pPr>
    </w:p>
    <w:p w:rsidR="00E872F5" w:rsidRPr="0004391B" w:rsidRDefault="00E872F5" w:rsidP="00E872F5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>DNA Methylation and Stomach Cancer</w:t>
      </w:r>
    </w:p>
    <w:p w:rsidR="00E872F5" w:rsidRPr="0004391B" w:rsidRDefault="00E872F5" w:rsidP="00E872F5">
      <w:pPr>
        <w:rPr>
          <w:rFonts w:ascii="Arial" w:hAnsi="Arial" w:cs="Arial"/>
        </w:rPr>
      </w:pPr>
    </w:p>
    <w:p w:rsidR="000D7E68" w:rsidRPr="0004391B" w:rsidRDefault="0004391B" w:rsidP="000D7E68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Compared with other human cancers, </w:t>
      </w:r>
      <w:r w:rsidRPr="0004391B">
        <w:rPr>
          <w:rFonts w:ascii="Arial" w:hAnsi="Arial" w:cs="Arial"/>
          <w:color w:val="222222"/>
          <w:spacing w:val="3"/>
          <w:shd w:val="clear" w:color="auto" w:fill="FFFFFF"/>
        </w:rPr>
        <w:t xml:space="preserve">patients with </w:t>
      </w:r>
      <w:r w:rsidRPr="0004391B">
        <w:rPr>
          <w:rFonts w:ascii="Arial" w:hAnsi="Arial" w:cs="Arial"/>
        </w:rPr>
        <w:t>gastrointestinal usually have lower proportion who are benefit to immunotherapy, except microsatellite instable (MSI) patients. Approximately 15% of gastric and stomach adenocarcinoma belong to MSI subtype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&lt;EndNote&gt;&lt;Cite&gt;&lt;Author&gt;Bonneville&lt;/Author&gt;&lt;Year&gt;2017&lt;/Year&gt;&lt;RecNum&gt;4127&lt;/RecNum&gt;&lt;DisplayText&gt;[1]&lt;/DisplayText&gt;&lt;record&gt;&lt;rec-number&gt;4127&lt;/rec-number&gt;&lt;foreign-keys&gt;&lt;key app="EN" db-id="trpe9xp9a5trtnez0x2pvee92e99dw0wpv5d" timestamp="1560038703"&gt;4127&lt;/key&gt;&lt;/foreign-keys&gt;&lt;ref-type name="Journal Article"&gt;17&lt;/ref-type&gt;&lt;contributors&gt;&lt;authors&gt;&lt;author&gt;Bonneville, R.&lt;/author&gt;&lt;author&gt;Krook, M. A.&lt;/author&gt;&lt;author&gt;Kautto, E. A.&lt;/author&gt;&lt;author&gt;Miya, J.&lt;/author&gt;&lt;author&gt;Wing, M. R.&lt;/author&gt;&lt;author&gt;Chen, H. Z.&lt;/author&gt;&lt;author&gt;Reeser, J. W.&lt;/author&gt;&lt;author&gt;Yu, L.&lt;/author&gt;&lt;author&gt;Roychowdhury, S.&lt;/author&gt;&lt;/authors&gt;&lt;/contributors&gt;&lt;auth-address&gt;The Ohio State University, Columbus, OH.&lt;/auth-address&gt;&lt;titles&gt;&lt;title&gt;Landscape of Microsatellite Instability Across 39 Cancer Types&lt;/title&gt;&lt;secondary-title&gt;JCO Precis Oncol&lt;/secondary-title&gt;&lt;/titles&gt;&lt;periodical&gt;&lt;full-title&gt;JCO Precis Oncol&lt;/full-title&gt;&lt;abbr-1&gt;JCO precision oncology&lt;/abbr-1&gt;&lt;/periodical&gt;&lt;volume&gt;2017&lt;/volume&gt;&lt;edition&gt;2017/01/01&lt;/edition&gt;&lt;dates&gt;&lt;year&gt;2017&lt;/year&gt;&lt;/dates&gt;&lt;isbn&gt;2473-4284 (Print)&amp;#xD;2473-4284 (Linking)&lt;/isbn&gt;&lt;accession-num&gt;29850653&lt;/accession-num&gt;&lt;urls&gt;&lt;related-urls&gt;&lt;url&gt;https://www.ncbi.nlm.nih.gov/pubmed/29850653&lt;/url&gt;&lt;/related-urls&gt;&lt;/urls&gt;&lt;custom2&gt;PMC5972025&lt;/custom2&gt;&lt;electronic-resource-num&gt;10.1200/PO.17.00073&lt;/electronic-resource-num&gt;&lt;/record&gt;&lt;/Cite&gt;&lt;/EndNote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[1]</w:t>
      </w:r>
      <w:r>
        <w:rPr>
          <w:rFonts w:ascii="Arial" w:hAnsi="Arial" w:cs="Arial"/>
        </w:rPr>
        <w:fldChar w:fldCharType="end"/>
      </w:r>
      <w:r w:rsidRPr="0004391B">
        <w:rPr>
          <w:rFonts w:ascii="Arial" w:hAnsi="Arial" w:cs="Arial"/>
        </w:rPr>
        <w:t>.</w:t>
      </w:r>
    </w:p>
    <w:p w:rsidR="000D7E68" w:rsidRPr="0004391B" w:rsidRDefault="000D7E68" w:rsidP="000D7E68">
      <w:pPr>
        <w:rPr>
          <w:rFonts w:ascii="Arial" w:hAnsi="Arial" w:cs="Arial"/>
        </w:rPr>
      </w:pPr>
    </w:p>
    <w:p w:rsidR="000D7E68" w:rsidRPr="0004391B" w:rsidRDefault="000D7E68" w:rsidP="000D7E68">
      <w:pPr>
        <w:rPr>
          <w:rFonts w:ascii="Arial" w:hAnsi="Arial" w:cs="Arial"/>
        </w:rPr>
      </w:pPr>
    </w:p>
    <w:p w:rsidR="000D7E68" w:rsidRPr="0004391B" w:rsidRDefault="000D7E68" w:rsidP="000D7E68">
      <w:pPr>
        <w:rPr>
          <w:rFonts w:ascii="Arial" w:hAnsi="Arial" w:cs="Arial"/>
        </w:rPr>
      </w:pPr>
    </w:p>
    <w:p w:rsidR="000D7E68" w:rsidRPr="0004391B" w:rsidRDefault="000D7E68" w:rsidP="000D7E68">
      <w:pPr>
        <w:rPr>
          <w:rFonts w:ascii="Arial" w:hAnsi="Arial" w:cs="Arial"/>
        </w:rPr>
      </w:pPr>
    </w:p>
    <w:p w:rsidR="000D7E68" w:rsidRPr="0004391B" w:rsidRDefault="000D7E68" w:rsidP="000D7E68">
      <w:pPr>
        <w:rPr>
          <w:rFonts w:ascii="Arial" w:hAnsi="Arial" w:cs="Arial"/>
        </w:rPr>
      </w:pPr>
    </w:p>
    <w:p w:rsidR="00A16820" w:rsidRPr="0004391B" w:rsidRDefault="00A16820" w:rsidP="00A16820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 xml:space="preserve">DNA methylation Biomarker in </w:t>
      </w:r>
      <w:r w:rsidR="002532D5" w:rsidRPr="0004391B">
        <w:rPr>
          <w:rFonts w:ascii="Arial" w:hAnsi="Arial" w:cs="Arial"/>
          <w:sz w:val="24"/>
          <w:szCs w:val="24"/>
        </w:rPr>
        <w:t>Lung Adenocarcinoma</w:t>
      </w:r>
    </w:p>
    <w:p w:rsidR="00A16820" w:rsidRPr="0004391B" w:rsidRDefault="00A16820" w:rsidP="00F26319">
      <w:pPr>
        <w:rPr>
          <w:rFonts w:ascii="Arial" w:hAnsi="Arial" w:cs="Arial"/>
        </w:rPr>
      </w:pPr>
    </w:p>
    <w:p w:rsidR="007D5BA4" w:rsidRPr="0004391B" w:rsidRDefault="00A16820" w:rsidP="007D5BA4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 </w:t>
      </w:r>
      <w:r w:rsidR="007D5BA4" w:rsidRPr="0004391B">
        <w:rPr>
          <w:rFonts w:ascii="Arial" w:hAnsi="Arial" w:cs="Arial"/>
        </w:rPr>
        <w:t>In order to identify some novel methylation biomarker for breast cancer. We initialed this project in 2019 with a two stage biomarker validation study design. I selected xx DMR regions in April 1, 2019</w:t>
      </w:r>
    </w:p>
    <w:p w:rsidR="00A16820" w:rsidRPr="0004391B" w:rsidRDefault="00A16820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2370D3" w:rsidRPr="0004391B" w:rsidRDefault="002370D3" w:rsidP="002370D3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 xml:space="preserve">DNA methylation Biomarker in </w:t>
      </w:r>
      <w:r w:rsidR="00EA47B5" w:rsidRPr="0004391B">
        <w:rPr>
          <w:rFonts w:ascii="Arial" w:hAnsi="Arial" w:cs="Arial"/>
          <w:sz w:val="24"/>
          <w:szCs w:val="24"/>
        </w:rPr>
        <w:t>Lung Squamous Cell Carcinoma</w:t>
      </w:r>
    </w:p>
    <w:p w:rsidR="00CD0653" w:rsidRPr="0004391B" w:rsidRDefault="00CD0653" w:rsidP="00F26319">
      <w:pPr>
        <w:rPr>
          <w:rFonts w:ascii="Arial" w:hAnsi="Arial" w:cs="Arial"/>
        </w:rPr>
      </w:pPr>
    </w:p>
    <w:p w:rsidR="00CA6507" w:rsidRPr="0004391B" w:rsidRDefault="00CA6507" w:rsidP="00CA6507">
      <w:pPr>
        <w:rPr>
          <w:rFonts w:ascii="Arial" w:hAnsi="Arial" w:cs="Arial"/>
        </w:rPr>
      </w:pPr>
      <w:r w:rsidRPr="0004391B">
        <w:rPr>
          <w:rFonts w:ascii="Arial" w:hAnsi="Arial" w:cs="Arial"/>
        </w:rPr>
        <w:t>In order to identify some novel methylation biomarker for breast cancer. We initialed this project in 2019 with a two stage biomarker validation study design. I selected xx DMR regions in April 1, 2019</w:t>
      </w: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A6507" w:rsidRPr="0004391B" w:rsidRDefault="00CA6507" w:rsidP="00CA6507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>DNA methylation Biomarker in Lung Squamous Cell Carcinoma</w:t>
      </w:r>
    </w:p>
    <w:p w:rsidR="00CA6507" w:rsidRPr="0004391B" w:rsidRDefault="00CA6507" w:rsidP="00F26319">
      <w:pPr>
        <w:rPr>
          <w:rFonts w:ascii="Arial" w:hAnsi="Arial" w:cs="Arial"/>
        </w:rPr>
      </w:pPr>
    </w:p>
    <w:p w:rsidR="00CA6507" w:rsidRPr="0004391B" w:rsidRDefault="00CA6507" w:rsidP="00CA6507">
      <w:pPr>
        <w:rPr>
          <w:rFonts w:ascii="Arial" w:hAnsi="Arial" w:cs="Arial"/>
        </w:rPr>
      </w:pPr>
      <w:r w:rsidRPr="0004391B">
        <w:rPr>
          <w:rFonts w:ascii="Arial" w:hAnsi="Arial" w:cs="Arial"/>
        </w:rPr>
        <w:t>In order to identify some novel methylation biomarker for breast cancer. We initialed this project in 2019 with a two stage biomarker validation study design. I selected xx DMR regions in April 1, 2019</w:t>
      </w:r>
    </w:p>
    <w:p w:rsidR="00CD0653" w:rsidRPr="0004391B" w:rsidRDefault="00CD0653" w:rsidP="00F26319">
      <w:pPr>
        <w:rPr>
          <w:rFonts w:ascii="Arial" w:hAnsi="Arial" w:cs="Arial"/>
        </w:rPr>
      </w:pPr>
    </w:p>
    <w:p w:rsidR="00CA6507" w:rsidRPr="0004391B" w:rsidRDefault="00CA6507" w:rsidP="00CA6507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t>DNA methylation Biomarker in Hepatocellular carcinoma (HCC)</w:t>
      </w:r>
    </w:p>
    <w:p w:rsidR="00CD0653" w:rsidRPr="0004391B" w:rsidRDefault="00CA6507" w:rsidP="00F26319">
      <w:pPr>
        <w:rPr>
          <w:rFonts w:ascii="Arial" w:hAnsi="Arial" w:cs="Arial"/>
        </w:rPr>
      </w:pPr>
      <w:r w:rsidRPr="0004391B">
        <w:rPr>
          <w:rFonts w:ascii="Arial" w:hAnsi="Arial" w:cs="Arial"/>
        </w:rPr>
        <w:t>In order to identify some novel methylation biomarker for breast cancer. We initialed this project in 2019 with a two stage biomarker validation study design. I selected xx DMR regions in April 1, 2019</w:t>
      </w: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CD0653" w:rsidRPr="0004391B" w:rsidRDefault="00CD0653" w:rsidP="00F26319">
      <w:pPr>
        <w:rPr>
          <w:rFonts w:ascii="Arial" w:hAnsi="Arial" w:cs="Arial"/>
        </w:rPr>
      </w:pPr>
    </w:p>
    <w:p w:rsidR="00A16820" w:rsidRPr="0004391B" w:rsidRDefault="00A16820" w:rsidP="00F26319">
      <w:pPr>
        <w:rPr>
          <w:rFonts w:ascii="Arial" w:hAnsi="Arial" w:cs="Arial"/>
        </w:rPr>
      </w:pPr>
    </w:p>
    <w:p w:rsidR="000857EE" w:rsidRPr="0004391B" w:rsidRDefault="000857EE" w:rsidP="00F26319">
      <w:pPr>
        <w:pStyle w:val="Heading1"/>
        <w:rPr>
          <w:rFonts w:ascii="Arial" w:hAnsi="Arial" w:cs="Arial"/>
          <w:sz w:val="24"/>
          <w:szCs w:val="24"/>
        </w:rPr>
      </w:pPr>
      <w:r w:rsidRPr="0004391B">
        <w:rPr>
          <w:rFonts w:ascii="Arial" w:hAnsi="Arial" w:cs="Arial"/>
          <w:sz w:val="24"/>
          <w:szCs w:val="24"/>
        </w:rPr>
        <w:lastRenderedPageBreak/>
        <w:t xml:space="preserve">Significant high or low expression </w:t>
      </w:r>
      <w:proofErr w:type="spellStart"/>
      <w:r w:rsidRPr="0004391B">
        <w:rPr>
          <w:rFonts w:ascii="Arial" w:hAnsi="Arial" w:cs="Arial"/>
          <w:sz w:val="24"/>
          <w:szCs w:val="24"/>
        </w:rPr>
        <w:t>ncRNAs</w:t>
      </w:r>
      <w:proofErr w:type="spellEnd"/>
      <w:r w:rsidRPr="0004391B">
        <w:rPr>
          <w:rFonts w:ascii="Arial" w:hAnsi="Arial" w:cs="Arial"/>
          <w:sz w:val="24"/>
          <w:szCs w:val="24"/>
        </w:rPr>
        <w:t xml:space="preserve"> in pan-cancer samples</w:t>
      </w:r>
    </w:p>
    <w:p w:rsidR="000857EE" w:rsidRPr="0004391B" w:rsidRDefault="000857EE" w:rsidP="00A16820">
      <w:pPr>
        <w:rPr>
          <w:rFonts w:ascii="Arial" w:hAnsi="Arial" w:cs="Arial"/>
        </w:rPr>
      </w:pPr>
    </w:p>
    <w:tbl>
      <w:tblPr>
        <w:tblStyle w:val="GridTable1Light-Accent1"/>
        <w:tblW w:w="9946" w:type="dxa"/>
        <w:tblLook w:val="04A0" w:firstRow="1" w:lastRow="0" w:firstColumn="1" w:lastColumn="0" w:noHBand="0" w:noVBand="1"/>
      </w:tblPr>
      <w:tblGrid>
        <w:gridCol w:w="2365"/>
        <w:gridCol w:w="1046"/>
        <w:gridCol w:w="1218"/>
        <w:gridCol w:w="1046"/>
        <w:gridCol w:w="1218"/>
        <w:gridCol w:w="1218"/>
        <w:gridCol w:w="1218"/>
        <w:gridCol w:w="1218"/>
      </w:tblGrid>
      <w:tr w:rsidR="00AE378D" w:rsidRPr="0004391B" w:rsidTr="001E7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</w:rPr>
            </w:pP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04391B">
              <w:rPr>
                <w:rFonts w:ascii="Arial" w:hAnsi="Arial" w:cs="Arial"/>
                <w:color w:val="000000"/>
              </w:rPr>
              <w:t>idx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04391B">
              <w:rPr>
                <w:rFonts w:ascii="Arial" w:hAnsi="Arial" w:cs="Arial"/>
                <w:color w:val="000000"/>
              </w:rPr>
              <w:t>pval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04391B">
              <w:rPr>
                <w:rFonts w:ascii="Arial" w:hAnsi="Arial" w:cs="Arial"/>
                <w:color w:val="000000"/>
              </w:rPr>
              <w:t>cilb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04391B">
              <w:rPr>
                <w:rFonts w:ascii="Arial" w:hAnsi="Arial" w:cs="Arial"/>
                <w:color w:val="000000"/>
              </w:rPr>
              <w:t>ciub</w:t>
            </w:r>
            <w:proofErr w:type="spellEnd"/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i2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tau2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ENSG00000243384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4446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-5.59032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3.76E-26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-6.62612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-4.55452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94.30997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5.487714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ENSG00000267328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11433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-5.12158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1.49E-13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-6.48033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-3.76283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96.97247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9.796229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ENSG00000241720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11527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-4.59129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2.78E-14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-5.77407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-3.40851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97.68349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7.762307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ENSG00000231246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8656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-4.46878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9.35E-20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-5.43167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-3.50589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97.09272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4.783646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ENSG00000258604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14177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-4.24114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2.31E-15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-5.29022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-3.19206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97.17715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6.001081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ENSG00000224239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12083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-3.43468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1.54E-15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-4.27896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-2.59041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88.6219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3.19598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ENSG00000251226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18324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-3.41835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4.40E-15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-4.27261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-2.5641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93.24342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3.684191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ENSG00000275088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26927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-2.69524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2.23E-16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-3.33873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-2.05174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95.65713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2.220855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ENSG00000254319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14417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-2.49087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7.08E-19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-3.04104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-1.9407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91.46546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1.465469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ENSG00000273682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23803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-2.29412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1.26E-19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-2.79021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-1.79803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86.91031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1.081182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ENSG00000262061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8524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-2.17824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4.78E-17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-2.68698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-1.66951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97.20843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1.424961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ENSG00000257283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12824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-1.78054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1.52E-14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-2.23459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-1.32649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92.04315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0.995086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ENSG00000256139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17027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-1.76796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1.34E-14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-2.21789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-1.31803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95.7985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1.07907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ENSG00000274370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22769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-1.66868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7.43E-20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-2.02725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-1.31012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95.78092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0.669986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ENSG00000213754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21961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-1.63532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1.95E-19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-1.99081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-1.27983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94.94271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0.673716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ENSG00000249456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12095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-1.27253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2.59E-14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-1.59996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-0.94511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92.71392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0.494312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ENSG00000266601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4020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-1.19501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3.79E-23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-1.43137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-0.95865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92.59149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0.269393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ENSG00000280054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18392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-1.00387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9.00E-24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-1.19961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-0.80814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89.51505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0.175499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ENSG00000279982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9753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-0.89974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1.59E-14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-1.12936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-0.67012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87.83427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0.23865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ENSG00000230555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7357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-0.82476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7.66E-21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-0.99739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-0.65214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88.64084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0.13327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ENSG00000180015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7344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-0.8036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2.95E-16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-0.99625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-0.61094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47.80452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0.081522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ENSG00000274220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16917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-0.75817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1.92E-14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-0.95227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-0.56408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90.01046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0.170717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ENSG00000228452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6043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-0.60381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7.52E-18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-0.74132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-0.46631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92.40947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0.094891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ENSG00000262712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27294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0.730751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1.44E-14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0.544568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0.916935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88.54463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0.162474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lastRenderedPageBreak/>
              <w:t>ENSG00000270804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9761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0.778765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1.48E-16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0.593929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0.9636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93.01978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0.173717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ENSG00000269399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1428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0.830658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2.87E-22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0.662903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0.998414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86.85776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0.123938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ENSG00000257086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30139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0.830893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1.54E-20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0.655594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1.006191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91.1971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0.152908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ENSG00000272455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26350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0.959423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9.76E-18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0.740175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1.178671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93.6502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0.248541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ENSG00000270195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10894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1.485524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5.19E-18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1.148888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1.822159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87.3414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0.497432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ENSG00000255921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16543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2.991146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1.94E-15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2.253243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3.729049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84.66538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2.247614</w:t>
            </w:r>
          </w:p>
        </w:tc>
      </w:tr>
      <w:tr w:rsidR="00AE378D" w:rsidRPr="0004391B" w:rsidTr="001E75D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  <w:noWrap/>
            <w:vAlign w:val="bottom"/>
            <w:hideMark/>
          </w:tcPr>
          <w:p w:rsidR="00AE378D" w:rsidRPr="0004391B" w:rsidRDefault="00AE378D" w:rsidP="00AE378D">
            <w:pPr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ENSG00000249001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28435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4.682048</w:t>
            </w:r>
          </w:p>
        </w:tc>
        <w:tc>
          <w:tcPr>
            <w:tcW w:w="1046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1.03E-14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3.495808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5.868289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94.00953</w:t>
            </w:r>
          </w:p>
        </w:tc>
        <w:tc>
          <w:tcPr>
            <w:tcW w:w="1148" w:type="dxa"/>
            <w:noWrap/>
            <w:vAlign w:val="bottom"/>
            <w:hideMark/>
          </w:tcPr>
          <w:p w:rsidR="00AE378D" w:rsidRPr="0004391B" w:rsidRDefault="00AE378D" w:rsidP="00AE37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4391B">
              <w:rPr>
                <w:rFonts w:ascii="Arial" w:hAnsi="Arial" w:cs="Arial"/>
                <w:color w:val="000000"/>
              </w:rPr>
              <w:t>7.225257</w:t>
            </w:r>
          </w:p>
        </w:tc>
      </w:tr>
    </w:tbl>
    <w:p w:rsidR="000857EE" w:rsidRPr="0004391B" w:rsidRDefault="000205B8" w:rsidP="00A16820">
      <w:pPr>
        <w:rPr>
          <w:rFonts w:ascii="Arial" w:hAnsi="Arial" w:cs="Arial"/>
        </w:rPr>
      </w:pPr>
      <w:r w:rsidRPr="0004391B">
        <w:rPr>
          <w:rFonts w:ascii="Arial" w:hAnsi="Arial" w:cs="Arial"/>
        </w:rPr>
        <w:t>When I collect Pan-cancer RNA-</w:t>
      </w:r>
      <w:proofErr w:type="spellStart"/>
      <w:r w:rsidRPr="0004391B">
        <w:rPr>
          <w:rFonts w:ascii="Arial" w:hAnsi="Arial" w:cs="Arial"/>
        </w:rPr>
        <w:t>seq</w:t>
      </w:r>
      <w:proofErr w:type="spellEnd"/>
      <w:r w:rsidRPr="0004391B">
        <w:rPr>
          <w:rFonts w:ascii="Arial" w:hAnsi="Arial" w:cs="Arial"/>
        </w:rPr>
        <w:t xml:space="preserve"> dataset, I found some of </w:t>
      </w:r>
      <w:proofErr w:type="spellStart"/>
      <w:r w:rsidRPr="0004391B">
        <w:rPr>
          <w:rFonts w:ascii="Arial" w:hAnsi="Arial" w:cs="Arial"/>
        </w:rPr>
        <w:t>ncRNA</w:t>
      </w:r>
      <w:proofErr w:type="spellEnd"/>
      <w:r w:rsidRPr="0004391B">
        <w:rPr>
          <w:rFonts w:ascii="Arial" w:hAnsi="Arial" w:cs="Arial"/>
        </w:rPr>
        <w:t xml:space="preserve"> were significantly over-expressed or low-expressed in cancer samples. I am quite interested in these </w:t>
      </w:r>
      <w:proofErr w:type="spellStart"/>
      <w:r w:rsidRPr="0004391B">
        <w:rPr>
          <w:rFonts w:ascii="Arial" w:hAnsi="Arial" w:cs="Arial"/>
        </w:rPr>
        <w:t>ncRNAs</w:t>
      </w:r>
      <w:proofErr w:type="spellEnd"/>
      <w:r w:rsidRPr="0004391B">
        <w:rPr>
          <w:rFonts w:ascii="Arial" w:hAnsi="Arial" w:cs="Arial"/>
        </w:rPr>
        <w:t xml:space="preserve">. </w:t>
      </w:r>
      <w:r w:rsidR="00223399" w:rsidRPr="0004391B">
        <w:rPr>
          <w:rFonts w:ascii="Arial" w:hAnsi="Arial" w:cs="Arial"/>
        </w:rPr>
        <w:t xml:space="preserve">Here, I summarized the top 31 </w:t>
      </w:r>
      <w:proofErr w:type="spellStart"/>
      <w:r w:rsidR="00223399" w:rsidRPr="0004391B">
        <w:rPr>
          <w:rFonts w:ascii="Arial" w:hAnsi="Arial" w:cs="Arial"/>
        </w:rPr>
        <w:t>ncRNAs</w:t>
      </w:r>
      <w:proofErr w:type="spellEnd"/>
      <w:r w:rsidR="00223399" w:rsidRPr="0004391B">
        <w:rPr>
          <w:rFonts w:ascii="Arial" w:hAnsi="Arial" w:cs="Arial"/>
        </w:rPr>
        <w:t xml:space="preserve"> and hope later I can make some functional study to these </w:t>
      </w:r>
      <w:proofErr w:type="spellStart"/>
      <w:r w:rsidR="00223399" w:rsidRPr="0004391B">
        <w:rPr>
          <w:rFonts w:ascii="Arial" w:hAnsi="Arial" w:cs="Arial"/>
        </w:rPr>
        <w:t>ncRNAs</w:t>
      </w:r>
      <w:proofErr w:type="spellEnd"/>
      <w:r w:rsidR="00223399" w:rsidRPr="0004391B">
        <w:rPr>
          <w:rFonts w:ascii="Arial" w:hAnsi="Arial" w:cs="Arial"/>
        </w:rPr>
        <w:t xml:space="preserve"> in multiple cancers. </w:t>
      </w:r>
      <w:r w:rsidR="00BE007C" w:rsidRPr="0004391B">
        <w:rPr>
          <w:rFonts w:ascii="Arial" w:hAnsi="Arial" w:cs="Arial"/>
        </w:rPr>
        <w:t xml:space="preserve">What’s the status for tumor suppressor genes in meta-analysis will be quite interesting. </w:t>
      </w:r>
    </w:p>
    <w:p w:rsidR="006426F5" w:rsidRPr="0004391B" w:rsidRDefault="006426F5" w:rsidP="00A16820">
      <w:pPr>
        <w:rPr>
          <w:rFonts w:ascii="Arial" w:hAnsi="Arial" w:cs="Arial"/>
        </w:rPr>
      </w:pPr>
    </w:p>
    <w:p w:rsidR="006426F5" w:rsidRPr="0004391B" w:rsidRDefault="006426F5" w:rsidP="00A16820">
      <w:pPr>
        <w:rPr>
          <w:rFonts w:ascii="Arial" w:hAnsi="Arial" w:cs="Arial"/>
        </w:rPr>
      </w:pPr>
    </w:p>
    <w:p w:rsidR="002C0775" w:rsidRPr="0004391B" w:rsidRDefault="002C0775" w:rsidP="00A16820">
      <w:pPr>
        <w:rPr>
          <w:rFonts w:ascii="Arial" w:hAnsi="Arial" w:cs="Arial"/>
        </w:rPr>
      </w:pPr>
    </w:p>
    <w:p w:rsidR="006426F5" w:rsidRPr="0004391B" w:rsidRDefault="002C0775" w:rsidP="00A16820">
      <w:pPr>
        <w:rPr>
          <w:rFonts w:ascii="Arial" w:hAnsi="Arial" w:cs="Arial"/>
        </w:rPr>
      </w:pPr>
      <w:r w:rsidRPr="0004391B">
        <w:rPr>
          <w:rFonts w:ascii="Arial" w:hAnsi="Arial" w:cs="Arial"/>
        </w:rPr>
        <w:t xml:space="preserve">IL1RAP over-expression as risk of overall survival time. </w:t>
      </w:r>
    </w:p>
    <w:p w:rsidR="0004391B" w:rsidRDefault="002C0775" w:rsidP="00A16820">
      <w:pPr>
        <w:rPr>
          <w:rFonts w:ascii="Arial" w:hAnsi="Arial" w:cs="Arial"/>
        </w:rPr>
      </w:pPr>
      <w:r w:rsidRPr="0004391B">
        <w:rPr>
          <w:rFonts w:ascii="Arial" w:hAnsi="Arial" w:cs="Arial"/>
          <w:noProof/>
        </w:rPr>
        <w:drawing>
          <wp:inline distT="0" distB="0" distL="0" distR="0" wp14:anchorId="29C81CEF" wp14:editId="4405661F">
            <wp:extent cx="68580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1B" w:rsidRDefault="0004391B" w:rsidP="00A16820">
      <w:pPr>
        <w:rPr>
          <w:rFonts w:ascii="Arial" w:hAnsi="Arial" w:cs="Arial"/>
        </w:rPr>
      </w:pPr>
    </w:p>
    <w:p w:rsidR="0004391B" w:rsidRPr="0004391B" w:rsidRDefault="0004391B" w:rsidP="0004391B">
      <w:pPr>
        <w:pStyle w:val="EndNoteBibliography"/>
        <w:ind w:left="720" w:hanging="720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EN.REFLIST </w:instrText>
      </w:r>
      <w:r>
        <w:rPr>
          <w:rFonts w:ascii="Arial" w:hAnsi="Arial" w:cs="Arial"/>
        </w:rPr>
        <w:fldChar w:fldCharType="separate"/>
      </w:r>
      <w:r w:rsidRPr="0004391B">
        <w:t>1.</w:t>
      </w:r>
      <w:r w:rsidRPr="0004391B">
        <w:tab/>
        <w:t xml:space="preserve">Bonneville, R., et al., </w:t>
      </w:r>
      <w:r w:rsidRPr="0004391B">
        <w:rPr>
          <w:i/>
        </w:rPr>
        <w:t>Landscape of Microsatellite Instability Across 39 Cancer Types.</w:t>
      </w:r>
      <w:r w:rsidRPr="0004391B">
        <w:t xml:space="preserve"> JCO Precis Oncol, 2017. </w:t>
      </w:r>
      <w:r w:rsidRPr="0004391B">
        <w:rPr>
          <w:b/>
        </w:rPr>
        <w:t>2017</w:t>
      </w:r>
      <w:r w:rsidRPr="0004391B">
        <w:t>.</w:t>
      </w:r>
    </w:p>
    <w:p w:rsidR="006426F5" w:rsidRPr="0004391B" w:rsidRDefault="0004391B" w:rsidP="00A16820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6426F5" w:rsidRPr="0004391B" w:rsidSect="00DC2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5A63"/>
    <w:multiLevelType w:val="hybridMultilevel"/>
    <w:tmpl w:val="F870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2241"/>
    <w:multiLevelType w:val="hybridMultilevel"/>
    <w:tmpl w:val="DA9A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e9xp9a5trtnez0x2pvee92e99dw0wpv5d&quot;&gt;My EndNote Library&lt;record-ids&gt;&lt;item&gt;4127&lt;/item&gt;&lt;/record-ids&gt;&lt;/item&gt;&lt;/Libraries&gt;"/>
  </w:docVars>
  <w:rsids>
    <w:rsidRoot w:val="00372C03"/>
    <w:rsid w:val="00014978"/>
    <w:rsid w:val="000205B8"/>
    <w:rsid w:val="00033446"/>
    <w:rsid w:val="0004391B"/>
    <w:rsid w:val="000522C8"/>
    <w:rsid w:val="000857EE"/>
    <w:rsid w:val="0009673B"/>
    <w:rsid w:val="000A43E7"/>
    <w:rsid w:val="000D7E68"/>
    <w:rsid w:val="00134519"/>
    <w:rsid w:val="00184189"/>
    <w:rsid w:val="001C1A59"/>
    <w:rsid w:val="001E75D8"/>
    <w:rsid w:val="001F3CCF"/>
    <w:rsid w:val="00201DE9"/>
    <w:rsid w:val="00216036"/>
    <w:rsid w:val="00223399"/>
    <w:rsid w:val="0023369D"/>
    <w:rsid w:val="002370D3"/>
    <w:rsid w:val="002429DA"/>
    <w:rsid w:val="00250BC7"/>
    <w:rsid w:val="002532D5"/>
    <w:rsid w:val="0028470F"/>
    <w:rsid w:val="002B68A1"/>
    <w:rsid w:val="002C0775"/>
    <w:rsid w:val="002F67A7"/>
    <w:rsid w:val="003047B2"/>
    <w:rsid w:val="003150A4"/>
    <w:rsid w:val="0031682C"/>
    <w:rsid w:val="003415A9"/>
    <w:rsid w:val="00361DD5"/>
    <w:rsid w:val="00372C03"/>
    <w:rsid w:val="003F2268"/>
    <w:rsid w:val="0040372B"/>
    <w:rsid w:val="00406073"/>
    <w:rsid w:val="00415F3E"/>
    <w:rsid w:val="00427EC1"/>
    <w:rsid w:val="00475FFB"/>
    <w:rsid w:val="00491C11"/>
    <w:rsid w:val="004A491D"/>
    <w:rsid w:val="004C744E"/>
    <w:rsid w:val="00501AAF"/>
    <w:rsid w:val="00516744"/>
    <w:rsid w:val="00520A60"/>
    <w:rsid w:val="005458C1"/>
    <w:rsid w:val="00547C08"/>
    <w:rsid w:val="00554A36"/>
    <w:rsid w:val="005621A5"/>
    <w:rsid w:val="0057339E"/>
    <w:rsid w:val="00577977"/>
    <w:rsid w:val="005C22D8"/>
    <w:rsid w:val="005C3751"/>
    <w:rsid w:val="005C5EB7"/>
    <w:rsid w:val="005D6189"/>
    <w:rsid w:val="005E5D2E"/>
    <w:rsid w:val="005F1B30"/>
    <w:rsid w:val="005F3B3F"/>
    <w:rsid w:val="006259D9"/>
    <w:rsid w:val="006426F5"/>
    <w:rsid w:val="00661788"/>
    <w:rsid w:val="0066288D"/>
    <w:rsid w:val="006726E9"/>
    <w:rsid w:val="0068203E"/>
    <w:rsid w:val="0069626D"/>
    <w:rsid w:val="00697446"/>
    <w:rsid w:val="006C506F"/>
    <w:rsid w:val="006E384B"/>
    <w:rsid w:val="006F4A6D"/>
    <w:rsid w:val="00703EF8"/>
    <w:rsid w:val="007324DC"/>
    <w:rsid w:val="007355C4"/>
    <w:rsid w:val="007675C1"/>
    <w:rsid w:val="00790DCF"/>
    <w:rsid w:val="00790E39"/>
    <w:rsid w:val="007A6FA2"/>
    <w:rsid w:val="007B0F08"/>
    <w:rsid w:val="007C0913"/>
    <w:rsid w:val="007D5BA4"/>
    <w:rsid w:val="007E3567"/>
    <w:rsid w:val="00827AEE"/>
    <w:rsid w:val="008517B1"/>
    <w:rsid w:val="00893126"/>
    <w:rsid w:val="008A3E61"/>
    <w:rsid w:val="008A71FA"/>
    <w:rsid w:val="008B3940"/>
    <w:rsid w:val="008C00D6"/>
    <w:rsid w:val="008C18BA"/>
    <w:rsid w:val="008D7C4E"/>
    <w:rsid w:val="00923DE9"/>
    <w:rsid w:val="0096745D"/>
    <w:rsid w:val="009715D2"/>
    <w:rsid w:val="00975A5F"/>
    <w:rsid w:val="009D5DC3"/>
    <w:rsid w:val="009E30CA"/>
    <w:rsid w:val="00A04AFE"/>
    <w:rsid w:val="00A16820"/>
    <w:rsid w:val="00A23B1A"/>
    <w:rsid w:val="00A33C3C"/>
    <w:rsid w:val="00A37234"/>
    <w:rsid w:val="00A56FC0"/>
    <w:rsid w:val="00A664B0"/>
    <w:rsid w:val="00A66796"/>
    <w:rsid w:val="00AC51F8"/>
    <w:rsid w:val="00AD674C"/>
    <w:rsid w:val="00AE078C"/>
    <w:rsid w:val="00AE378D"/>
    <w:rsid w:val="00B40A8A"/>
    <w:rsid w:val="00B53EB8"/>
    <w:rsid w:val="00B66532"/>
    <w:rsid w:val="00B67F85"/>
    <w:rsid w:val="00BB36A1"/>
    <w:rsid w:val="00BC4928"/>
    <w:rsid w:val="00BE007C"/>
    <w:rsid w:val="00BE35E2"/>
    <w:rsid w:val="00C0421F"/>
    <w:rsid w:val="00C06F7A"/>
    <w:rsid w:val="00C24AD0"/>
    <w:rsid w:val="00C447A8"/>
    <w:rsid w:val="00CA33BE"/>
    <w:rsid w:val="00CA6507"/>
    <w:rsid w:val="00CB3FAB"/>
    <w:rsid w:val="00CC3738"/>
    <w:rsid w:val="00CD0653"/>
    <w:rsid w:val="00CE06CA"/>
    <w:rsid w:val="00D62F97"/>
    <w:rsid w:val="00D77B3E"/>
    <w:rsid w:val="00D80366"/>
    <w:rsid w:val="00DC2DE5"/>
    <w:rsid w:val="00E00718"/>
    <w:rsid w:val="00E21621"/>
    <w:rsid w:val="00E53129"/>
    <w:rsid w:val="00E85150"/>
    <w:rsid w:val="00E872F5"/>
    <w:rsid w:val="00E936A4"/>
    <w:rsid w:val="00EA47B5"/>
    <w:rsid w:val="00EC145E"/>
    <w:rsid w:val="00EC6A4A"/>
    <w:rsid w:val="00EE2D08"/>
    <w:rsid w:val="00EF5F01"/>
    <w:rsid w:val="00F03B80"/>
    <w:rsid w:val="00F26319"/>
    <w:rsid w:val="00F33DFA"/>
    <w:rsid w:val="00F47AF3"/>
    <w:rsid w:val="00F94D2D"/>
    <w:rsid w:val="00FB144A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31F42"/>
  <w15:chartTrackingRefBased/>
  <w15:docId w15:val="{A44D1A53-A172-4404-AABB-B0920BC6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68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372C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72C0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A16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AEE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4391B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4391B"/>
    <w:rPr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04391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4391B"/>
    <w:rPr>
      <w:noProof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8A71F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A71F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3BF6DF76.dotm</Template>
  <TotalTime>3220</TotalTime>
  <Pages>6</Pages>
  <Words>1212</Words>
  <Characters>9486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143</cp:revision>
  <dcterms:created xsi:type="dcterms:W3CDTF">2019-03-24T06:58:00Z</dcterms:created>
  <dcterms:modified xsi:type="dcterms:W3CDTF">2019-11-03T02:22:00Z</dcterms:modified>
</cp:coreProperties>
</file>